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A" w:rsidRDefault="004E46FA" w:rsidP="004E46FA">
      <w:pPr>
        <w:pStyle w:val="af9"/>
        <w:rPr>
          <w:kern w:val="28"/>
        </w:rPr>
      </w:pPr>
      <w:r>
        <w:rPr>
          <w:kern w:val="28"/>
        </w:rPr>
        <w:t>Содержание</w:t>
      </w:r>
    </w:p>
    <w:p w:rsidR="004E46FA" w:rsidRDefault="004E46FA" w:rsidP="004E46FA"/>
    <w:p w:rsidR="004E46FA" w:rsidRDefault="004E46FA">
      <w:pPr>
        <w:pStyle w:val="22"/>
        <w:rPr>
          <w:smallCaps w:val="0"/>
          <w:noProof/>
          <w:sz w:val="24"/>
          <w:szCs w:val="24"/>
        </w:rPr>
      </w:pPr>
      <w:r w:rsidRPr="002E3048">
        <w:rPr>
          <w:rStyle w:val="ae"/>
          <w:noProof/>
          <w:kern w:val="28"/>
        </w:rPr>
        <w:t>Улучшить жилищные условия поможет родная организация</w:t>
      </w:r>
    </w:p>
    <w:p w:rsidR="004E46FA" w:rsidRDefault="004E46FA">
      <w:pPr>
        <w:pStyle w:val="22"/>
        <w:rPr>
          <w:smallCaps w:val="0"/>
          <w:noProof/>
          <w:sz w:val="24"/>
          <w:szCs w:val="24"/>
        </w:rPr>
      </w:pPr>
      <w:r w:rsidRPr="002E3048">
        <w:rPr>
          <w:rStyle w:val="ae"/>
          <w:noProof/>
          <w:kern w:val="28"/>
        </w:rPr>
        <w:t>Займ и материальная помощь</w:t>
      </w:r>
    </w:p>
    <w:p w:rsidR="004E46FA" w:rsidRDefault="004E46FA">
      <w:pPr>
        <w:pStyle w:val="22"/>
        <w:rPr>
          <w:smallCaps w:val="0"/>
          <w:noProof/>
          <w:sz w:val="24"/>
          <w:szCs w:val="24"/>
        </w:rPr>
      </w:pPr>
      <w:r w:rsidRPr="002E3048">
        <w:rPr>
          <w:rStyle w:val="ae"/>
          <w:noProof/>
          <w:kern w:val="28"/>
        </w:rPr>
        <w:t>Займ и другие гражданские договоры</w:t>
      </w:r>
    </w:p>
    <w:p w:rsidR="004E46FA" w:rsidRDefault="004E46FA">
      <w:pPr>
        <w:pStyle w:val="22"/>
        <w:rPr>
          <w:smallCaps w:val="0"/>
          <w:noProof/>
          <w:sz w:val="24"/>
          <w:szCs w:val="24"/>
        </w:rPr>
      </w:pPr>
      <w:r w:rsidRPr="002E3048">
        <w:rPr>
          <w:rStyle w:val="ae"/>
          <w:noProof/>
          <w:kern w:val="28"/>
        </w:rPr>
        <w:t>Условия предоставления займа</w:t>
      </w:r>
    </w:p>
    <w:p w:rsidR="004E46FA" w:rsidRDefault="004E46FA">
      <w:pPr>
        <w:pStyle w:val="22"/>
        <w:rPr>
          <w:smallCaps w:val="0"/>
          <w:noProof/>
          <w:sz w:val="24"/>
          <w:szCs w:val="24"/>
        </w:rPr>
      </w:pPr>
      <w:r w:rsidRPr="002E3048">
        <w:rPr>
          <w:rStyle w:val="ae"/>
          <w:noProof/>
          <w:kern w:val="28"/>
        </w:rPr>
        <w:t>Порядок получения и возврата займа</w:t>
      </w:r>
    </w:p>
    <w:p w:rsidR="004E46FA" w:rsidRDefault="004E46FA">
      <w:pPr>
        <w:pStyle w:val="22"/>
        <w:rPr>
          <w:smallCaps w:val="0"/>
          <w:noProof/>
          <w:sz w:val="24"/>
          <w:szCs w:val="24"/>
        </w:rPr>
      </w:pPr>
      <w:r w:rsidRPr="002E3048">
        <w:rPr>
          <w:rStyle w:val="ae"/>
          <w:noProof/>
        </w:rPr>
        <w:t>Список использованных источников</w:t>
      </w:r>
    </w:p>
    <w:p w:rsidR="004E46FA" w:rsidRPr="004E46FA" w:rsidRDefault="004E46FA" w:rsidP="004E46FA"/>
    <w:p w:rsidR="004E46FA" w:rsidRPr="004E46FA" w:rsidRDefault="004E46FA" w:rsidP="004E46FA">
      <w:pPr>
        <w:pStyle w:val="2"/>
        <w:rPr>
          <w:kern w:val="28"/>
        </w:rPr>
      </w:pPr>
      <w:r>
        <w:rPr>
          <w:kern w:val="28"/>
        </w:rPr>
        <w:br w:type="page"/>
      </w:r>
      <w:bookmarkStart w:id="0" w:name="_Toc247223055"/>
      <w:r w:rsidR="00AF1B52" w:rsidRPr="004E46FA">
        <w:rPr>
          <w:kern w:val="28"/>
        </w:rPr>
        <w:t>Улучшить жилищные условия поможет родная организация</w:t>
      </w:r>
      <w:bookmarkEnd w:id="0"/>
    </w:p>
    <w:p w:rsidR="004E46FA" w:rsidRDefault="004E46FA" w:rsidP="004E46FA">
      <w:pPr>
        <w:rPr>
          <w:kern w:val="28"/>
        </w:rPr>
      </w:pPr>
    </w:p>
    <w:p w:rsidR="00AF1B52" w:rsidRPr="004E46FA" w:rsidRDefault="00AF1B52" w:rsidP="004E46FA">
      <w:pPr>
        <w:rPr>
          <w:kern w:val="28"/>
        </w:rPr>
      </w:pPr>
      <w:r w:rsidRPr="004E46FA">
        <w:rPr>
          <w:kern w:val="28"/>
        </w:rPr>
        <w:t>Взаимоотношения нанимателя и работника порой могут выходить за рамки сугубо трудовых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Например, эти лица могут являться участниками гражданских правоотношений, где наниматель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субъект хозяйствования, а работник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физическое лицо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В этой плоскости стороны трудового договора могут выступать и в других ролях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Например, в роли покупателя и продавца, заказчика и исполнителя, займодавца и заемщика…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Последний вариант на практике встречается довольно часто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Более того, такая возможность для работников может предусматриваться в коллективных договорах или других локальных нормативных правовых актах, действующих у нанимателя, и рассматривается как своеобразная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составляющая соцпакета</w:t>
      </w:r>
      <w:r w:rsidR="004E46FA">
        <w:rPr>
          <w:kern w:val="28"/>
        </w:rPr>
        <w:t xml:space="preserve">".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В нынешнее время вопрос предоставления нанимателем работникам займов весьма актуален</w:t>
      </w:r>
      <w:r w:rsidR="004E46FA" w:rsidRPr="004E46FA">
        <w:rPr>
          <w:kern w:val="28"/>
        </w:rPr>
        <w:t xml:space="preserve">: </w:t>
      </w:r>
      <w:r w:rsidRPr="004E46FA">
        <w:rPr>
          <w:kern w:val="28"/>
        </w:rPr>
        <w:t>цены растут, заработная плата, в лучшем случае,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стоит</w:t>
      </w:r>
      <w:r w:rsidR="004E46FA">
        <w:rPr>
          <w:kern w:val="28"/>
        </w:rPr>
        <w:t xml:space="preserve">" </w:t>
      </w:r>
      <w:r w:rsidRPr="004E46FA">
        <w:rPr>
          <w:kern w:val="28"/>
        </w:rPr>
        <w:t xml:space="preserve">на месте, а человеку необходимо жить и поддерживать достойный образ жизни, включающий покупку или съем жилья, техники, образование и </w:t>
      </w:r>
      <w:r w:rsidR="004E46FA">
        <w:rPr>
          <w:kern w:val="28"/>
        </w:rPr>
        <w:t>т.п.</w:t>
      </w:r>
    </w:p>
    <w:p w:rsidR="004E46FA" w:rsidRDefault="004E46FA" w:rsidP="004E46FA">
      <w:pPr>
        <w:rPr>
          <w:kern w:val="28"/>
        </w:rPr>
      </w:pPr>
    </w:p>
    <w:p w:rsidR="00AF1B52" w:rsidRPr="004E46FA" w:rsidRDefault="004E46FA" w:rsidP="004E46FA">
      <w:pPr>
        <w:pStyle w:val="2"/>
        <w:rPr>
          <w:kern w:val="28"/>
        </w:rPr>
      </w:pPr>
      <w:bookmarkStart w:id="1" w:name="_Toc247223056"/>
      <w:r w:rsidRPr="004E46FA">
        <w:rPr>
          <w:kern w:val="28"/>
        </w:rPr>
        <w:t>Займ и материальная помощь</w:t>
      </w:r>
      <w:bookmarkEnd w:id="1"/>
    </w:p>
    <w:p w:rsidR="004E46FA" w:rsidRDefault="004E46FA" w:rsidP="004E46FA">
      <w:pPr>
        <w:rPr>
          <w:kern w:val="28"/>
        </w:rPr>
      </w:pP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Зачастую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предоставление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работнику займа рассматривается как мера социального характера сродни материальной помощи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Но сравнивать их нельзя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Материальная помощь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это безвозмездная выплата, производимая нанимателем работнику в связи с возникновением каких-либо событий негативного или позитивного характера, которые потенциально могут повлечь для работника существенные затраты и сопровождаться определенными эмоциональными переживаниями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 xml:space="preserve">свадьба, рождение ребенка, юбилей, пожар и </w:t>
      </w:r>
      <w:r w:rsidR="004E46FA">
        <w:rPr>
          <w:kern w:val="28"/>
        </w:rPr>
        <w:t>т.д.)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Основания предоставления работнику материальной помощи определяются в действующих у нанимателя локальных нормативных правовых актах, коллективном договоре, Положении об оплате труда и премировании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Материальную помощь при наступлении установленных случаев наниматель обязан предоставить работнику на основании его заявления в размерах, определенных соответствующим документом, что отражается в соответствующем приказе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распоряжении</w:t>
      </w:r>
      <w:r w:rsidR="004E46FA" w:rsidRPr="004E46FA">
        <w:rPr>
          <w:kern w:val="28"/>
        </w:rPr>
        <w:t>).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Предоставление займа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это уже отношения, регулируемые другой отраслью права,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гражданского, и они являются договорными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Это означает, что вопрос предоставления займа, условия, на которых он будет предоставлен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сумма, сроки, проценты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определяются по соглашению сторон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заемщика и займодавца</w:t>
      </w:r>
      <w:r w:rsidR="004E46FA" w:rsidRPr="004E46FA">
        <w:rPr>
          <w:kern w:val="28"/>
        </w:rPr>
        <w:t xml:space="preserve">) - </w:t>
      </w:r>
      <w:r w:rsidRPr="004E46FA">
        <w:rPr>
          <w:kern w:val="28"/>
        </w:rPr>
        <w:t>работника и нанимателя, в двустороннем документе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договоре займа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Если материальная помощь представляет собой безвозмездную выплату, то средства, полученные в рамках договора займа, работнику предстоит вернуть и, возможно, даже с выплатой процентов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Порядок и условия предоставления займов работникам организации часто предусматриваются в локальных нормативных правовых актах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К примеру, в коллективном договоре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а при его отсутствии, даже в Положении о премировании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можно встретить пункт примерно такого содержания</w:t>
      </w:r>
      <w:r w:rsidR="004E46FA" w:rsidRPr="004E46FA">
        <w:rPr>
          <w:kern w:val="28"/>
        </w:rPr>
        <w:t>: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При устойчивом финансовом положении предприятия, наличии прибыли за предыдущий период работы сотрудникам, проработавшим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имеющим стаж работы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на предприятии не менее 3 лет и не имеющих дисциплинарных взысканий, могут предоставляться в рамках договоров займа суммы без уплаты процентов на улучшение жилищных условий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в том числе ремонт жилья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получение образования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в том числе для членов семьи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покупку бытовой техники, автомобиля в размере до 100 базовых величин сроком не более чем на 4 года</w:t>
      </w:r>
      <w:r w:rsidR="004E46FA">
        <w:rPr>
          <w:kern w:val="28"/>
        </w:rPr>
        <w:t xml:space="preserve">".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Отметим, что наличие подобной фразы в локальном нормативном документе не связывает ее с трудовым правом, а всего лишь дает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толчок</w:t>
      </w:r>
      <w:r w:rsidR="004E46FA">
        <w:rPr>
          <w:kern w:val="28"/>
        </w:rPr>
        <w:t xml:space="preserve">" </w:t>
      </w:r>
      <w:r w:rsidRPr="004E46FA">
        <w:rPr>
          <w:kern w:val="28"/>
        </w:rPr>
        <w:t>для возникновения между нанимателем и работником отношений в другой сфере</w:t>
      </w:r>
      <w:r w:rsidR="004E46FA" w:rsidRPr="004E46FA">
        <w:rPr>
          <w:kern w:val="28"/>
        </w:rPr>
        <w:t>.</w:t>
      </w:r>
    </w:p>
    <w:p w:rsidR="00341C7C" w:rsidRDefault="00341C7C" w:rsidP="004E46FA">
      <w:pPr>
        <w:rPr>
          <w:kern w:val="28"/>
        </w:rPr>
      </w:pPr>
    </w:p>
    <w:p w:rsidR="00AF1B52" w:rsidRPr="004E46FA" w:rsidRDefault="004E46FA" w:rsidP="004E46FA">
      <w:pPr>
        <w:pStyle w:val="2"/>
        <w:rPr>
          <w:kern w:val="28"/>
        </w:rPr>
      </w:pPr>
      <w:bookmarkStart w:id="2" w:name="_Toc247223057"/>
      <w:r w:rsidRPr="004E46FA">
        <w:rPr>
          <w:kern w:val="28"/>
        </w:rPr>
        <w:t>Займ и другие гражданские договоры</w:t>
      </w:r>
      <w:bookmarkEnd w:id="2"/>
    </w:p>
    <w:p w:rsidR="004E46FA" w:rsidRDefault="004E46FA" w:rsidP="004E46FA">
      <w:pPr>
        <w:rPr>
          <w:kern w:val="28"/>
        </w:rPr>
      </w:pP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Часто договор займа путают с договором ссуды или с кредитным договором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В рамках договора ссуды, во-первых, одна сторона передает другой стороне в пользование какую-то конкретную вещь, которую вторая сторона должна вернуть в соответствующем состоянии обратно, а во-вторых, вещь передается в пользование безвозмездно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В случае предоставления займа заемщик получает определенную сумму денег и соответствующую сумму отдает, но это уже не те же деньги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денежные купюры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которые были ему предоставлены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Кроме того, заем может быть предоставлен с условием уплаты займодавцу процентов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Что же касается кредитного договора, то в этом случае предоставить денежные средства имеет право только банк или другая кредитно-финансовая организация, а уплата процентов в рамках такого договора является обязательным условием</w:t>
      </w:r>
      <w:r w:rsidR="004E46FA" w:rsidRPr="004E46FA">
        <w:rPr>
          <w:kern w:val="28"/>
        </w:rPr>
        <w:t>.</w:t>
      </w:r>
    </w:p>
    <w:p w:rsidR="004E46FA" w:rsidRDefault="004E46FA" w:rsidP="004E46FA">
      <w:pPr>
        <w:rPr>
          <w:kern w:val="28"/>
        </w:rPr>
      </w:pPr>
    </w:p>
    <w:p w:rsidR="00AF1B52" w:rsidRPr="004E46FA" w:rsidRDefault="004E46FA" w:rsidP="004E46FA">
      <w:pPr>
        <w:pStyle w:val="2"/>
        <w:rPr>
          <w:kern w:val="28"/>
        </w:rPr>
      </w:pPr>
      <w:bookmarkStart w:id="3" w:name="_Toc247223058"/>
      <w:r w:rsidRPr="004E46FA">
        <w:rPr>
          <w:kern w:val="28"/>
        </w:rPr>
        <w:t>Условия предоставления займа</w:t>
      </w:r>
      <w:bookmarkEnd w:id="3"/>
    </w:p>
    <w:p w:rsidR="004E46FA" w:rsidRDefault="004E46FA" w:rsidP="004E46FA">
      <w:pPr>
        <w:rPr>
          <w:kern w:val="28"/>
        </w:rPr>
      </w:pP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Существенными условиями договора займа является сам предмет договора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сумма займа или другие вещи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 обязанность заемщиком возвратить такую же сумму или такое же количество подобных вещей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Остальные условия могут определяться исходя из условий заключения договора в соответствии с законодательством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Но, по мнению автора, для четкого представления сторонами их прав и обязанностей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тем более чтобы отграничить эти отношения от трудовых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в договоре должны быть оговорены сроки и порядок возврата займа, размер подлежащих уплате процентов или указание на то, что проценты заемщиком не уплачиваются, возможность досрочного возврата суммы займа, если предусмотрены договором проценты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да если и не предусмотрены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указание на ответственность заемщика в случае использования займа не по назначению, а также за просрочку его возврата и </w:t>
      </w:r>
      <w:r w:rsidR="004E46FA">
        <w:rPr>
          <w:kern w:val="28"/>
        </w:rPr>
        <w:t>т.д.</w:t>
      </w:r>
      <w:r w:rsidR="004E46FA" w:rsidRPr="004E46FA">
        <w:rPr>
          <w:kern w:val="28"/>
        </w:rPr>
        <w:t xml:space="preserve">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Кроме того, если заем целевой, для займодавца просто необходимо иметь возможность проконтролировать использование работником выделенной ему суммы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Это может быть соответствующий чек или квитанция об оплате или, что также встречается не редко, оплата самим нанимателем-займодавцем по предоставленному работником счету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Если работнику не понравятся условия, предлагаемые второй стороной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нанимателем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он может отказаться от подписания договора и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искать</w:t>
      </w:r>
      <w:r w:rsidR="004E46FA">
        <w:rPr>
          <w:kern w:val="28"/>
        </w:rPr>
        <w:t xml:space="preserve">" </w:t>
      </w:r>
      <w:r w:rsidRPr="004E46FA">
        <w:rPr>
          <w:kern w:val="28"/>
        </w:rPr>
        <w:t>средства в другом месте, к примеру, взять кредит в банке, что, как правило, гораздо дороже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Если сотрудника условия устраивают, между нанимателем и работником заключается договор займа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Необходимо помнить, что он считается заключенным не с момента подписания, а с момента передачи денег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Если нанимателем, предоставляющим работнику заем, является юридическое лицо, договор должен быть заключен в письменной форме независимо от суммы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Когда наниматель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это физическое лицо или индивидуальный предприниматель, то письменная форма договора должна быть соблюдена, если заем превышает размер базовой величины в 10 раз и более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Но, по мнению автора, чтобы меньше было споров и вопросов при исполнении договора, разумнее составить документ, который подпишут обе стороны, где будут отражены все существенные условия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Еще лучше, если в подтверждение получения денежной суммы, помимо заключенного договора, заемщиком будет предоставлена расписка или иной документ, свидетельствующий о получении работником денежных средств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Право решать вопросы о предоставлении займа и его условиях принадлежит нанимателю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Законодательство содержит ряд норм, предусматривающих возможность и порядок предоставления займов нанимателями работникам на определенные цели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Так, в рамках Указа Президента Республики Беларусь от 05</w:t>
      </w:r>
      <w:r w:rsidR="004E46FA">
        <w:rPr>
          <w:kern w:val="28"/>
        </w:rPr>
        <w:t>.05.20</w:t>
      </w:r>
      <w:r w:rsidRPr="004E46FA">
        <w:rPr>
          <w:kern w:val="28"/>
        </w:rPr>
        <w:t>06 № 296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Об упорядочении использования финансовых ресурсов государственных организаций и хозяйственных обществ с долей государства в уставных фондах</w:t>
      </w:r>
      <w:r w:rsidR="004E46FA">
        <w:rPr>
          <w:kern w:val="28"/>
        </w:rPr>
        <w:t>" (</w:t>
      </w:r>
      <w:r w:rsidRPr="004E46FA">
        <w:rPr>
          <w:kern w:val="28"/>
        </w:rPr>
        <w:t>с изменениями и дополнениями по состоянию на 01</w:t>
      </w:r>
      <w:r w:rsidR="004E46FA">
        <w:rPr>
          <w:kern w:val="28"/>
        </w:rPr>
        <w:t>.01.20</w:t>
      </w:r>
      <w:r w:rsidRPr="004E46FA">
        <w:rPr>
          <w:kern w:val="28"/>
        </w:rPr>
        <w:t>09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работникам, состоящим в штатах государственных организаций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хозяйственных обществ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признанным в установленном порядке нуждающимися в улучшении жилищных условий, выдаются этими государственными организациями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хозяйственными обществами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займы для строительства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реконструкции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или приобретения жилых помещений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Отметим, что предоставление займа имеет свой установленный порядок и определенные условия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Кроме того, выдача работникам займа производится только после согласования с соответствующими вышестоящими органами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Такие же условия содержатся также в Положении о порядке и условиях предоставления организациями состоящим в штатах этих организаций работникам, нуждающимся в улучшении жилищных условий, займов на строительство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реконструкцию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или приобретение жилых помещений, утвержденном постановлением Совета Министров Республики Беларусь от 30</w:t>
      </w:r>
      <w:r w:rsidR="004E46FA">
        <w:rPr>
          <w:kern w:val="28"/>
        </w:rPr>
        <w:t>.03.20</w:t>
      </w:r>
      <w:r w:rsidRPr="004E46FA">
        <w:rPr>
          <w:kern w:val="28"/>
        </w:rPr>
        <w:t>00 № 428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О дополнительном привлечении средств организаций для финансирования жилищного строительства</w:t>
      </w:r>
      <w:r w:rsidR="004E46FA">
        <w:rPr>
          <w:kern w:val="28"/>
        </w:rPr>
        <w:t>" (</w:t>
      </w:r>
      <w:r w:rsidRPr="004E46FA">
        <w:rPr>
          <w:kern w:val="28"/>
        </w:rPr>
        <w:t>с изменениями и дополнениями по состоянию на 2</w:t>
      </w:r>
      <w:r w:rsidR="004E46FA">
        <w:rPr>
          <w:kern w:val="28"/>
        </w:rPr>
        <w:t>4.11.20</w:t>
      </w:r>
      <w:r w:rsidRPr="004E46FA">
        <w:rPr>
          <w:kern w:val="28"/>
        </w:rPr>
        <w:t>08</w:t>
      </w:r>
      <w:r w:rsidR="004E46FA" w:rsidRPr="004E46FA">
        <w:rPr>
          <w:kern w:val="28"/>
        </w:rPr>
        <w:t>)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далее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Положение</w:t>
      </w:r>
      <w:r w:rsidR="004E46FA" w:rsidRPr="004E46FA">
        <w:rPr>
          <w:kern w:val="28"/>
        </w:rPr>
        <w:t xml:space="preserve">).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Займы в рамках этого Положения предоставляются за счет прибыли, остающейся в распоряжении организации после уплаты налогов, сборов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пошлин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 других платежей в республиканский, местные бюджеты, государственные целевые бюджетные фонды, государственные целевые внебюджетные фонды, а также части прибыли в соответствии с законодательством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Отметим, что вышеуказанные нормативные правовые акты регулируют вопросы предоставления займов для конкретной цели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на улучшение жилищных условий работников организации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Но для выделения подобных займов требуется соблюдение и ряда условий как самим работником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заемщиком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так и нанимателем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займодавцем</w:t>
      </w:r>
      <w:r w:rsidR="004E46FA" w:rsidRPr="004E46FA">
        <w:rPr>
          <w:kern w:val="28"/>
        </w:rPr>
        <w:t>):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1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организация должна иметь прибыль, остающуюся в своем распоряжении после уплаты всех предусмотренных законодательством налогов, платежей, взносов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2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лицо, получаемое заем, должно являться штатным работником организации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3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заем является целевым, то есть выдается для строго определенной цели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на улучшение жилищных условий работника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Законодательством предусмотрена ответственность за нарушение этого условия</w:t>
      </w:r>
      <w:r w:rsidR="004E46FA" w:rsidRPr="004E46FA">
        <w:rPr>
          <w:kern w:val="28"/>
        </w:rPr>
        <w:t xml:space="preserve">: </w:t>
      </w:r>
      <w:r w:rsidRPr="004E46FA">
        <w:rPr>
          <w:kern w:val="28"/>
        </w:rPr>
        <w:t>работник в такой ситуации должен будет вернуть сумму и уплатить проценты на сумму средств, использованных не по целевому назначению, в размере трехкратной ставки рефинансирования Национального банка Республики Беларусь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если иное не предусмотрено договором займа или законодательством</w:t>
      </w:r>
      <w:r w:rsidR="004E46FA" w:rsidRPr="004E46FA">
        <w:rPr>
          <w:kern w:val="28"/>
        </w:rPr>
        <w:t>).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4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работник должен стоять на учете нуждающихся в улучшении жилищных условий, и займы предоставляются работникам в порядке очередности, определяемой исходя из времени принятия их на учет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5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работник обязан сам вложить собственные средства в строительство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реконструкцию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или приобретение жилого помещения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6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заем предоставляется на платной основе, то есть исходя из финансового состояния заемщика и займодавца, организация определяет размер и вид процентов, подлежащие уплате заемщиком за предоставленный заем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7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заемщик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не видит</w:t>
      </w:r>
      <w:r w:rsidR="004E46FA">
        <w:rPr>
          <w:kern w:val="28"/>
        </w:rPr>
        <w:t xml:space="preserve">" </w:t>
      </w:r>
      <w:r w:rsidRPr="004E46FA">
        <w:rPr>
          <w:kern w:val="28"/>
        </w:rPr>
        <w:t>реальных денег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В случае принятия организацией решения о предоставлении работнику займа в любом банке на территории Республики Беларусь на имя работника открывается текущий счет без права снятия наличных денег, между организацией и банком заключается договор на перечисление сумм по этому займу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Получатель займа должен представить в банк копию решения организации о предоставлении ему займа и договор займа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8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заем предоставляется под поручительство платежеспособных физических лиц и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или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под залог имущества, на которое может быть обращено взыскание по исполнительным документам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И в случае невозврата займа заемщиком взыскание обращается на предмет залога, или претензия о возврате предъявляется к поручителю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9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на основании заключенного договора организация-займодавец обязана осуществлять контроль за целевым использованием предоставленных по займу средств и в случае выявления их нецелевого использования обязана немедленно принять все меры для возврата предоставленной в заем суммы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Наниматель должен внимательно изучить свои возможности и возможности потенциального заемщика, а также строго соблюсти предусмотренную процедуру предоставления займа и, конечно, согласовать такое предоставление с вышестоящий организацией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Так как в случае предоставления денежных средств взаем с нарушением требований, предусмотренных в Положении, на должностных лиц юридических лиц возлагается ответственность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штраф в размере от 10 до 30 базовых величин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ст</w:t>
      </w:r>
      <w:r w:rsidR="004E46FA">
        <w:rPr>
          <w:kern w:val="28"/>
        </w:rPr>
        <w:t>.11.1</w:t>
      </w:r>
      <w:r w:rsidRPr="004E46FA">
        <w:rPr>
          <w:kern w:val="28"/>
        </w:rPr>
        <w:t>7 Кодекса об административных нарушениях Республики Беларусь</w:t>
      </w:r>
      <w:r w:rsidR="004E46FA" w:rsidRPr="004E46FA">
        <w:rPr>
          <w:kern w:val="28"/>
        </w:rPr>
        <w:t>).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Размер займа может устанавливаться в процентах от стоимости строительства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реконструкции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или приобретения жилого помещения на момент выдачи займа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Сроки пользования займом и его возврата, размер процентов определяются организацией индивидуально для каждого заемщика исходя из его финансового состояния и состояния организации</w:t>
      </w:r>
      <w:r w:rsidR="004E46FA" w:rsidRPr="004E46FA">
        <w:rPr>
          <w:kern w:val="28"/>
        </w:rPr>
        <w:t>.</w:t>
      </w:r>
    </w:p>
    <w:p w:rsidR="004E46FA" w:rsidRDefault="004E46FA" w:rsidP="004E46FA">
      <w:pPr>
        <w:rPr>
          <w:kern w:val="28"/>
        </w:rPr>
      </w:pPr>
    </w:p>
    <w:p w:rsidR="00AF1B52" w:rsidRPr="004E46FA" w:rsidRDefault="004E46FA" w:rsidP="004E46FA">
      <w:pPr>
        <w:pStyle w:val="2"/>
        <w:rPr>
          <w:kern w:val="28"/>
        </w:rPr>
      </w:pPr>
      <w:bookmarkStart w:id="4" w:name="_Toc247223059"/>
      <w:r w:rsidRPr="004E46FA">
        <w:rPr>
          <w:kern w:val="28"/>
        </w:rPr>
        <w:t>Порядок</w:t>
      </w:r>
      <w:r>
        <w:rPr>
          <w:kern w:val="28"/>
        </w:rPr>
        <w:t xml:space="preserve"> </w:t>
      </w:r>
      <w:r w:rsidRPr="004E46FA">
        <w:rPr>
          <w:kern w:val="28"/>
        </w:rPr>
        <w:t>получения и возврата займа</w:t>
      </w:r>
      <w:bookmarkEnd w:id="4"/>
    </w:p>
    <w:p w:rsidR="004E46FA" w:rsidRDefault="004E46FA" w:rsidP="004E46FA">
      <w:pPr>
        <w:rPr>
          <w:kern w:val="28"/>
        </w:rPr>
      </w:pP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Для получения займа для улучшения жилищных условий работник подает заявление на имя руководителя организации, которое рассматривается и согласовывается в соответствии с законодательством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при участии профкома, с последующим согласованием с вышестоящей организацией</w:t>
      </w:r>
      <w:r w:rsidR="004E46FA" w:rsidRPr="004E46FA">
        <w:rPr>
          <w:kern w:val="28"/>
        </w:rPr>
        <w:t xml:space="preserve">). </w:t>
      </w:r>
      <w:r w:rsidRPr="004E46FA">
        <w:rPr>
          <w:kern w:val="28"/>
        </w:rPr>
        <w:t>Одновременно с заявлением представляются документы, подтверждающие факт постановки заявителя на учет нуждающихся в улучшении жилищных условий и состав семьи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Возврат займа и уплата процентов по нему производятся в порядке и в сроки, установленные договором, в котором также может быть предусмотрен досрочный возврат займа в случае прекращения трудовых отношений между заемщиком и заимодавцем по вине или инициативе заемщика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В случае же выбытия работника из членов организации застройщиков, состава дольщиков либо расторжения договора займа до регистрации права собственности на жилое помещение сумма займа, проиндексированная в соответствии с законодательством, уставом организации застройщиков либо договором создания объекта долевого строительства, возвращается на расчетный счет организации-заимодавца, если между организацией застройщиков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застройщиком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заимодавцем и заемщиком не будет достигнуто соглашение о замене члена организации застройщиков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дольщика по договору создания объекта долевого строительства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и переводе долга по займу на нового заемщика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Условия о возврате суммы займы в случае прекращения с заимодавцем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нанимателем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трудовых отношений могут быть предусмотрены и в договорах, предусматривающих выдачу займа для других целей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Но в данном случае, по мнению автора, следует определять разумный срок для их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ускоренного</w:t>
      </w:r>
      <w:r w:rsidR="004E46FA">
        <w:rPr>
          <w:kern w:val="28"/>
        </w:rPr>
        <w:t xml:space="preserve">" </w:t>
      </w:r>
      <w:r w:rsidRPr="004E46FA">
        <w:rPr>
          <w:kern w:val="28"/>
        </w:rPr>
        <w:t>возврата, так как порой возвратить сразу всю сумму заемщик иногда не в состоянии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На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практике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встречаются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ситуации, когда человек увольняется, но денег у него попросту нет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Зарплата на новом месте работы, из которой он собирается досрочно погасить сумму займа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или ее часть</w:t>
      </w:r>
      <w:r w:rsidR="004E46FA" w:rsidRPr="004E46FA">
        <w:rPr>
          <w:kern w:val="28"/>
        </w:rPr>
        <w:t>),</w:t>
      </w:r>
      <w:r w:rsidRPr="004E46FA">
        <w:rPr>
          <w:kern w:val="28"/>
        </w:rPr>
        <w:t xml:space="preserve"> будет выплачена не скоро, а новый наниматель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в силу своей внутренней политики, отсутствия денежных средств или еще отсутствия доверия к своему новому работнику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не хочет заключать договор уступки перевода долга, оплачивать сумму долга увольняющегося заемщика и ждать ее возврата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Способы предоставления займа могут быть разными</w:t>
      </w:r>
      <w:r w:rsidR="004E46FA" w:rsidRPr="004E46FA">
        <w:rPr>
          <w:kern w:val="28"/>
        </w:rPr>
        <w:t xml:space="preserve">: </w:t>
      </w:r>
      <w:r w:rsidRPr="004E46FA">
        <w:rPr>
          <w:kern w:val="28"/>
        </w:rPr>
        <w:t>наниматель может перечислить работнику сумму займа на карт-счет, на который перечисляет заработную плату, выдать по ведомости в бухгалтерии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в кассе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организации, перечислить на специально открытый дл</w:t>
      </w:r>
      <w:r w:rsidR="00341C7C">
        <w:rPr>
          <w:kern w:val="28"/>
        </w:rPr>
        <w:t>я этого счет или путем непосред</w:t>
      </w:r>
      <w:r w:rsidRPr="004E46FA">
        <w:rPr>
          <w:kern w:val="28"/>
        </w:rPr>
        <w:t>ственной оплаты товаров или услуг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Возврат суммы займа также может производиться разными путями</w:t>
      </w:r>
      <w:r w:rsidR="004E46FA" w:rsidRPr="004E46FA">
        <w:rPr>
          <w:kern w:val="28"/>
        </w:rPr>
        <w:t xml:space="preserve">: </w:t>
      </w:r>
      <w:r w:rsidRPr="004E46FA">
        <w:rPr>
          <w:kern w:val="28"/>
        </w:rPr>
        <w:t>работник может внести сумму в бухгалтерии предприятия, которая будет зачислена на счет нанимателя, написать заявление на произведение нанимателем единовременного удержания из заработной платы или регулярных удержаний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в зависимости от суммы займа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до полного его погашения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Последний вариант для нанимателя довольно удобен, но и требует определенной осторожности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Согласно ст</w:t>
      </w:r>
      <w:r w:rsidR="004E46FA">
        <w:rPr>
          <w:kern w:val="28"/>
        </w:rPr>
        <w:t>.1</w:t>
      </w:r>
      <w:r w:rsidRPr="004E46FA">
        <w:rPr>
          <w:kern w:val="28"/>
        </w:rPr>
        <w:t>07 Трудового кодекса Республики Беларусь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далее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ТК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в предусмотренных законодательством случаях наниматель обязан производить удержания заработной платы для проведения безналичных расчетов по письменному заявлению работника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Но при этом необходимо помнить и о нормах ст</w:t>
      </w:r>
      <w:r w:rsidR="004E46FA">
        <w:rPr>
          <w:kern w:val="28"/>
        </w:rPr>
        <w:t>.1</w:t>
      </w:r>
      <w:r w:rsidRPr="004E46FA">
        <w:rPr>
          <w:kern w:val="28"/>
        </w:rPr>
        <w:t>08 ТК, которые ограничивают размер удержаний из зарплаты работника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20</w:t>
      </w:r>
      <w:r w:rsidR="004E46FA" w:rsidRPr="004E46FA">
        <w:rPr>
          <w:kern w:val="28"/>
        </w:rPr>
        <w:t>%</w:t>
      </w:r>
      <w:r w:rsidRPr="004E46FA">
        <w:rPr>
          <w:kern w:val="28"/>
        </w:rPr>
        <w:t>, а в четко определенных законодательством случаях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50 и 30</w:t>
      </w:r>
      <w:r w:rsidR="004E46FA" w:rsidRPr="004E46FA">
        <w:rPr>
          <w:kern w:val="28"/>
        </w:rPr>
        <w:t xml:space="preserve">%. </w:t>
      </w:r>
      <w:r w:rsidRPr="004E46FA">
        <w:rPr>
          <w:kern w:val="28"/>
        </w:rPr>
        <w:t>Поэтому некоторые наниматели часть подлежащей возврату суммы займа удерживают, а оставшуюся часть работник возвращает через бухгалтерию</w:t>
      </w:r>
      <w:r w:rsidR="004E46FA" w:rsidRPr="004E46FA">
        <w:rPr>
          <w:kern w:val="28"/>
        </w:rPr>
        <w:t>.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Есть в договоре займа один маленький нюанс, который должна учитывать и бухгалтерия предприятия, а именно</w:t>
      </w:r>
      <w:r w:rsidR="004E46FA" w:rsidRPr="004E46FA">
        <w:rPr>
          <w:kern w:val="28"/>
        </w:rPr>
        <w:t xml:space="preserve">: </w:t>
      </w:r>
      <w:r w:rsidRPr="004E46FA">
        <w:rPr>
          <w:kern w:val="28"/>
        </w:rPr>
        <w:t>согласно Закону Республики Беларусь от 2</w:t>
      </w:r>
      <w:r w:rsidR="004E46FA">
        <w:rPr>
          <w:kern w:val="28"/>
        </w:rPr>
        <w:t>1.12.19</w:t>
      </w:r>
      <w:r w:rsidRPr="004E46FA">
        <w:rPr>
          <w:kern w:val="28"/>
        </w:rPr>
        <w:t>91 №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1327-XII</w:t>
      </w:r>
      <w:r w:rsidR="004E46FA">
        <w:rPr>
          <w:kern w:val="28"/>
        </w:rPr>
        <w:t xml:space="preserve"> "</w:t>
      </w:r>
      <w:r w:rsidRPr="004E46FA">
        <w:rPr>
          <w:kern w:val="28"/>
        </w:rPr>
        <w:t>О подоходном налоге с физических лиц</w:t>
      </w:r>
      <w:r w:rsidR="004E46FA">
        <w:rPr>
          <w:kern w:val="28"/>
        </w:rPr>
        <w:t>" (</w:t>
      </w:r>
      <w:r w:rsidRPr="004E46FA">
        <w:rPr>
          <w:kern w:val="28"/>
        </w:rPr>
        <w:t>с</w:t>
      </w:r>
      <w:r w:rsidR="004E46FA">
        <w:rPr>
          <w:kern w:val="28"/>
        </w:rPr>
        <w:t xml:space="preserve"> </w:t>
      </w:r>
      <w:r w:rsidRPr="004E46FA">
        <w:rPr>
          <w:kern w:val="28"/>
        </w:rPr>
        <w:t>изменениями и дополнениями по состоянию на 16</w:t>
      </w:r>
      <w:r w:rsidR="004E46FA">
        <w:rPr>
          <w:kern w:val="28"/>
        </w:rPr>
        <w:t>.07.20</w:t>
      </w:r>
      <w:r w:rsidRPr="004E46FA">
        <w:rPr>
          <w:kern w:val="28"/>
        </w:rPr>
        <w:t>09</w:t>
      </w:r>
      <w:r w:rsidR="004E46FA" w:rsidRPr="004E46FA">
        <w:rPr>
          <w:kern w:val="28"/>
        </w:rPr>
        <w:t>)</w:t>
      </w:r>
      <w:r w:rsidR="004E46FA">
        <w:rPr>
          <w:kern w:val="28"/>
        </w:rPr>
        <w:t xml:space="preserve"> (</w:t>
      </w:r>
      <w:r w:rsidRPr="004E46FA">
        <w:rPr>
          <w:kern w:val="28"/>
        </w:rPr>
        <w:t>далее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Закон</w:t>
      </w:r>
      <w:r w:rsidR="004E46FA" w:rsidRPr="004E46FA">
        <w:rPr>
          <w:kern w:val="28"/>
        </w:rPr>
        <w:t xml:space="preserve">) </w:t>
      </w:r>
      <w:r w:rsidRPr="004E46FA">
        <w:rPr>
          <w:kern w:val="28"/>
        </w:rPr>
        <w:t>выделенная работнику сумма займа будет являться его доходом и подлежать налогообложению</w:t>
      </w:r>
      <w:r w:rsidR="004E46FA" w:rsidRPr="004E46FA">
        <w:rPr>
          <w:kern w:val="28"/>
        </w:rPr>
        <w:t xml:space="preserve">. </w:t>
      </w:r>
    </w:p>
    <w:p w:rsidR="00341C7C" w:rsidRDefault="00AF1B52" w:rsidP="004E46FA">
      <w:pPr>
        <w:rPr>
          <w:kern w:val="28"/>
        </w:rPr>
      </w:pPr>
      <w:r w:rsidRPr="004E46FA">
        <w:rPr>
          <w:kern w:val="28"/>
        </w:rPr>
        <w:t>При этом уплачивать этот налог в размере 12</w:t>
      </w:r>
      <w:r w:rsidR="004E46FA" w:rsidRPr="004E46FA">
        <w:rPr>
          <w:kern w:val="28"/>
        </w:rPr>
        <w:t>%</w:t>
      </w:r>
      <w:r w:rsidRPr="004E46FA">
        <w:rPr>
          <w:kern w:val="28"/>
        </w:rPr>
        <w:t xml:space="preserve"> будет займодавец не позднее дня, следующего за днем выдачи займа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И по мере погашения работником займа ранее уплаченная сумма налога в размере, пропорциональном погашенной задолженности, будет возвращаться уплатившему налог нанимателю</w:t>
      </w:r>
      <w:r w:rsidR="004E46FA" w:rsidRPr="004E46FA">
        <w:rPr>
          <w:kern w:val="28"/>
        </w:rPr>
        <w:t xml:space="preserve">. 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Возврат осуществляется налоговым агентом самостоятельно за счет общей суммы налога, удержанного с доходов физических лиц, путем уменьшения перечисляемой в бюджет суммы налога на сумму, причитающуюся к возврату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При этом следует помнить, что налог не исчисляется с сумм</w:t>
      </w:r>
      <w:r w:rsidR="004E46FA" w:rsidRPr="004E46FA">
        <w:rPr>
          <w:kern w:val="28"/>
        </w:rPr>
        <w:t>: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займов, выданных на строительство или приобретение индивидуальных жилых домов или квартир лицам, состоящим на учете нуждающихся в улучшении жилищных условий</w:t>
      </w:r>
      <w:r w:rsidR="004E46FA" w:rsidRPr="004E46FA">
        <w:rPr>
          <w:kern w:val="28"/>
        </w:rPr>
        <w:t>;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займов, выданных на оплату стоимости обучения в учреждениях образования Республики Беларусь при получении первого высшего, первого среднего специального, первого профессионально-технического образования физическим лицам, имеющим право на получение социального налогового вычета по соответствующему основанию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Помимо этого, ст</w:t>
      </w:r>
      <w:r w:rsidR="004E46FA">
        <w:rPr>
          <w:kern w:val="28"/>
        </w:rPr>
        <w:t>.1</w:t>
      </w:r>
      <w:r w:rsidRPr="004E46FA">
        <w:rPr>
          <w:kern w:val="28"/>
        </w:rPr>
        <w:t>4 Закона предусмотрены социальные вычеты при исчислении подоходного налога, к которым также относятся суммы займов, израсходованные на получение первого высшего образования и улучшение жилищных условий</w:t>
      </w:r>
      <w:r w:rsidR="004E46FA" w:rsidRPr="004E46FA">
        <w:rPr>
          <w:kern w:val="28"/>
        </w:rPr>
        <w:t>.</w:t>
      </w:r>
    </w:p>
    <w:p w:rsidR="004E46FA" w:rsidRDefault="00AF1B52" w:rsidP="004E46FA">
      <w:pPr>
        <w:rPr>
          <w:kern w:val="28"/>
        </w:rPr>
      </w:pPr>
      <w:r w:rsidRPr="004E46FA">
        <w:rPr>
          <w:kern w:val="28"/>
        </w:rPr>
        <w:t>Как видим, заключение договора займа между субъектами трудовых отношений</w:t>
      </w:r>
      <w:r w:rsidR="004E46FA" w:rsidRPr="004E46FA">
        <w:rPr>
          <w:kern w:val="28"/>
        </w:rPr>
        <w:t xml:space="preserve"> - </w:t>
      </w:r>
      <w:r w:rsidRPr="004E46FA">
        <w:rPr>
          <w:kern w:val="28"/>
        </w:rPr>
        <w:t>вполне реальная ситуация и еще один аргумент для нанимателя в создании работникам привлекательных условий, дающих возможность при минимальных затратах реализовать планы и улучшить условия бытия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Но необходимо помнить, что природа этих отношений не связана с трудовым правом, и вертикальные взаимоотношения здесь неприемлемы, нет отношений подчиненности</w:t>
      </w:r>
      <w:r w:rsidR="004E46FA" w:rsidRPr="004E46FA">
        <w:rPr>
          <w:kern w:val="28"/>
        </w:rPr>
        <w:t xml:space="preserve">. </w:t>
      </w:r>
      <w:r w:rsidRPr="004E46FA">
        <w:rPr>
          <w:kern w:val="28"/>
        </w:rPr>
        <w:t>Оба субъекта выступают равноправными участниками правоотношения, и еще не понятно, кто из них несет больший риск</w:t>
      </w:r>
      <w:r w:rsidR="004E46FA" w:rsidRPr="004E46FA">
        <w:rPr>
          <w:kern w:val="28"/>
        </w:rPr>
        <w:t>.</w:t>
      </w:r>
    </w:p>
    <w:p w:rsidR="004E46FA" w:rsidRPr="004E46FA" w:rsidRDefault="00AF1B52" w:rsidP="004E46FA">
      <w:pPr>
        <w:pStyle w:val="2"/>
      </w:pPr>
      <w:r w:rsidRPr="004E46FA">
        <w:br w:type="page"/>
      </w:r>
      <w:bookmarkStart w:id="5" w:name="_Toc247223060"/>
      <w:r w:rsidR="004E46FA" w:rsidRPr="004E46FA">
        <w:t xml:space="preserve">Список </w:t>
      </w:r>
      <w:r w:rsidRPr="004E46FA">
        <w:t>использованных источников</w:t>
      </w:r>
      <w:bookmarkEnd w:id="5"/>
    </w:p>
    <w:p w:rsidR="004E46FA" w:rsidRDefault="004E46FA" w:rsidP="004E46FA"/>
    <w:p w:rsidR="004E46FA" w:rsidRDefault="00AF1B52" w:rsidP="004E46FA">
      <w:pPr>
        <w:pStyle w:val="a0"/>
      </w:pPr>
      <w:r w:rsidRPr="004E46FA">
        <w:t>Конституция Республики Беларусь от 15 марта 1994 года</w:t>
      </w:r>
      <w:r w:rsidR="004E46FA">
        <w:t xml:space="preserve"> (</w:t>
      </w:r>
      <w:r w:rsidRPr="004E46FA">
        <w:t>с изм</w:t>
      </w:r>
      <w:r w:rsidR="004E46FA" w:rsidRPr="004E46FA">
        <w:t xml:space="preserve">. </w:t>
      </w:r>
      <w:r w:rsidRPr="004E46FA">
        <w:t>и доп</w:t>
      </w:r>
      <w:r w:rsidR="004E46FA" w:rsidRPr="004E46FA">
        <w:t>)</w:t>
      </w:r>
      <w:r w:rsidR="004E46FA">
        <w:t xml:space="preserve"> // </w:t>
      </w:r>
      <w:r w:rsidRPr="004E46FA">
        <w:t>Национальный реестр правовых актов Республики Беларусь</w:t>
      </w:r>
      <w:r w:rsidR="004E46FA" w:rsidRPr="004E46FA">
        <w:t>. -</w:t>
      </w:r>
      <w:r w:rsidR="004E46FA">
        <w:t xml:space="preserve"> </w:t>
      </w:r>
      <w:r w:rsidRPr="004E46FA">
        <w:t>1999</w:t>
      </w:r>
      <w:r w:rsidR="004E46FA" w:rsidRPr="004E46FA">
        <w:t>. -</w:t>
      </w:r>
      <w:r w:rsidR="004E46FA">
        <w:t xml:space="preserve"> </w:t>
      </w:r>
      <w:r w:rsidRPr="004E46FA">
        <w:t>№ 1</w:t>
      </w:r>
      <w:r w:rsidR="004E46FA" w:rsidRPr="004E46FA">
        <w:t>. -</w:t>
      </w:r>
      <w:r w:rsidR="004E46FA">
        <w:t xml:space="preserve"> </w:t>
      </w:r>
      <w:r w:rsidRPr="004E46FA">
        <w:t>1/0</w:t>
      </w:r>
      <w:r w:rsidR="004E46FA" w:rsidRPr="004E46FA">
        <w:t xml:space="preserve">; </w:t>
      </w:r>
      <w:r w:rsidRPr="004E46FA">
        <w:t>2004</w:t>
      </w:r>
      <w:r w:rsidR="004E46FA" w:rsidRPr="004E46FA">
        <w:t>. -</w:t>
      </w:r>
      <w:r w:rsidR="004E46FA">
        <w:t xml:space="preserve"> </w:t>
      </w:r>
      <w:r w:rsidRPr="004E46FA">
        <w:t>№ 188</w:t>
      </w:r>
      <w:r w:rsidR="004E46FA" w:rsidRPr="004E46FA">
        <w:t>. -</w:t>
      </w:r>
      <w:r w:rsidR="004E46FA">
        <w:t xml:space="preserve"> </w:t>
      </w:r>
      <w:r w:rsidRPr="004E46FA">
        <w:t>1/6032</w:t>
      </w:r>
      <w:r w:rsidR="004E46FA" w:rsidRPr="004E46FA">
        <w:t>.</w:t>
      </w:r>
    </w:p>
    <w:p w:rsidR="00AF1B52" w:rsidRPr="004E46FA" w:rsidRDefault="00AF1B52" w:rsidP="004E46FA">
      <w:pPr>
        <w:pStyle w:val="a0"/>
      </w:pPr>
      <w:r w:rsidRPr="004E46FA">
        <w:t>Жилищный кодекс Республики Беларусь от 22 марта 1999 г</w:t>
      </w:r>
      <w:r w:rsidR="004E46FA" w:rsidRPr="004E46FA">
        <w:t xml:space="preserve">. </w:t>
      </w:r>
      <w:r w:rsidRPr="004E46FA">
        <w:t>№'248-3</w:t>
      </w:r>
      <w:r w:rsidR="004E46FA">
        <w:t xml:space="preserve"> (</w:t>
      </w:r>
      <w:r w:rsidRPr="004E46FA">
        <w:t>с изм</w:t>
      </w:r>
      <w:r w:rsidR="004E46FA" w:rsidRPr="004E46FA">
        <w:t xml:space="preserve">. </w:t>
      </w:r>
      <w:r w:rsidRPr="004E46FA">
        <w:t>и доп</w:t>
      </w:r>
      <w:r w:rsidR="004E46FA" w:rsidRPr="004E46FA">
        <w:t>)</w:t>
      </w:r>
      <w:r w:rsidR="004E46FA">
        <w:t xml:space="preserve"> // </w:t>
      </w:r>
      <w:r w:rsidRPr="004E46FA">
        <w:t>Ведомости Национального собрания Республики Беларусь</w:t>
      </w:r>
      <w:r w:rsidR="004E46FA">
        <w:t>. 19</w:t>
      </w:r>
      <w:r w:rsidRPr="004E46FA">
        <w:t>99</w:t>
      </w:r>
      <w:r w:rsidR="004E46FA" w:rsidRPr="004E46FA">
        <w:t xml:space="preserve">. </w:t>
      </w:r>
      <w:r w:rsidRPr="004E46FA">
        <w:t>№15</w:t>
      </w:r>
      <w:r w:rsidR="004E46FA" w:rsidRPr="004E46FA">
        <w:t xml:space="preserve">. </w:t>
      </w:r>
      <w:r w:rsidRPr="004E46FA">
        <w:t>Ст</w:t>
      </w:r>
      <w:r w:rsidR="004E46FA">
        <w:t>.3</w:t>
      </w:r>
      <w:r w:rsidRPr="004E46FA">
        <w:t>1</w:t>
      </w:r>
    </w:p>
    <w:p w:rsidR="004E46FA" w:rsidRDefault="00AF1B52" w:rsidP="004E46FA">
      <w:pPr>
        <w:pStyle w:val="a0"/>
      </w:pPr>
      <w:r w:rsidRPr="004E46FA">
        <w:t>Гражданский кодекс Республики Беларусь</w:t>
      </w:r>
      <w:r w:rsidR="004E46FA" w:rsidRPr="004E46FA">
        <w:t xml:space="preserve">: </w:t>
      </w:r>
      <w:r w:rsidRPr="004E46FA">
        <w:t>принят Палатой представителей 28 октября 1998 года, одобрен Советом Республики 19 ноября 1998 года</w:t>
      </w:r>
      <w:r w:rsidR="004E46FA" w:rsidRPr="004E46FA">
        <w:t xml:space="preserve">: </w:t>
      </w:r>
      <w:r w:rsidRPr="004E46FA">
        <w:t>текст Кодекса по состоянию на 20 июля 2007 года</w:t>
      </w:r>
      <w:r w:rsidR="004E46FA">
        <w:t xml:space="preserve"> // </w:t>
      </w:r>
      <w:r w:rsidRPr="004E46FA">
        <w:t>Консультант Плюс</w:t>
      </w:r>
      <w:r w:rsidR="004E46FA" w:rsidRPr="004E46FA">
        <w:t xml:space="preserve">: </w:t>
      </w:r>
      <w:r w:rsidRPr="004E46FA">
        <w:t>Беларусь</w:t>
      </w:r>
      <w:r w:rsidR="004E46FA" w:rsidRPr="004E46FA">
        <w:t xml:space="preserve">. </w:t>
      </w:r>
      <w:r w:rsidRPr="004E46FA">
        <w:t>Технология 3000</w:t>
      </w:r>
      <w:r w:rsidR="004E46FA" w:rsidRPr="004E46FA">
        <w:t xml:space="preserve"> [</w:t>
      </w:r>
      <w:r w:rsidRPr="004E46FA">
        <w:t>Электронный ресурс</w:t>
      </w:r>
      <w:r w:rsidR="004E46FA" w:rsidRPr="004E46FA">
        <w:t xml:space="preserve">] </w:t>
      </w:r>
      <w:r w:rsidRPr="004E46FA">
        <w:t>/ ООО</w:t>
      </w:r>
      <w:r w:rsidR="004E46FA">
        <w:t xml:space="preserve"> "</w:t>
      </w:r>
      <w:r w:rsidRPr="004E46FA">
        <w:t>ЮрСпектр</w:t>
      </w:r>
      <w:r w:rsidR="004E46FA">
        <w:t xml:space="preserve">", </w:t>
      </w:r>
      <w:r w:rsidRPr="004E46FA">
        <w:t>Нац</w:t>
      </w:r>
      <w:r w:rsidR="004E46FA" w:rsidRPr="004E46FA">
        <w:t xml:space="preserve">. </w:t>
      </w:r>
      <w:r w:rsidRPr="004E46FA">
        <w:t>центр правовой информ</w:t>
      </w:r>
      <w:r w:rsidR="004E46FA" w:rsidRPr="004E46FA">
        <w:t xml:space="preserve">. </w:t>
      </w:r>
      <w:r w:rsidRPr="004E46FA">
        <w:t>Республики Беларусь</w:t>
      </w:r>
      <w:r w:rsidR="004E46FA" w:rsidRPr="004E46FA">
        <w:t>. -</w:t>
      </w:r>
      <w:r w:rsidR="004E46FA">
        <w:t xml:space="preserve"> </w:t>
      </w:r>
      <w:r w:rsidRPr="004E46FA">
        <w:t>Минск, 2007</w:t>
      </w:r>
      <w:r w:rsidR="004E46FA" w:rsidRPr="004E46FA">
        <w:t>.</w:t>
      </w:r>
    </w:p>
    <w:p w:rsidR="004E46FA" w:rsidRDefault="00AF1B52" w:rsidP="004E46FA">
      <w:pPr>
        <w:pStyle w:val="a0"/>
      </w:pPr>
      <w:r w:rsidRPr="004E46FA">
        <w:t>Е</w:t>
      </w:r>
      <w:r w:rsidR="004E46FA">
        <w:t xml:space="preserve">.С. </w:t>
      </w:r>
      <w:r w:rsidRPr="004E46FA">
        <w:t>Захарова Жилищное право</w:t>
      </w:r>
      <w:r w:rsidR="004E46FA" w:rsidRPr="004E46FA">
        <w:t xml:space="preserve">: </w:t>
      </w:r>
      <w:r w:rsidRPr="004E46FA">
        <w:t>Курс лекций мн</w:t>
      </w:r>
      <w:r w:rsidR="004E46FA">
        <w:t>.:</w:t>
      </w:r>
      <w:r w:rsidR="004E46FA" w:rsidRPr="004E46FA">
        <w:t xml:space="preserve"> </w:t>
      </w:r>
      <w:r w:rsidRPr="004E46FA">
        <w:t>ЗАО Веды</w:t>
      </w:r>
      <w:r w:rsidR="004E46FA" w:rsidRPr="004E46FA">
        <w:t xml:space="preserve">. - </w:t>
      </w:r>
      <w:r w:rsidRPr="004E46FA">
        <w:t>2007</w:t>
      </w:r>
      <w:r w:rsidR="004E46FA" w:rsidRPr="004E46FA">
        <w:t>. -</w:t>
      </w:r>
      <w:r w:rsidR="004E46FA">
        <w:t xml:space="preserve"> </w:t>
      </w:r>
      <w:r w:rsidRPr="004E46FA">
        <w:t>88с</w:t>
      </w:r>
      <w:r w:rsidR="004E46FA" w:rsidRPr="004E46FA">
        <w:t>.</w:t>
      </w:r>
    </w:p>
    <w:p w:rsidR="004E46FA" w:rsidRDefault="00AF1B52" w:rsidP="004E46FA">
      <w:pPr>
        <w:pStyle w:val="a0"/>
      </w:pPr>
      <w:r w:rsidRPr="004E46FA">
        <w:t>Жилищное законодательство Республики Беларусь</w:t>
      </w:r>
      <w:r w:rsidR="004E46FA" w:rsidRPr="004E46FA">
        <w:t xml:space="preserve">: </w:t>
      </w:r>
      <w:r w:rsidRPr="004E46FA">
        <w:t>Сб</w:t>
      </w:r>
      <w:r w:rsidR="004E46FA" w:rsidRPr="004E46FA">
        <w:t xml:space="preserve">. </w:t>
      </w:r>
      <w:r w:rsidRPr="004E46FA">
        <w:t>нормативных сост</w:t>
      </w:r>
      <w:r w:rsidR="004E46FA" w:rsidRPr="004E46FA">
        <w:t xml:space="preserve">. </w:t>
      </w:r>
      <w:r w:rsidRPr="004E46FA">
        <w:t>Бохан В</w:t>
      </w:r>
      <w:r w:rsidR="004E46FA">
        <w:t>.Ф. -</w:t>
      </w:r>
      <w:r w:rsidRPr="004E46FA">
        <w:t xml:space="preserve"> Мн</w:t>
      </w:r>
      <w:r w:rsidR="004E46FA">
        <w:t>.:</w:t>
      </w:r>
      <w:r w:rsidR="004E46FA" w:rsidRPr="004E46FA">
        <w:t xml:space="preserve"> </w:t>
      </w:r>
      <w:r w:rsidRPr="004E46FA">
        <w:t>Дикта, 2003</w:t>
      </w:r>
      <w:r w:rsidR="004E46FA" w:rsidRPr="004E46FA">
        <w:t>. -</w:t>
      </w:r>
      <w:r w:rsidR="004E46FA">
        <w:t xml:space="preserve"> </w:t>
      </w:r>
      <w:r w:rsidRPr="004E46FA">
        <w:t>384с</w:t>
      </w:r>
      <w:r w:rsidR="004E46FA" w:rsidRPr="004E46FA">
        <w:t>.</w:t>
      </w:r>
    </w:p>
    <w:p w:rsidR="004E46FA" w:rsidRDefault="00AF1B52" w:rsidP="004E46FA">
      <w:pPr>
        <w:pStyle w:val="a0"/>
      </w:pPr>
      <w:r w:rsidRPr="004E46FA">
        <w:t>Седугин П</w:t>
      </w:r>
      <w:r w:rsidR="004E46FA">
        <w:t xml:space="preserve">.И. </w:t>
      </w:r>
      <w:r w:rsidRPr="004E46FA">
        <w:t>Жилищное право</w:t>
      </w:r>
      <w:r w:rsidR="004E46FA" w:rsidRPr="004E46FA">
        <w:t xml:space="preserve">. </w:t>
      </w:r>
      <w:r w:rsidRPr="004E46FA">
        <w:t>Учебник для вузов</w:t>
      </w:r>
      <w:r w:rsidR="004E46FA" w:rsidRPr="004E46FA">
        <w:t xml:space="preserve">. </w:t>
      </w:r>
      <w:r w:rsidR="004E46FA">
        <w:t>-</w:t>
      </w:r>
      <w:r w:rsidRPr="004E46FA">
        <w:t xml:space="preserve"> М</w:t>
      </w:r>
      <w:r w:rsidR="004E46FA">
        <w:t>.:</w:t>
      </w:r>
      <w:r w:rsidR="004E46FA" w:rsidRPr="004E46FA">
        <w:t xml:space="preserve"> </w:t>
      </w:r>
      <w:r w:rsidRPr="004E46FA">
        <w:t xml:space="preserve">Издательская группа ИНФРА М </w:t>
      </w:r>
      <w:r w:rsidR="004E46FA">
        <w:t>-</w:t>
      </w:r>
      <w:r w:rsidRPr="004E46FA">
        <w:t xml:space="preserve"> НОРМА, 2006г</w:t>
      </w:r>
      <w:r w:rsidR="004E46FA" w:rsidRPr="004E46FA">
        <w:t>.</w:t>
      </w:r>
    </w:p>
    <w:p w:rsidR="004E46FA" w:rsidRDefault="00AF1B52" w:rsidP="004E46FA">
      <w:pPr>
        <w:pStyle w:val="a0"/>
      </w:pPr>
      <w:r w:rsidRPr="004E46FA">
        <w:t>Симчук А</w:t>
      </w:r>
      <w:r w:rsidR="004E46FA">
        <w:t xml:space="preserve">.Н. </w:t>
      </w:r>
      <w:r w:rsidRPr="004E46FA">
        <w:t>Правовое регулирование жилищный отношений</w:t>
      </w:r>
      <w:r w:rsidR="004E46FA" w:rsidRPr="004E46FA">
        <w:t xml:space="preserve">. </w:t>
      </w:r>
      <w:r w:rsidRPr="004E46FA">
        <w:t>Формы документов</w:t>
      </w:r>
      <w:r w:rsidR="004E46FA" w:rsidRPr="004E46FA">
        <w:t>. -</w:t>
      </w:r>
      <w:r w:rsidR="004E46FA">
        <w:t xml:space="preserve"> </w:t>
      </w:r>
      <w:r w:rsidRPr="004E46FA">
        <w:t>Мн</w:t>
      </w:r>
      <w:r w:rsidR="004E46FA">
        <w:t>.:</w:t>
      </w:r>
      <w:r w:rsidR="004E46FA" w:rsidRPr="004E46FA">
        <w:t xml:space="preserve"> </w:t>
      </w:r>
      <w:r w:rsidRPr="004E46FA">
        <w:t>Тесей 2003г</w:t>
      </w:r>
      <w:r w:rsidR="004E46FA" w:rsidRPr="004E46FA">
        <w:t>. -</w:t>
      </w:r>
      <w:r w:rsidR="004E46FA">
        <w:t xml:space="preserve"> </w:t>
      </w:r>
      <w:r w:rsidRPr="004E46FA">
        <w:t>232с</w:t>
      </w:r>
      <w:r w:rsidR="004E46FA" w:rsidRPr="004E46FA">
        <w:t>.</w:t>
      </w:r>
    </w:p>
    <w:p w:rsidR="00AD3425" w:rsidRPr="004E46FA" w:rsidRDefault="00AF1B52" w:rsidP="004E46FA">
      <w:pPr>
        <w:pStyle w:val="a0"/>
      </w:pPr>
      <w:r w:rsidRPr="004E46FA">
        <w:t>Чигир В</w:t>
      </w:r>
      <w:r w:rsidR="004E46FA">
        <w:t xml:space="preserve">.Ф. </w:t>
      </w:r>
      <w:r w:rsidRPr="004E46FA">
        <w:t>Договор найма жилого помещения</w:t>
      </w:r>
      <w:r w:rsidR="004E46FA" w:rsidRPr="004E46FA">
        <w:t xml:space="preserve">. </w:t>
      </w:r>
      <w:r w:rsidRPr="004E46FA">
        <w:t>Мн</w:t>
      </w:r>
      <w:r w:rsidR="004E46FA">
        <w:t>.: "</w:t>
      </w:r>
      <w:r w:rsidRPr="004E46FA">
        <w:t>Амалфея</w:t>
      </w:r>
      <w:r w:rsidR="004E46FA">
        <w:t xml:space="preserve">", </w:t>
      </w:r>
      <w:r w:rsidRPr="004E46FA">
        <w:t>2001г</w:t>
      </w:r>
      <w:r w:rsidR="004E46FA" w:rsidRPr="004E46FA">
        <w:t>.</w:t>
      </w:r>
      <w:bookmarkStart w:id="6" w:name="_GoBack"/>
      <w:bookmarkEnd w:id="6"/>
    </w:p>
    <w:sectPr w:rsidR="00AD3425" w:rsidRPr="004E46FA" w:rsidSect="004E46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54" w:rsidRDefault="00207354">
      <w:r>
        <w:separator/>
      </w:r>
    </w:p>
  </w:endnote>
  <w:endnote w:type="continuationSeparator" w:id="0">
    <w:p w:rsidR="00207354" w:rsidRDefault="0020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FA" w:rsidRDefault="004E46F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FA" w:rsidRDefault="004E46F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54" w:rsidRDefault="00207354">
      <w:r>
        <w:separator/>
      </w:r>
    </w:p>
  </w:footnote>
  <w:footnote w:type="continuationSeparator" w:id="0">
    <w:p w:rsidR="00207354" w:rsidRDefault="0020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FA" w:rsidRDefault="002E3048" w:rsidP="00107DA1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E46FA" w:rsidRDefault="004E46FA" w:rsidP="00706D9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FA" w:rsidRDefault="004E46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D6CF4"/>
    <w:multiLevelType w:val="singleLevel"/>
    <w:tmpl w:val="D256B20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7141ECB9"/>
    <w:multiLevelType w:val="multilevel"/>
    <w:tmpl w:val="2C8AA0F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9E"/>
    <w:rsid w:val="000C4450"/>
    <w:rsid w:val="000D6B50"/>
    <w:rsid w:val="00107DA1"/>
    <w:rsid w:val="001132CF"/>
    <w:rsid w:val="00207354"/>
    <w:rsid w:val="00254BC9"/>
    <w:rsid w:val="002E3048"/>
    <w:rsid w:val="00341C7C"/>
    <w:rsid w:val="00400F26"/>
    <w:rsid w:val="0044412D"/>
    <w:rsid w:val="00481B9F"/>
    <w:rsid w:val="004E46FA"/>
    <w:rsid w:val="00706D9E"/>
    <w:rsid w:val="00AD3425"/>
    <w:rsid w:val="00AF1B52"/>
    <w:rsid w:val="00B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F9D3D8-2568-43E3-AF03-EC12B39D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E46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46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46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E46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46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46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46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46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46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4E46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E46FA"/>
    <w:rPr>
      <w:vertAlign w:val="superscript"/>
    </w:rPr>
  </w:style>
  <w:style w:type="character" w:styleId="ab">
    <w:name w:val="page number"/>
    <w:uiPriority w:val="99"/>
    <w:rsid w:val="004E46FA"/>
  </w:style>
  <w:style w:type="table" w:styleId="-1">
    <w:name w:val="Table Web 1"/>
    <w:basedOn w:val="a4"/>
    <w:uiPriority w:val="99"/>
    <w:rsid w:val="004E46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E46FA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E46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E46FA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4E46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E46F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E46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E46FA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E46FA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E46F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E46F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E46F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E46FA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E46FA"/>
    <w:rPr>
      <w:sz w:val="28"/>
      <w:szCs w:val="28"/>
    </w:rPr>
  </w:style>
  <w:style w:type="paragraph" w:styleId="af7">
    <w:name w:val="Normal (Web)"/>
    <w:basedOn w:val="a2"/>
    <w:uiPriority w:val="99"/>
    <w:rsid w:val="004E46F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E46F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E46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46F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46F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46FA"/>
    <w:pPr>
      <w:ind w:left="958"/>
    </w:pPr>
  </w:style>
  <w:style w:type="paragraph" w:styleId="23">
    <w:name w:val="Body Text Indent 2"/>
    <w:basedOn w:val="a2"/>
    <w:link w:val="24"/>
    <w:uiPriority w:val="99"/>
    <w:rsid w:val="004E46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E46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4E46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4E46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46F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46FA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E46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E46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E46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46FA"/>
    <w:rPr>
      <w:i/>
      <w:iCs/>
    </w:rPr>
  </w:style>
  <w:style w:type="paragraph" w:customStyle="1" w:styleId="afa">
    <w:name w:val="ТАБЛИЦА"/>
    <w:next w:val="a2"/>
    <w:autoRedefine/>
    <w:uiPriority w:val="99"/>
    <w:rsid w:val="004E46FA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E46F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E46FA"/>
  </w:style>
  <w:style w:type="table" w:customStyle="1" w:styleId="15">
    <w:name w:val="Стиль таблицы1"/>
    <w:uiPriority w:val="99"/>
    <w:rsid w:val="004E46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E46F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E46F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E46FA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4E46F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E46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УЛУЧШИТЬ ЖИЛИЩНЫЕ УСЛОВИЯ ПОМОЖЕТ РОДНАЯ ОРГАНИЗАЦИЯ</vt:lpstr>
    </vt:vector>
  </TitlesOfParts>
  <Company>Microsoft</Company>
  <LinksUpToDate>false</LinksUpToDate>
  <CharactersWithSpaces>18941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УЛУЧШИТЬ ЖИЛИЩНЫЕ УСЛОВИЯ ПОМОЖЕТ РОДНАЯ ОРГАНИЗАЦИЯ</dc:title>
  <dc:subject/>
  <dc:creator>Admin</dc:creator>
  <cp:keywords/>
  <dc:description/>
  <cp:lastModifiedBy>admin</cp:lastModifiedBy>
  <cp:revision>2</cp:revision>
  <dcterms:created xsi:type="dcterms:W3CDTF">2014-03-06T02:16:00Z</dcterms:created>
  <dcterms:modified xsi:type="dcterms:W3CDTF">2014-03-06T02:16:00Z</dcterms:modified>
</cp:coreProperties>
</file>