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30" w:rsidRDefault="00A20730" w:rsidP="00A839E9">
      <w:pPr>
        <w:pStyle w:val="3"/>
      </w:pPr>
    </w:p>
    <w:p w:rsidR="00A839E9" w:rsidRDefault="00A839E9" w:rsidP="00A839E9">
      <w:pPr>
        <w:pStyle w:val="3"/>
      </w:pPr>
      <w:r>
        <w:t>§ 5. Другие гарантии и компенсации</w:t>
      </w:r>
    </w:p>
    <w:p w:rsidR="00A839E9" w:rsidRDefault="00A839E9" w:rsidP="00A839E9">
      <w:pPr>
        <w:pStyle w:val="a3"/>
      </w:pPr>
      <w:r>
        <w:rPr>
          <w:b/>
          <w:bCs/>
          <w:i/>
          <w:iCs/>
        </w:rPr>
        <w:t>Гарантии при переводе работника на другую постоянную нижеоплачиваемую работу.</w:t>
      </w:r>
      <w:r>
        <w:rPr>
          <w:i/>
          <w:iCs/>
        </w:rPr>
        <w:t xml:space="preserve"> </w:t>
      </w:r>
      <w:r>
        <w:t xml:space="preserve">Статья 182 ТК РФ предусматривает гарантии работникам при переводе на другую работу только в том случае, если такой перевод обусловлен состоянием здоровья работника. Согласно ст. 72 ТК РФ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организации соответствующей работы, трудовой договор прекращается в соответствии с п. 8 ст. 77 Трудового кодекса РФ (отказ работника от перевода на другую работу вследствие состояния здоровья в соответствии с медицинским заключением). </w:t>
      </w:r>
    </w:p>
    <w:p w:rsidR="00A839E9" w:rsidRDefault="00A839E9" w:rsidP="00A839E9">
      <w:pPr>
        <w:pStyle w:val="a3"/>
      </w:pPr>
      <w:r>
        <w:t xml:space="preserve">При переводе работника, нуждающегося в соответствии с медицинским заключением в предоставлении другой работы, на другую постоянную нижеоплачиваемую работу в данной организации за ним сохраняется его прежний средний заработок в течение одного месяца со дня перевода. </w:t>
      </w:r>
    </w:p>
    <w:p w:rsidR="00A839E9" w:rsidRDefault="00A839E9" w:rsidP="00A839E9">
      <w:pPr>
        <w:pStyle w:val="a3"/>
      </w:pPr>
      <w:r>
        <w:t xml:space="preserve">Если перевод связан с трудовым увечьем, профессиональным заболеванием или иным повреждением здоровья, связанным с работой, то средний заработок сохраняется за работником до установления стойкой утраты профессиональной трудоспособности либо до выздоровления.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утверждены Постановлением Правительства РФ от 16 октября 2000г. № 789. Временные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утверждены Постановлением Минтруда России от 18 июля </w:t>
      </w:r>
      <w:smartTag w:uri="urn:schemas-microsoft-com:office:smarttags" w:element="metricconverter">
        <w:smartTagPr>
          <w:attr w:name="ProductID" w:val="2001 г"/>
        </w:smartTagPr>
        <w:r>
          <w:t>2001 г</w:t>
        </w:r>
      </w:smartTag>
      <w:r>
        <w:t xml:space="preserve">. № 56. </w:t>
      </w:r>
    </w:p>
    <w:p w:rsidR="00A839E9" w:rsidRDefault="00A839E9" w:rsidP="00A839E9">
      <w:pPr>
        <w:pStyle w:val="a3"/>
      </w:pPr>
      <w:r>
        <w:t xml:space="preserve">Законодательством предусматриваются и другие случаи, гарантирующие сохранение прежнего среднего заработка работника при переводе его по медицинским показаниям на нижеоплачиваемую работу. Так, доплата до размера прежнего заработка при переводе по медицинским показаниям на нижеоплачиваемую работу осуществляется организациями до восстановления трудоспособности или до установления инвалидности в отношении некоторых категорий граждан, подвергшихся воздействию радиации вследствие чернобыльской катастрофы и других радиационных аварий и катастроф. </w:t>
      </w:r>
    </w:p>
    <w:p w:rsidR="00A839E9" w:rsidRDefault="00A839E9" w:rsidP="00A839E9">
      <w:pPr>
        <w:pStyle w:val="a3"/>
      </w:pPr>
      <w:r>
        <w:rPr>
          <w:b/>
          <w:bCs/>
          <w:i/>
          <w:iCs/>
        </w:rPr>
        <w:t xml:space="preserve">Гарантии работнику при временной нетрудоспособности. </w:t>
      </w:r>
      <w:r>
        <w:t xml:space="preserve">В соответствии со ст. 183 ТК РФ при временной нетрудоспособности работодатель должен выплачивать работнику пособие по временной нетрудоспособности в соответствии с федеральным законом. Но поскольку российский закон о пособии по временной нетрудоспособности не принят, порядок реализации права работников на этот вид обеспечения по обязательному социальному страхованию регулируется союзным законодательством. Нормы, устанавливающие основания и условия назначения этого пособия, размеры и продолжительность его выплаты закреплены в Основных условиях обеспечения пособиями по государственному социальному страхованию, в развитие которых Постановлением Президиума ВЦСПС было утверждено Положение о порядке обеспечения пособиями по государственному социальному страхованию. </w:t>
      </w:r>
    </w:p>
    <w:p w:rsidR="00A839E9" w:rsidRDefault="00A839E9" w:rsidP="00A839E9">
      <w:pPr>
        <w:pStyle w:val="a3"/>
      </w:pPr>
      <w:r>
        <w:t xml:space="preserve">Документом, на основании которого назначается и выплачивается пособие по временной нетрудоспособности, является листок временной нетрудоспособности, выдаваемый в соответствии с инструкцией о порядке выдачи документов, удостоверяющих временную нетрудоспособность граждан. </w:t>
      </w:r>
    </w:p>
    <w:p w:rsidR="00A839E9" w:rsidRDefault="00A839E9" w:rsidP="00A839E9">
      <w:pPr>
        <w:pStyle w:val="a3"/>
      </w:pPr>
      <w:r>
        <w:t xml:space="preserve">Размер пособия по временной нетрудоспособности зависит от непрерывного трудового стажа, дающего право на получение пособия, а также от категорий получателей пособия, причин временной нетрудоспособности и ряда других условий, предусмотренных действующим законодательством. </w:t>
      </w:r>
    </w:p>
    <w:p w:rsidR="00A839E9" w:rsidRDefault="00A839E9" w:rsidP="00A839E9">
      <w:pPr>
        <w:pStyle w:val="a3"/>
      </w:pPr>
      <w:r>
        <w:t xml:space="preserve">В размере 100% среднего заработка работника пособие вне зависимости от стажа работы выплачивается в следующих случаях: </w:t>
      </w:r>
    </w:p>
    <w:p w:rsidR="00A839E9" w:rsidRDefault="00A839E9" w:rsidP="00A839E9">
      <w:pPr>
        <w:numPr>
          <w:ilvl w:val="0"/>
          <w:numId w:val="1"/>
        </w:numPr>
        <w:spacing w:before="100" w:beforeAutospacing="1" w:after="100" w:afterAutospacing="1"/>
      </w:pPr>
      <w:r>
        <w:t xml:space="preserve">если причиной нетрудоспособности явились трудовое увечье или профессиональное заболевание; </w:t>
      </w:r>
    </w:p>
    <w:p w:rsidR="00A839E9" w:rsidRDefault="00A839E9" w:rsidP="00A839E9">
      <w:pPr>
        <w:numPr>
          <w:ilvl w:val="0"/>
          <w:numId w:val="1"/>
        </w:numPr>
        <w:spacing w:before="100" w:beforeAutospacing="1" w:after="100" w:afterAutospacing="1"/>
      </w:pPr>
      <w:r>
        <w:t xml:space="preserve">работающим инвалидам Великой Отечественной войны и приравненным к ним лицам; </w:t>
      </w:r>
    </w:p>
    <w:p w:rsidR="00A839E9" w:rsidRDefault="00A839E9" w:rsidP="00A839E9">
      <w:pPr>
        <w:numPr>
          <w:ilvl w:val="0"/>
          <w:numId w:val="1"/>
        </w:numPr>
        <w:spacing w:before="100" w:beforeAutospacing="1" w:after="100" w:afterAutospacing="1"/>
      </w:pPr>
      <w:r>
        <w:t xml:space="preserve">работникам, имеющим на своем иждивении трех или более детей, не достигших 16 (учащиеся — не более 18) лет; </w:t>
      </w:r>
    </w:p>
    <w:p w:rsidR="00A839E9" w:rsidRDefault="00A839E9" w:rsidP="00A839E9">
      <w:pPr>
        <w:numPr>
          <w:ilvl w:val="0"/>
          <w:numId w:val="1"/>
        </w:numPr>
        <w:spacing w:before="100" w:beforeAutospacing="1" w:after="100" w:afterAutospacing="1"/>
      </w:pPr>
      <w:r>
        <w:t xml:space="preserve">если временная нетрудоспособность наступила по причине ранения, контузии, увечья или заболевания, полученных при выполнении интернационального долга; </w:t>
      </w:r>
    </w:p>
    <w:p w:rsidR="00A839E9" w:rsidRDefault="00A839E9" w:rsidP="00A839E9">
      <w:pPr>
        <w:numPr>
          <w:ilvl w:val="0"/>
          <w:numId w:val="1"/>
        </w:numPr>
        <w:spacing w:before="100" w:beforeAutospacing="1" w:after="100" w:afterAutospacing="1"/>
      </w:pPr>
      <w:r>
        <w:t xml:space="preserve">работникам, пострадавшим в результате аварии на Чернобыльской АЭС, </w:t>
      </w:r>
    </w:p>
    <w:p w:rsidR="00A839E9" w:rsidRDefault="00A839E9" w:rsidP="00A839E9">
      <w:pPr>
        <w:numPr>
          <w:ilvl w:val="0"/>
          <w:numId w:val="1"/>
        </w:numPr>
        <w:spacing w:before="100" w:beforeAutospacing="1" w:after="100" w:afterAutospacing="1"/>
      </w:pPr>
      <w:r>
        <w:t xml:space="preserve">лицам, работающим в районах Крайнего Севера и приравненным к ним местностях; </w:t>
      </w:r>
    </w:p>
    <w:p w:rsidR="00A839E9" w:rsidRDefault="00A839E9" w:rsidP="00A839E9">
      <w:pPr>
        <w:numPr>
          <w:ilvl w:val="0"/>
          <w:numId w:val="1"/>
        </w:numPr>
        <w:spacing w:before="100" w:beforeAutospacing="1" w:after="100" w:afterAutospacing="1"/>
      </w:pPr>
      <w:r>
        <w:t xml:space="preserve">донорам, сдавшим безвозмездно в течение года кровь и (или) ее компоненты в суммарном количестве, равном двум максимально допустимым дозам; </w:t>
      </w:r>
    </w:p>
    <w:p w:rsidR="00A839E9" w:rsidRDefault="00A839E9" w:rsidP="00A839E9">
      <w:pPr>
        <w:numPr>
          <w:ilvl w:val="0"/>
          <w:numId w:val="1"/>
        </w:numPr>
        <w:spacing w:before="100" w:beforeAutospacing="1" w:after="100" w:afterAutospacing="1"/>
      </w:pPr>
      <w:r>
        <w:t xml:space="preserve">если временная нетрудоспособность связана с поствакцинальным осложнением; </w:t>
      </w:r>
    </w:p>
    <w:p w:rsidR="00A839E9" w:rsidRDefault="00A839E9" w:rsidP="00A839E9">
      <w:pPr>
        <w:numPr>
          <w:ilvl w:val="0"/>
          <w:numId w:val="1"/>
        </w:numPr>
        <w:spacing w:before="100" w:beforeAutospacing="1" w:after="100" w:afterAutospacing="1"/>
      </w:pPr>
      <w:r>
        <w:t>гражданам, занятым на работах с химическим оружием.</w:t>
      </w:r>
    </w:p>
    <w:p w:rsidR="00A839E9" w:rsidRDefault="00A839E9" w:rsidP="00A839E9">
      <w:pPr>
        <w:pStyle w:val="a3"/>
      </w:pPr>
      <w:r>
        <w:t xml:space="preserve">В других случаях размер пособия определяется в зависимости от непрерывного трудового стажа: </w:t>
      </w:r>
    </w:p>
    <w:p w:rsidR="00A839E9" w:rsidRDefault="00A839E9" w:rsidP="00A839E9">
      <w:pPr>
        <w:numPr>
          <w:ilvl w:val="0"/>
          <w:numId w:val="2"/>
        </w:numPr>
        <w:spacing w:before="100" w:beforeAutospacing="1" w:after="100" w:afterAutospacing="1"/>
      </w:pPr>
      <w:r>
        <w:t xml:space="preserve">100% среднего заработка — работникам с непрерывным трудовым стажем от 8 лет и более; </w:t>
      </w:r>
    </w:p>
    <w:p w:rsidR="00A839E9" w:rsidRDefault="00A839E9" w:rsidP="00A839E9">
      <w:pPr>
        <w:numPr>
          <w:ilvl w:val="0"/>
          <w:numId w:val="2"/>
        </w:numPr>
        <w:spacing w:before="100" w:beforeAutospacing="1" w:after="100" w:afterAutospacing="1"/>
      </w:pPr>
      <w:r>
        <w:t xml:space="preserve">80% среднего заработка — работникам с непрерывным трудовым стажем от 5 до 8 лет и работникам из числа круглых сирот, не достигших 21 года, имеющим непрерывный трудовой стаж до 5 лет; </w:t>
      </w:r>
    </w:p>
    <w:p w:rsidR="00A839E9" w:rsidRDefault="00A839E9" w:rsidP="00A839E9">
      <w:pPr>
        <w:numPr>
          <w:ilvl w:val="0"/>
          <w:numId w:val="2"/>
        </w:numPr>
        <w:spacing w:before="100" w:beforeAutospacing="1" w:after="100" w:afterAutospacing="1"/>
      </w:pPr>
      <w:r>
        <w:t>60% среднего заработка — работникам с непрерывным трудовым стажем до 5 лет.</w:t>
      </w:r>
    </w:p>
    <w:p w:rsidR="00A839E9" w:rsidRDefault="00A839E9" w:rsidP="00A839E9">
      <w:pPr>
        <w:pStyle w:val="a3"/>
      </w:pPr>
      <w:r>
        <w:t xml:space="preserve">Указом Президента РФ "О размере пособия по временной нетрудоспособности", был установлен максимальный размер пособия по временной нетрудоспособности за полный календарный месяц на уровне 85-кратного минимального размера оплаты труда. Исходя из размера минимальной месячной оплаты труда в сумме 450 руб., установленного для случаев исчисления пособий по временной нетрудоспособности и по беременности и родам Федеральным законом РФ "О минимальном размере оплаты труда", максимальный размер пособия по временной нетрудоспособности составлял 38 250 руб. </w:t>
      </w:r>
    </w:p>
    <w:p w:rsidR="00A839E9" w:rsidRDefault="00A839E9" w:rsidP="00A839E9">
      <w:pPr>
        <w:pStyle w:val="a3"/>
      </w:pPr>
      <w:r>
        <w:t xml:space="preserve">Однако в настоящее время установлены ограничения размера пособия по временной нетрудоспособности, так как в соответствии со ст. 15 Федерального закона РФ "О бюджете Фонда социального страхования Российской Федерации на 2002 год"максимальный размер пособия по временной нетрудоспособности за полный календарный месяц не должен превышать 11700руб. </w:t>
      </w:r>
    </w:p>
    <w:p w:rsidR="00A839E9" w:rsidRDefault="00A839E9" w:rsidP="00A839E9">
      <w:pPr>
        <w:pStyle w:val="a3"/>
      </w:pPr>
      <w:r>
        <w:rPr>
          <w:b/>
          <w:bCs/>
          <w:i/>
          <w:iCs/>
        </w:rPr>
        <w:t xml:space="preserve">Гарантии и компенсации при несчастном случае на производстве и профессиональном заболевании. </w:t>
      </w:r>
      <w:r>
        <w:t xml:space="preserve">Согласно ст. 184 ТК РФ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Виды, объемы и условия предоставления работникам гарантий и компенсаций в указанных случаях определяются федеральным законом. </w:t>
      </w:r>
    </w:p>
    <w:p w:rsidR="00A839E9" w:rsidRDefault="00A839E9" w:rsidP="00A839E9">
      <w:pPr>
        <w:pStyle w:val="a3"/>
      </w:pPr>
      <w:r>
        <w:t xml:space="preserve">Вред, причиненный здоровью или жизни работника при исполнении трудовых обязанностей, возмещается путем предоставления обеспечения по обязательному социальному страхованию от несчастных случаев и профессиональных заболеваний. Правовые, экономические и организационные основы этого вида страхования, а также порядок возмещения вреда, включая условия, виды и размеры обеспечения, урегулированы Федеральным законом "Об обязательном социальном страховании от несчастных случаев на производстве и профессиональных заболеваний". </w:t>
      </w:r>
    </w:p>
    <w:p w:rsidR="00A839E9" w:rsidRDefault="00A839E9" w:rsidP="00A839E9">
      <w:pPr>
        <w:pStyle w:val="a3"/>
      </w:pPr>
      <w:r>
        <w:t xml:space="preserve">Обязательному социальному страхованию от несчастных случаев на производстве и профессиональных заболеваний подлежат все лица, выполняющие работу на основании трудового договора, а также лица, осужденные к лишению свободы и привлекаемые к труду. В добровольном порядке на условиях и по нормам указанного Закона могут быть застрахованы и лица, выполняющие работу на основании гражданско-правового договора. </w:t>
      </w:r>
    </w:p>
    <w:p w:rsidR="00A839E9" w:rsidRDefault="00A839E9" w:rsidP="00A839E9">
      <w:pPr>
        <w:pStyle w:val="a3"/>
      </w:pPr>
      <w:r>
        <w:t xml:space="preserve">Неуплата работодателем страховых взносов не лишает работника права на страховое обеспечение. </w:t>
      </w:r>
    </w:p>
    <w:p w:rsidR="00A839E9" w:rsidRDefault="00A839E9" w:rsidP="00A839E9">
      <w:pPr>
        <w:pStyle w:val="a3"/>
      </w:pPr>
      <w:r>
        <w:t xml:space="preserve">В случае смерти застрахованного право на обеспечение имеют: нетрудоспособные лица, состоящие на иждивении умершего или имевшие ко дню его смерти право получать от него содержание: ребенок умершего, родившийся после его смерти; 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детьми, внуками, братьями и сестрами, не достигшими 14 лет либо хотя и достигшими этого возраста, но по медицинскому заключению нуждающимися по состоянию здоровья в постороннем уходе; лица, состоявшие на иждивении умершего и ставшие нетрудоспособными в течение 5 лет после его смерти. </w:t>
      </w:r>
    </w:p>
    <w:p w:rsidR="00A839E9" w:rsidRDefault="00A839E9" w:rsidP="00A839E9">
      <w:pPr>
        <w:pStyle w:val="a3"/>
      </w:pPr>
      <w:r>
        <w:t xml:space="preserve">Страховое обеспечение выплачивается: несовершеннолетним — до достижения ими возраста 18 лет; учащимся старше 18 лет — до окончания учебы в учебных учреждениях по очной форме обучения, но не более чем до 23 лет; женщинам, достигшим возраста 55 лет, и мужчинам, достигшим возраста 60 лет, — пожизненно; инвалидам — на срок инвалидности; одному из родителей, супругу (супруге) или другому члену семьи, занятому уходом за детьми, внуками, братьями, сестрами умершего, — до достижения ими возраста 14 лет либо изменения состояния здоровья. Закон устанавливает следующие виды обеспечения: </w:t>
      </w:r>
    </w:p>
    <w:p w:rsidR="00A839E9" w:rsidRDefault="00A839E9" w:rsidP="00A839E9">
      <w:pPr>
        <w:numPr>
          <w:ilvl w:val="0"/>
          <w:numId w:val="3"/>
        </w:numPr>
        <w:spacing w:before="100" w:beforeAutospacing="1" w:after="100" w:afterAutospacing="1"/>
      </w:pPr>
      <w:r>
        <w:t xml:space="preserve">пособие по временной нетрудоспособности; </w:t>
      </w:r>
    </w:p>
    <w:p w:rsidR="00A839E9" w:rsidRDefault="00A839E9" w:rsidP="00A839E9">
      <w:pPr>
        <w:numPr>
          <w:ilvl w:val="0"/>
          <w:numId w:val="3"/>
        </w:numPr>
        <w:spacing w:before="100" w:beforeAutospacing="1" w:after="100" w:afterAutospacing="1"/>
      </w:pPr>
      <w:r>
        <w:t xml:space="preserve">единовременная страховая выплата застрахованному либо лицам, имеющим право на обеспечение; </w:t>
      </w:r>
    </w:p>
    <w:p w:rsidR="00A839E9" w:rsidRDefault="00A839E9" w:rsidP="00A839E9">
      <w:pPr>
        <w:numPr>
          <w:ilvl w:val="0"/>
          <w:numId w:val="3"/>
        </w:numPr>
        <w:spacing w:before="100" w:beforeAutospacing="1" w:after="100" w:afterAutospacing="1"/>
      </w:pPr>
      <w:r>
        <w:t xml:space="preserve">ежемесячная страховая выплата застрахованному либо лицам, имеющим право на обеспечение; </w:t>
      </w:r>
    </w:p>
    <w:p w:rsidR="00A839E9" w:rsidRDefault="00A839E9" w:rsidP="00A839E9">
      <w:pPr>
        <w:numPr>
          <w:ilvl w:val="0"/>
          <w:numId w:val="3"/>
        </w:numPr>
        <w:spacing w:before="100" w:beforeAutospacing="1" w:after="100" w:afterAutospacing="1"/>
      </w:pPr>
      <w:r>
        <w:t xml:space="preserve">оплата дополнительных расходов, связанных с повреждением здоровья застрахованного, на его медицинскую, социальную и профессиональную реабилитацию. Ежемесячная страховая выплата застрахованному предоставляется в случае стойкой утраты (снижения) профессиональной трудоспособности. Размер ежемесячной страховой выплаты определяется в процентах к среднему месячному заработку, соответствующих степени утраты работником профессиональной трудоспособности. В </w:t>
      </w:r>
      <w:smartTag w:uri="urn:schemas-microsoft-com:office:smarttags" w:element="metricconverter">
        <w:smartTagPr>
          <w:attr w:name="ProductID" w:val="2002 г"/>
        </w:smartTagPr>
        <w:r>
          <w:t>2002 г</w:t>
        </w:r>
      </w:smartTag>
      <w:r>
        <w:t>. размер этой выплаты не может превышать 30 000 руб. Ежемесячная страховая выплата назначается застрахованному на весь период стойкой утраты профессиональной трудоспособности с того дня, с которого учреждением медико-социальной экспертизы установлен факт ее утраты, исключая период, за который было назначено пособие по временной нетрудоспособности.</w:t>
      </w:r>
    </w:p>
    <w:p w:rsidR="00A839E9" w:rsidRDefault="00A839E9" w:rsidP="00A839E9">
      <w:pPr>
        <w:pStyle w:val="a3"/>
      </w:pPr>
      <w:r>
        <w:t xml:space="preserve">Сверх возмещения утраченного заработка (дохода) застрахованному или его семье предоставляется </w:t>
      </w:r>
      <w:r>
        <w:rPr>
          <w:b/>
          <w:bCs/>
          <w:i/>
          <w:iCs/>
        </w:rPr>
        <w:t>единовременная страховая выплата.</w:t>
      </w:r>
      <w:r>
        <w:t xml:space="preserve"> Размер этой выплаты застрахованному определяется в соответствии со степенью утраты профессиональной трудоспособности исходя из 60-кратного минимального размера оплаты труда, установленного федеральным законом (на день ее получения). В случае смерти застрахованного размер единовременной страховой выплаты равен 60-кратному минимальному размеру оплаты труда. </w:t>
      </w:r>
    </w:p>
    <w:p w:rsidR="00A839E9" w:rsidRDefault="00A839E9" w:rsidP="00A839E9">
      <w:pPr>
        <w:pStyle w:val="a3"/>
      </w:pPr>
      <w:r>
        <w:rPr>
          <w:b/>
          <w:bCs/>
          <w:i/>
          <w:iCs/>
        </w:rPr>
        <w:t xml:space="preserve">Дополнительные расходы </w:t>
      </w:r>
      <w:r>
        <w:t xml:space="preserve">на медицинскую, социальную и профессиональную реабилитацию включают расходы на: дополнительную медицинскую помощь, в т.ч. на дополнительное питание и приобретение лекарств; посторонний (специальный медицинский и бытовой) уход; санаторно-курортное лечение, включая оплату отпуска (сверх ежегодного оплачиваемого отпуска) на весь период лечения и проезда к месту лечения и обратно, стоимость проезда застрахованного, а в необходимых случаях — и стоимость проезда сопровождающего его лица, их проживания и питания; протезирование, а также на обеспечение приспособлениями, необходимыми застрахованному для трудовой деятельности и в быту; обеспечение специальными транспортными средствами, их текущий и капитальный ремонт и оплату расходов на горюче-смазочные материалы; профессиональное обучение (переобучение). Дополнительные расходы оплачиваются, если по заключению учреждения медико-социальной экспертизы застрахованный нуждается в указанных видах помощи (обеспечения, ухода) и не получил их бесплатно в соответствии с другими федеральными законами и иными нормативными актами. Порядок оплаты дополнительных расходов на медицинскую, социальную и профессиональную реабилитацию пострадавших в результате несчастных случаев на производстве и профессиональных заболеваний утвержден Правительством РФ. </w:t>
      </w:r>
    </w:p>
    <w:p w:rsidR="00A839E9" w:rsidRDefault="00A839E9" w:rsidP="00A839E9">
      <w:pPr>
        <w:pStyle w:val="a3"/>
      </w:pPr>
      <w:r>
        <w:t xml:space="preserve">Ежемесячные расходы на специальный медицинский уход оплачиваются в сумме, равной 2 минимальным размерам оплаты труда, а на бытовой уход — в сумме, равной 50% минимального размера оплаты труда, установленного федеральным законом. </w:t>
      </w:r>
    </w:p>
    <w:p w:rsidR="00A839E9" w:rsidRDefault="00A839E9" w:rsidP="00A839E9">
      <w:pPr>
        <w:pStyle w:val="a3"/>
      </w:pPr>
      <w:r>
        <w:t xml:space="preserve">Все виды обеспечения, кроме пособия по временной нетрудоспособности, назначаются отделением (его филиалом) Фонда социального страхования России, зарегистрировавшим страхователя. Пособие по временной нетрудоспособности назначается и выплачивается работодателем в соответствии с общим порядком обеспечения пособием по временной нетрудоспособности. </w:t>
      </w:r>
    </w:p>
    <w:p w:rsidR="00A839E9" w:rsidRDefault="00A839E9" w:rsidP="00A839E9">
      <w:pPr>
        <w:pStyle w:val="a3"/>
      </w:pPr>
      <w:r>
        <w:t xml:space="preserve">Действующее законодательство не устанавливает каких-либо сроков обращения к страховщику за страховым обеспечением. Но требования о его назначении, предъявленные по прошествии 3 лет с момента возникновения права на него, удовлетворяются за прошлое время не более чем за 3 года, предшествующие такому обращению. </w:t>
      </w:r>
    </w:p>
    <w:p w:rsidR="00A839E9" w:rsidRDefault="00A839E9" w:rsidP="00A839E9">
      <w:pPr>
        <w:pStyle w:val="a3"/>
      </w:pPr>
      <w:r>
        <w:t xml:space="preserve">Решение о назначении или отказе в назначении страховых выплат принимается страховщиком не позднее 10 дней (в случае смерти застрахованного — не позднее 2 дней) со дня поступления соответствующего заявления и всех необходимых документов. При задержке страховых выплат страхователь (страховщик) обязан выплатить получателям пеню в размере 0,5% от невыплаченной суммы за каждый день просрочки. Споры между застрахованным и страховщиком по вопросам предоставления страхового обеспечения рассматриваются в суде. </w:t>
      </w:r>
    </w:p>
    <w:p w:rsidR="00A839E9" w:rsidRDefault="00A839E9" w:rsidP="00A839E9">
      <w:pPr>
        <w:pStyle w:val="a3"/>
      </w:pPr>
      <w:r>
        <w:rPr>
          <w:b/>
          <w:bCs/>
          <w:i/>
          <w:iCs/>
        </w:rPr>
        <w:t xml:space="preserve">Гарантии работникам, направляемым на медицинское обследование. </w:t>
      </w:r>
      <w:r>
        <w:t xml:space="preserve">В случаях, предусмотренных трудовым законодательством, работники обязаны проходить предварительные (при поступлении на работу) и периодические медицинские обследования (осмотры). Так, в соответствии со ст. 69 ТК РФ обязательному предварительному медицинскому освидетельствованию при заключении трудового договора подлежат лица, не достигшие возраста 18 лет, а ст. 266 ТК РФ предусматривает, что и в дальнейшем, до достижения возраста восемнадцати лет, эти работники также ежегодно подлежат обязательному медицинскому осмотру. </w:t>
      </w:r>
    </w:p>
    <w:p w:rsidR="00A839E9" w:rsidRDefault="00A839E9" w:rsidP="00A839E9">
      <w:pPr>
        <w:pStyle w:val="a3"/>
      </w:pPr>
      <w:r>
        <w:t xml:space="preserve">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за счет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 </w:t>
      </w:r>
    </w:p>
    <w:p w:rsidR="00A839E9" w:rsidRDefault="00A839E9" w:rsidP="00A839E9">
      <w:pPr>
        <w:pStyle w:val="a3"/>
      </w:pPr>
      <w:r>
        <w:t xml:space="preserve">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организаций проходят указанные медицинские осмотры (обследования) в целях охраны здоровья населения, предупреждения возникновения и распространения заболеваний. </w:t>
      </w:r>
    </w:p>
    <w:p w:rsidR="00A839E9" w:rsidRDefault="00A839E9" w:rsidP="00A839E9">
      <w:pPr>
        <w:pStyle w:val="a3"/>
      </w:pPr>
      <w:r>
        <w:t xml:space="preserve">Работники, осуществляющие отдельные виды деятельности, в том числе связанной систочниками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Правительством Российской Федерации. </w:t>
      </w:r>
    </w:p>
    <w:p w:rsidR="00A839E9" w:rsidRDefault="00A839E9" w:rsidP="00A839E9">
      <w:pPr>
        <w:pStyle w:val="a3"/>
      </w:pPr>
      <w:r>
        <w:t xml:space="preserve">На время проведения медицинского обследования за работниками согласно ст. 185 ТК сохраняется средний заработок по месту работы. Средняя заработная плата сохраняется также на время внеочередного медицинского обследования (осмотра) в соответствии с медицинскими рекомендациями (ст. 219 ТК). Если работник был направлен в установленном порядке на обследование в стационарное лечебно-профилактическое учреждение, средний заработок сохраняется за весь период пребывания в стационаре. Так, например,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в соответствии со ст. 254 ТК РФ. </w:t>
      </w:r>
    </w:p>
    <w:p w:rsidR="00A839E9" w:rsidRDefault="00A839E9" w:rsidP="00A839E9">
      <w:pPr>
        <w:pStyle w:val="a3"/>
      </w:pPr>
      <w:r>
        <w:rPr>
          <w:b/>
          <w:bCs/>
          <w:i/>
          <w:iCs/>
        </w:rPr>
        <w:t xml:space="preserve">Гарантии и компенсации работникам в случае сдачи ими крови и ее компонентов. </w:t>
      </w:r>
      <w:r>
        <w:t xml:space="preserve">В соответствии с Законом "О донорстве крови и ее компонентов" донором крови и ее компонентов может быть каждый дееспособный гражданин в возрасте от 18 до 60 лет, прошедший медицинское обследование. Донорство может быть безвозмездным и платным. В соответствии со ст. 186 ТК РФ в день сдачи крови и ее компонентов, а также в день связанного с этим медицинского обследования работник освобождается от работы. </w:t>
      </w:r>
    </w:p>
    <w:p w:rsidR="00A839E9" w:rsidRDefault="00A839E9" w:rsidP="00A839E9">
      <w:pPr>
        <w:pStyle w:val="a3"/>
      </w:pPr>
      <w:r>
        <w:t xml:space="preserve">В том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 </w:t>
      </w:r>
    </w:p>
    <w:p w:rsidR="00A839E9" w:rsidRDefault="00A839E9" w:rsidP="00A839E9">
      <w:pPr>
        <w:pStyle w:val="a3"/>
      </w:pPr>
      <w: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календарного года после дня сдачи крови и ее компонентов. </w:t>
      </w:r>
    </w:p>
    <w:p w:rsidR="00A839E9" w:rsidRDefault="00A839E9" w:rsidP="00A839E9">
      <w:pPr>
        <w:pStyle w:val="a3"/>
      </w:pPr>
      <w:r>
        <w:t xml:space="preserve">При безвозмездной сдаче крови и ее компонентов работодатель сохраняет за работником его средний заработок за дни сдачи и предоставленные в связи с этим дни отдыха. </w:t>
      </w:r>
    </w:p>
    <w:p w:rsidR="00A839E9" w:rsidRDefault="00A839E9" w:rsidP="00A839E9">
      <w:pPr>
        <w:pStyle w:val="a3"/>
      </w:pPr>
      <w:r>
        <w:rPr>
          <w:b/>
          <w:bCs/>
          <w:i/>
          <w:iCs/>
        </w:rPr>
        <w:t xml:space="preserve">Гарантии и компенсации работникам, направляемым работодателем для повышения квалификации. </w:t>
      </w:r>
      <w:r>
        <w:t xml:space="preserve">Работники могут повышать свой профессиональный уровень как без отрыва от производства, проходя профподготовку по заочной или очно-заочной (вечерней) формам обучения, так и с отрывом от производства. </w:t>
      </w:r>
    </w:p>
    <w:p w:rsidR="00A839E9" w:rsidRDefault="00A839E9" w:rsidP="00A839E9">
      <w:pPr>
        <w:pStyle w:val="a3"/>
      </w:pPr>
      <w:r>
        <w:t xml:space="preserve">При направлении работодателем работника для повышения квалификации с отрывом от работы за ним, в соответствии со ст. 187 ТК РФ, сохраняются место работы (должность) и средняя заработная плата по основному месту работы. Типовое положение об образовательном учреждении дополнительного профессионального образования (повышения квалификации) специалистов также предусматривает, что за работниками организаций независимо от форм собственности, направленными на курсы повышения квалификации с отрывом от работы, сохраняется средняя заработная плата по основному месту работы на время их обучения. </w:t>
      </w:r>
    </w:p>
    <w:p w:rsidR="00A839E9" w:rsidRDefault="00A839E9" w:rsidP="00A839E9">
      <w:pPr>
        <w:pStyle w:val="a3"/>
      </w:pPr>
      <w:r>
        <w:t xml:space="preserve">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A839E9" w:rsidRDefault="00A839E9" w:rsidP="00A839E9">
      <w:pPr>
        <w:pStyle w:val="a3"/>
      </w:pPr>
      <w:r>
        <w:rPr>
          <w:b/>
          <w:bCs/>
          <w:i/>
          <w:iCs/>
        </w:rPr>
        <w:t xml:space="preserve">Возмещение расходов при использовании личного имущества работника. </w:t>
      </w:r>
      <w:r>
        <w:t xml:space="preserve">Работник может использовать личное имущество либо с согласия работодателя, что предполагает предварительное письменное соглашение между работником и работодателем об использовании имущества работника либо с ведома работодателя, когда письменного соглашения между сторонами предварительно достигнуто не было, но работодатель знал, что работник при выполнении трудовой функции поставлен в такие условия, при которых он вынужден использовать свое имущество, и допускал это. </w:t>
      </w:r>
    </w:p>
    <w:p w:rsidR="00A839E9" w:rsidRDefault="00A839E9" w:rsidP="00A839E9">
      <w:pPr>
        <w:pStyle w:val="a3"/>
      </w:pPr>
      <w:r>
        <w:t xml:space="preserve">Статья 188 ТК РФ предусматривает, что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При этом размер возмещения расходов определяется соглашением сторон трудового договора, выраженным в письменной форме. </w:t>
      </w:r>
    </w:p>
    <w:p w:rsidR="00A839E9" w:rsidRDefault="00A839E9" w:rsidP="00A839E9">
      <w:pPr>
        <w:pStyle w:val="a3"/>
      </w:pPr>
      <w:r>
        <w:t xml:space="preserve">В данной группе гарантий выделяются компенсации за износ инструментов и компенсация за использования личного автотранспорта в служебных целях. </w:t>
      </w:r>
    </w:p>
    <w:p w:rsidR="00A839E9" w:rsidRDefault="00A839E9" w:rsidP="00A839E9">
      <w:pPr>
        <w:pStyle w:val="a3"/>
      </w:pPr>
      <w:r>
        <w:t xml:space="preserve">Компенсация за износ инструментов выплачивается в том случае, когда работники используют свои инструменты для нужд организации. Конкретные размер и порядок выплаты данной компенсации определяются работодателем по согласованию с работником, если размер и порядок выплаты компенсации не установлены в централизованном порядке. </w:t>
      </w:r>
    </w:p>
    <w:p w:rsidR="00A839E9" w:rsidRDefault="00A839E9" w:rsidP="00A839E9">
      <w:pPr>
        <w:pStyle w:val="a3"/>
      </w:pPr>
      <w:r>
        <w:t>Выплата компенсации на практике распространена:</w:t>
      </w:r>
    </w:p>
    <w:p w:rsidR="00A839E9" w:rsidRDefault="00A839E9" w:rsidP="00A839E9">
      <w:pPr>
        <w:numPr>
          <w:ilvl w:val="0"/>
          <w:numId w:val="4"/>
        </w:numPr>
        <w:spacing w:before="100" w:beforeAutospacing="1" w:after="100" w:afterAutospacing="1"/>
      </w:pPr>
      <w:r>
        <w:t xml:space="preserve">при использовании труда надомников в порядке, определенном гл. 49 ТК РФ и "Положением об условиях труда надомников"; </w:t>
      </w:r>
    </w:p>
    <w:p w:rsidR="00A839E9" w:rsidRDefault="00A839E9" w:rsidP="00A839E9">
      <w:pPr>
        <w:numPr>
          <w:ilvl w:val="0"/>
          <w:numId w:val="4"/>
        </w:numPr>
        <w:spacing w:before="100" w:beforeAutospacing="1" w:after="100" w:afterAutospacing="1"/>
      </w:pPr>
      <w:r>
        <w:t xml:space="preserve">при использовании музыкантами-исполнителями собственных музыкальных инструментов; </w:t>
      </w:r>
    </w:p>
    <w:p w:rsidR="00A839E9" w:rsidRDefault="00A839E9" w:rsidP="00A839E9">
      <w:pPr>
        <w:numPr>
          <w:ilvl w:val="0"/>
          <w:numId w:val="4"/>
        </w:numPr>
        <w:spacing w:before="100" w:beforeAutospacing="1" w:after="100" w:afterAutospacing="1"/>
      </w:pPr>
      <w:r>
        <w:t>при использовании наемного труда малыми предприятиями.</w:t>
      </w:r>
    </w:p>
    <w:p w:rsidR="00A839E9" w:rsidRDefault="00A839E9" w:rsidP="00A839E9">
      <w:pPr>
        <w:pStyle w:val="a3"/>
      </w:pPr>
      <w:r>
        <w:t xml:space="preserve">Для исчисления компенсации документом, определяющим порядок ее выплаты, должен быть установлен порядок исчисления степени износа инструмента (оборудования), а также расценки. Степень износа инструментов, принадлежащих работнику, устанавливается, как правило, в процентном отношении к нормальному сроку изнашивания. При этом во внимание принимается, как правило, общий срок полезного использования инструмента (оборудования) и срок его фактического использования работником для нужд работодателя. Срок полезного использования определяется согласно технической документации на изделия. В свою очередь размер компенсации определяется пропорционально проценту износа. </w:t>
      </w:r>
    </w:p>
    <w:p w:rsidR="00A839E9" w:rsidRDefault="00A839E9" w:rsidP="00A839E9">
      <w:pPr>
        <w:pStyle w:val="a3"/>
      </w:pPr>
      <w:r>
        <w:t xml:space="preserve">Согласно принятому в организации порядку, работникам может компенсироваться полная стоимость или возмещаться израсходованные на ремонт суммы в случае, если инструмент, принадлежащий работнику, стал полностью (или частично) непригодным для дальнейшего использования. </w:t>
      </w:r>
    </w:p>
    <w:p w:rsidR="00A839E9" w:rsidRDefault="00A839E9" w:rsidP="00A839E9">
      <w:pPr>
        <w:pStyle w:val="a3"/>
      </w:pPr>
      <w:r>
        <w:t xml:space="preserve">Размер компенсации исчисляется по розничным ценам, действующим в данной местности на аналогичные виды товаров. </w:t>
      </w:r>
    </w:p>
    <w:p w:rsidR="00A839E9" w:rsidRDefault="00A839E9" w:rsidP="00A839E9">
      <w:pPr>
        <w:pStyle w:val="a3"/>
      </w:pPr>
      <w:r>
        <w:t xml:space="preserve">Порядок использования оборудования и инструментов работниками, с которыми заключен трудовой договор на работы на дому, регулируется условиями данного договора. Этим же документом определяется порядок расчета компенсации (износа инструмента, оборудования). Кроме того, по согласованию сторон надомнику могут возмещаться и другие расходы (например, расходы на электроэнергию, воду и т.п.). </w:t>
      </w:r>
    </w:p>
    <w:p w:rsidR="00A839E9" w:rsidRDefault="00A839E9" w:rsidP="00A839E9">
      <w:pPr>
        <w:pStyle w:val="a3"/>
      </w:pPr>
      <w:r>
        <w:t xml:space="preserve">Выплата компенсации производится в сроки, установленные в организации, как правило, одновременно с выплатой заработной платы за вторую половину очередного месяца. Сумма выплачиваемой компенсации не подлежит в соответствии с гл. 23 и 24 части второй Налогового кодекса РФ обложению налогом на доходы и единым социальным налогом (взносом). </w:t>
      </w:r>
    </w:p>
    <w:p w:rsidR="00A839E9" w:rsidRDefault="00A839E9" w:rsidP="00A839E9">
      <w:pPr>
        <w:pStyle w:val="a3"/>
      </w:pPr>
      <w:r>
        <w:t xml:space="preserve">В том случае, если работники используют в служебных целях принадлежащие им личные легковые автотранспортные средства, они имеют, в соответствии с действующим законодательством, право на получение компенсации, условия выплаты которой определены Минфином РФ. </w:t>
      </w:r>
    </w:p>
    <w:p w:rsidR="00A839E9" w:rsidRDefault="00A839E9" w:rsidP="00A839E9">
      <w:pPr>
        <w:pStyle w:val="a3"/>
      </w:pPr>
      <w:r>
        <w:t xml:space="preserve">Выплата компенсации производится штатным работникам организаций и учреждений (далее по тексту — организаций) за использование ими для служебных поездок личных легковых автомобилей в тех случаях, когда их работа по роду производственной (служебной) деятельности связана с постоянными служебными разъездами в соответствии с их должностными обязанностями. </w:t>
      </w:r>
    </w:p>
    <w:p w:rsidR="00A839E9" w:rsidRDefault="00A839E9" w:rsidP="00A839E9">
      <w:pPr>
        <w:pStyle w:val="a3"/>
      </w:pPr>
      <w:r>
        <w:t xml:space="preserve">Для получения компенсации работники представляют в бухгалтерию организации личное заявление с просьбой о выплате компенсации с приложением копии технического паспорта личного автомобиля, заверенной в установленном порядке. Основанием для выплаты компенсации является приказ руководителя организации, в котором предусматриваются размеры этой компенсации и продолжительность выплаты. Если компенсация выплачивается в размере фактически понесенных и документально подтвержденных расходов, приказ о выплате компенсации издается ежемесячно. Компенсация выплачивается один раз в месяц независимо от количества календарных дней, как правило, при выплате заработной платы за вторую половину месяца. Компенсация не выплачивается за время нахождения работника в отпуске, командировке, невыхода его на работу вследствие временной нетрудоспособности, а также по другим причинам, когда личный автомобиль не эксплуатируется. </w:t>
      </w:r>
    </w:p>
    <w:p w:rsidR="00A839E9" w:rsidRDefault="00A839E9" w:rsidP="00A839E9">
      <w:pPr>
        <w:pStyle w:val="a3"/>
      </w:pPr>
      <w:r>
        <w:t xml:space="preserve">Конкретный размер компенсации определяется в зависимости от интенсивности использования личного легкового автомобиля для служебных поездок с учетом возмещения затрат по эксплуатации (сумма износа, затраты на горюче-смазочные материалы, техническое обслуживание и текущий ремонт) и установленных предельных норм компенсаций. Предельные нормы компенсации определены: </w:t>
      </w:r>
    </w:p>
    <w:p w:rsidR="00A839E9" w:rsidRDefault="00A839E9" w:rsidP="00A839E9">
      <w:pPr>
        <w:pStyle w:val="a3"/>
      </w:pPr>
      <w:r>
        <w:rPr>
          <w:b/>
          <w:bCs/>
        </w:rPr>
        <w:t>1)</w:t>
      </w:r>
      <w:r>
        <w:t xml:space="preserve"> для бюджетных учреждений — Письмом Минфина РФ от 4 февраля </w:t>
      </w:r>
      <w:smartTag w:uri="urn:schemas-microsoft-com:office:smarttags" w:element="metricconverter">
        <w:smartTagPr>
          <w:attr w:name="ProductID" w:val="2000 г"/>
        </w:smartTagPr>
        <w:r>
          <w:t>2000 г</w:t>
        </w:r>
      </w:smartTag>
      <w:r>
        <w:t xml:space="preserve">. № 16н: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711"/>
        <w:gridCol w:w="5792"/>
      </w:tblGrid>
      <w:tr w:rsidR="00A839E9">
        <w:trPr>
          <w:tblCellSpacing w:w="7" w:type="dxa"/>
        </w:trPr>
        <w:tc>
          <w:tcPr>
            <w:tcW w:w="1950" w:type="pct"/>
            <w:tcBorders>
              <w:top w:val="outset" w:sz="6" w:space="0" w:color="auto"/>
              <w:left w:val="outset" w:sz="6" w:space="0" w:color="auto"/>
              <w:bottom w:val="outset" w:sz="6" w:space="0" w:color="auto"/>
              <w:right w:val="outset" w:sz="6" w:space="0" w:color="auto"/>
            </w:tcBorders>
          </w:tcPr>
          <w:p w:rsidR="00A839E9" w:rsidRDefault="00A839E9">
            <w:pPr>
              <w:pStyle w:val="a3"/>
            </w:pPr>
            <w:r>
              <w:t>Марка автомобиля</w:t>
            </w:r>
          </w:p>
        </w:tc>
        <w:tc>
          <w:tcPr>
            <w:tcW w:w="3050" w:type="pct"/>
            <w:tcBorders>
              <w:top w:val="outset" w:sz="6" w:space="0" w:color="auto"/>
              <w:left w:val="outset" w:sz="6" w:space="0" w:color="auto"/>
              <w:bottom w:val="outset" w:sz="6" w:space="0" w:color="auto"/>
              <w:right w:val="outset" w:sz="6" w:space="0" w:color="auto"/>
            </w:tcBorders>
          </w:tcPr>
          <w:p w:rsidR="00A839E9" w:rsidRDefault="00A839E9">
            <w:pPr>
              <w:pStyle w:val="a3"/>
            </w:pPr>
            <w:r>
              <w:t>Норма компенсации в месяц (рублей)</w:t>
            </w:r>
          </w:p>
        </w:tc>
      </w:tr>
      <w:tr w:rsidR="00A839E9">
        <w:trPr>
          <w:tblCellSpacing w:w="7" w:type="dxa"/>
        </w:trPr>
        <w:tc>
          <w:tcPr>
            <w:tcW w:w="1950" w:type="pct"/>
            <w:tcBorders>
              <w:top w:val="outset" w:sz="6" w:space="0" w:color="auto"/>
              <w:left w:val="outset" w:sz="6" w:space="0" w:color="auto"/>
              <w:bottom w:val="outset" w:sz="6" w:space="0" w:color="auto"/>
              <w:right w:val="outset" w:sz="6" w:space="0" w:color="auto"/>
            </w:tcBorders>
          </w:tcPr>
          <w:p w:rsidR="00A839E9" w:rsidRDefault="00A839E9">
            <w:pPr>
              <w:pStyle w:val="a3"/>
            </w:pPr>
            <w:r>
              <w:t>ЗАЗ</w:t>
            </w:r>
          </w:p>
        </w:tc>
        <w:tc>
          <w:tcPr>
            <w:tcW w:w="3050" w:type="pct"/>
            <w:tcBorders>
              <w:top w:val="outset" w:sz="6" w:space="0" w:color="auto"/>
              <w:left w:val="outset" w:sz="6" w:space="0" w:color="auto"/>
              <w:bottom w:val="outset" w:sz="6" w:space="0" w:color="auto"/>
              <w:right w:val="outset" w:sz="6" w:space="0" w:color="auto"/>
            </w:tcBorders>
          </w:tcPr>
          <w:p w:rsidR="00A839E9" w:rsidRDefault="00A839E9">
            <w:pPr>
              <w:pStyle w:val="a3"/>
            </w:pPr>
            <w:r>
              <w:t>427</w:t>
            </w:r>
          </w:p>
        </w:tc>
      </w:tr>
      <w:tr w:rsidR="00A839E9">
        <w:trPr>
          <w:tblCellSpacing w:w="7" w:type="dxa"/>
        </w:trPr>
        <w:tc>
          <w:tcPr>
            <w:tcW w:w="1950" w:type="pct"/>
            <w:tcBorders>
              <w:top w:val="outset" w:sz="6" w:space="0" w:color="auto"/>
              <w:left w:val="outset" w:sz="6" w:space="0" w:color="auto"/>
              <w:bottom w:val="outset" w:sz="6" w:space="0" w:color="auto"/>
              <w:right w:val="outset" w:sz="6" w:space="0" w:color="auto"/>
            </w:tcBorders>
          </w:tcPr>
          <w:p w:rsidR="00A839E9" w:rsidRDefault="00A839E9">
            <w:pPr>
              <w:pStyle w:val="a3"/>
            </w:pPr>
            <w:r>
              <w:t>ВАЗ (кроме ВАЗ-2121)</w:t>
            </w:r>
          </w:p>
        </w:tc>
        <w:tc>
          <w:tcPr>
            <w:tcW w:w="3050" w:type="pct"/>
            <w:tcBorders>
              <w:top w:val="outset" w:sz="6" w:space="0" w:color="auto"/>
              <w:left w:val="outset" w:sz="6" w:space="0" w:color="auto"/>
              <w:bottom w:val="outset" w:sz="6" w:space="0" w:color="auto"/>
              <w:right w:val="outset" w:sz="6" w:space="0" w:color="auto"/>
            </w:tcBorders>
          </w:tcPr>
          <w:p w:rsidR="00A839E9" w:rsidRDefault="00A839E9">
            <w:pPr>
              <w:pStyle w:val="a3"/>
            </w:pPr>
            <w:r>
              <w:t>595</w:t>
            </w:r>
          </w:p>
        </w:tc>
      </w:tr>
      <w:tr w:rsidR="00A839E9">
        <w:trPr>
          <w:tblCellSpacing w:w="7" w:type="dxa"/>
        </w:trPr>
        <w:tc>
          <w:tcPr>
            <w:tcW w:w="1950" w:type="pct"/>
            <w:tcBorders>
              <w:top w:val="outset" w:sz="6" w:space="0" w:color="auto"/>
              <w:left w:val="outset" w:sz="6" w:space="0" w:color="auto"/>
              <w:bottom w:val="outset" w:sz="6" w:space="0" w:color="auto"/>
              <w:right w:val="outset" w:sz="6" w:space="0" w:color="auto"/>
            </w:tcBorders>
          </w:tcPr>
          <w:p w:rsidR="00A839E9" w:rsidRDefault="00A839E9">
            <w:pPr>
              <w:pStyle w:val="a3"/>
            </w:pPr>
            <w:r>
              <w:t>АЗЛК, ИЖ</w:t>
            </w:r>
          </w:p>
        </w:tc>
        <w:tc>
          <w:tcPr>
            <w:tcW w:w="3050" w:type="pct"/>
            <w:tcBorders>
              <w:top w:val="outset" w:sz="6" w:space="0" w:color="auto"/>
              <w:left w:val="outset" w:sz="6" w:space="0" w:color="auto"/>
              <w:bottom w:val="outset" w:sz="6" w:space="0" w:color="auto"/>
              <w:right w:val="outset" w:sz="6" w:space="0" w:color="auto"/>
            </w:tcBorders>
          </w:tcPr>
          <w:p w:rsidR="00A839E9" w:rsidRDefault="00A839E9">
            <w:pPr>
              <w:pStyle w:val="a3"/>
            </w:pPr>
            <w:r>
              <w:t>638</w:t>
            </w:r>
          </w:p>
        </w:tc>
      </w:tr>
      <w:tr w:rsidR="00A839E9">
        <w:trPr>
          <w:tblCellSpacing w:w="7" w:type="dxa"/>
        </w:trPr>
        <w:tc>
          <w:tcPr>
            <w:tcW w:w="1950" w:type="pct"/>
            <w:tcBorders>
              <w:top w:val="outset" w:sz="6" w:space="0" w:color="auto"/>
              <w:left w:val="outset" w:sz="6" w:space="0" w:color="auto"/>
              <w:bottom w:val="outset" w:sz="6" w:space="0" w:color="auto"/>
              <w:right w:val="outset" w:sz="6" w:space="0" w:color="auto"/>
            </w:tcBorders>
          </w:tcPr>
          <w:p w:rsidR="00A839E9" w:rsidRDefault="00A839E9">
            <w:pPr>
              <w:pStyle w:val="a3"/>
            </w:pPr>
            <w:r>
              <w:t>ГАЗ, УАЗ, ВАЗ-2121</w:t>
            </w:r>
          </w:p>
        </w:tc>
        <w:tc>
          <w:tcPr>
            <w:tcW w:w="3050" w:type="pct"/>
            <w:tcBorders>
              <w:top w:val="outset" w:sz="6" w:space="0" w:color="auto"/>
              <w:left w:val="outset" w:sz="6" w:space="0" w:color="auto"/>
              <w:bottom w:val="outset" w:sz="6" w:space="0" w:color="auto"/>
              <w:right w:val="outset" w:sz="6" w:space="0" w:color="auto"/>
            </w:tcBorders>
          </w:tcPr>
          <w:p w:rsidR="00A839E9" w:rsidRDefault="00A839E9">
            <w:pPr>
              <w:pStyle w:val="a3"/>
            </w:pPr>
            <w:r>
              <w:t>730</w:t>
            </w:r>
          </w:p>
        </w:tc>
      </w:tr>
    </w:tbl>
    <w:p w:rsidR="00A839E9" w:rsidRDefault="00A839E9" w:rsidP="00A839E9">
      <w:pPr>
        <w:pStyle w:val="a3"/>
      </w:pPr>
      <w:r>
        <w:rPr>
          <w:b/>
          <w:bCs/>
        </w:rPr>
        <w:t>2)</w:t>
      </w:r>
      <w:r>
        <w:t xml:space="preserve"> для прочих организаций — Постановлением Правительства РФ "Об установлении норм расходов организаций на выплату компенсации за использование для служебных поездок личных легковых автомобилей,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(рублей в месяц): </w:t>
      </w:r>
    </w:p>
    <w:tbl>
      <w:tblPr>
        <w:tblW w:w="8640"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5782"/>
        <w:gridCol w:w="2858"/>
      </w:tblGrid>
      <w:tr w:rsidR="00A839E9">
        <w:trPr>
          <w:tblCellSpacing w:w="7" w:type="dxa"/>
          <w:jc w:val="center"/>
        </w:trPr>
        <w:tc>
          <w:tcPr>
            <w:tcW w:w="3350" w:type="pct"/>
            <w:tcBorders>
              <w:top w:val="outset" w:sz="6" w:space="0" w:color="auto"/>
              <w:left w:val="outset" w:sz="6" w:space="0" w:color="auto"/>
              <w:bottom w:val="outset" w:sz="6" w:space="0" w:color="auto"/>
              <w:right w:val="outset" w:sz="6" w:space="0" w:color="auto"/>
            </w:tcBorders>
          </w:tcPr>
          <w:p w:rsidR="00A839E9" w:rsidRDefault="00A839E9">
            <w:pPr>
              <w:pStyle w:val="a3"/>
            </w:pPr>
            <w:r>
              <w:t>легковые автомобили с рабочим объемом двигателя до 2000 см</w:t>
            </w:r>
            <w:r>
              <w:rPr>
                <w:vertAlign w:val="superscript"/>
              </w:rPr>
              <w:t>3</w:t>
            </w:r>
            <w:r>
              <w:t xml:space="preserve"> включительно </w:t>
            </w:r>
          </w:p>
        </w:tc>
        <w:tc>
          <w:tcPr>
            <w:tcW w:w="1650" w:type="pct"/>
            <w:tcBorders>
              <w:top w:val="outset" w:sz="6" w:space="0" w:color="auto"/>
              <w:left w:val="outset" w:sz="6" w:space="0" w:color="auto"/>
              <w:bottom w:val="outset" w:sz="6" w:space="0" w:color="auto"/>
              <w:right w:val="outset" w:sz="6" w:space="0" w:color="auto"/>
            </w:tcBorders>
          </w:tcPr>
          <w:p w:rsidR="00A839E9" w:rsidRDefault="00A839E9">
            <w:pPr>
              <w:pStyle w:val="a3"/>
            </w:pPr>
            <w:r>
              <w:t xml:space="preserve">1200 </w:t>
            </w:r>
          </w:p>
        </w:tc>
      </w:tr>
      <w:tr w:rsidR="00A839E9">
        <w:trPr>
          <w:tblCellSpacing w:w="7" w:type="dxa"/>
          <w:jc w:val="center"/>
        </w:trPr>
        <w:tc>
          <w:tcPr>
            <w:tcW w:w="3350" w:type="pct"/>
            <w:tcBorders>
              <w:top w:val="outset" w:sz="6" w:space="0" w:color="auto"/>
              <w:left w:val="outset" w:sz="6" w:space="0" w:color="auto"/>
              <w:bottom w:val="outset" w:sz="6" w:space="0" w:color="auto"/>
              <w:right w:val="outset" w:sz="6" w:space="0" w:color="auto"/>
            </w:tcBorders>
          </w:tcPr>
          <w:p w:rsidR="00A839E9" w:rsidRDefault="00A839E9">
            <w:pPr>
              <w:pStyle w:val="a3"/>
            </w:pPr>
            <w:r>
              <w:t>свыше 2000 см</w:t>
            </w:r>
            <w:r>
              <w:rPr>
                <w:vertAlign w:val="superscript"/>
              </w:rPr>
              <w:t>3</w:t>
            </w:r>
          </w:p>
        </w:tc>
        <w:tc>
          <w:tcPr>
            <w:tcW w:w="1650" w:type="pct"/>
            <w:tcBorders>
              <w:top w:val="outset" w:sz="6" w:space="0" w:color="auto"/>
              <w:left w:val="outset" w:sz="6" w:space="0" w:color="auto"/>
              <w:bottom w:val="outset" w:sz="6" w:space="0" w:color="auto"/>
              <w:right w:val="outset" w:sz="6" w:space="0" w:color="auto"/>
            </w:tcBorders>
          </w:tcPr>
          <w:p w:rsidR="00A839E9" w:rsidRDefault="00A839E9">
            <w:pPr>
              <w:pStyle w:val="a3"/>
            </w:pPr>
            <w:r>
              <w:t>1500</w:t>
            </w:r>
          </w:p>
        </w:tc>
      </w:tr>
    </w:tbl>
    <w:p w:rsidR="00A839E9" w:rsidRDefault="00A839E9" w:rsidP="00A839E9">
      <w:pPr>
        <w:pStyle w:val="a3"/>
      </w:pPr>
      <w:r>
        <w:t xml:space="preserve">Компенсация за использование для служебных поездок личного легкового автомобиля иностранных марок выплачивается в тех размерах, к какому классу автомобиля (по объему двигателя) по своим техническим параметрам может быть приравнен этот автомобиль. </w:t>
      </w:r>
    </w:p>
    <w:p w:rsidR="00A839E9" w:rsidRDefault="00A839E9" w:rsidP="00A839E9">
      <w:pPr>
        <w:pStyle w:val="a3"/>
      </w:pPr>
      <w:r>
        <w:t xml:space="preserve">В районах Крайнего Севера и приравненных к ним местностях вышеприведенные нормы подлежат увеличению на 10%. </w:t>
      </w:r>
    </w:p>
    <w:p w:rsidR="00A839E9" w:rsidRDefault="00A839E9" w:rsidP="00A839E9">
      <w:pPr>
        <w:pStyle w:val="3"/>
      </w:pPr>
      <w:r>
        <w:t>Контрольные вопросы и задания</w:t>
      </w:r>
    </w:p>
    <w:p w:rsidR="00A839E9" w:rsidRDefault="00A839E9" w:rsidP="00A839E9">
      <w:pPr>
        <w:numPr>
          <w:ilvl w:val="0"/>
          <w:numId w:val="5"/>
        </w:numPr>
        <w:spacing w:before="100" w:beforeAutospacing="1" w:after="100" w:afterAutospacing="1"/>
      </w:pPr>
      <w:r>
        <w:t xml:space="preserve">Дайте определение понятиям "гарантия" и "компенсация". </w:t>
      </w:r>
    </w:p>
    <w:p w:rsidR="00A839E9" w:rsidRDefault="00A839E9" w:rsidP="00A839E9">
      <w:pPr>
        <w:numPr>
          <w:ilvl w:val="0"/>
          <w:numId w:val="5"/>
        </w:numPr>
        <w:spacing w:before="100" w:beforeAutospacing="1" w:after="100" w:afterAutospacing="1"/>
      </w:pPr>
      <w:r>
        <w:t xml:space="preserve">Что такое гарантийные выплаты и что такое гарантийные доплаты? Назовите их основные виды. </w:t>
      </w:r>
    </w:p>
    <w:p w:rsidR="00A839E9" w:rsidRDefault="00A839E9" w:rsidP="00A839E9">
      <w:pPr>
        <w:numPr>
          <w:ilvl w:val="0"/>
          <w:numId w:val="5"/>
        </w:numPr>
        <w:spacing w:before="100" w:beforeAutospacing="1" w:after="100" w:afterAutospacing="1"/>
      </w:pPr>
      <w:r>
        <w:t xml:space="preserve">Перечислите основные случаи, когда предоставляются гарантии и компенсации. </w:t>
      </w:r>
    </w:p>
    <w:p w:rsidR="00A839E9" w:rsidRDefault="00A839E9" w:rsidP="00A839E9">
      <w:pPr>
        <w:numPr>
          <w:ilvl w:val="0"/>
          <w:numId w:val="5"/>
        </w:numPr>
        <w:spacing w:before="100" w:beforeAutospacing="1" w:after="100" w:afterAutospacing="1"/>
      </w:pPr>
      <w:r>
        <w:t xml:space="preserve">Какие гарантии и компенсации предоставляются работнику при направлении в служебную командировку? </w:t>
      </w:r>
    </w:p>
    <w:p w:rsidR="00A839E9" w:rsidRDefault="00A839E9" w:rsidP="00A839E9">
      <w:pPr>
        <w:numPr>
          <w:ilvl w:val="0"/>
          <w:numId w:val="5"/>
        </w:numPr>
        <w:spacing w:before="100" w:beforeAutospacing="1" w:after="100" w:afterAutospacing="1"/>
      </w:pPr>
      <w:r>
        <w:t xml:space="preserve">Кто устанавливает нормы командировочных расходов? </w:t>
      </w:r>
    </w:p>
    <w:p w:rsidR="00A839E9" w:rsidRDefault="00A839E9" w:rsidP="00A839E9">
      <w:pPr>
        <w:numPr>
          <w:ilvl w:val="0"/>
          <w:numId w:val="5"/>
        </w:numPr>
        <w:spacing w:before="100" w:beforeAutospacing="1" w:after="100" w:afterAutospacing="1"/>
      </w:pPr>
      <w:r>
        <w:t xml:space="preserve">В каких случаях возможно привлечение работника к исполнению государственных или общественных обязанностей? </w:t>
      </w:r>
    </w:p>
    <w:p w:rsidR="00A839E9" w:rsidRDefault="00A839E9" w:rsidP="00A839E9">
      <w:pPr>
        <w:numPr>
          <w:ilvl w:val="0"/>
          <w:numId w:val="5"/>
        </w:numPr>
        <w:spacing w:before="100" w:beforeAutospacing="1" w:after="100" w:afterAutospacing="1"/>
      </w:pPr>
      <w:r>
        <w:t xml:space="preserve">Какие гарантии предоставляются работникам при исполнении государственных или общественных обязанностей? </w:t>
      </w:r>
    </w:p>
    <w:p w:rsidR="00A839E9" w:rsidRDefault="00A839E9" w:rsidP="00A839E9">
      <w:pPr>
        <w:numPr>
          <w:ilvl w:val="0"/>
          <w:numId w:val="5"/>
        </w:numPr>
        <w:spacing w:before="100" w:beforeAutospacing="1" w:after="100" w:afterAutospacing="1"/>
      </w:pPr>
      <w:r>
        <w:t xml:space="preserve">Какие гарантии предоставляются работникам, избранным в профсоюзные органы и комиссии по трудовым спорам? </w:t>
      </w:r>
    </w:p>
    <w:p w:rsidR="00A839E9" w:rsidRDefault="00A839E9" w:rsidP="00A839E9">
      <w:pPr>
        <w:numPr>
          <w:ilvl w:val="0"/>
          <w:numId w:val="5"/>
        </w:numPr>
        <w:spacing w:before="100" w:beforeAutospacing="1" w:after="100" w:afterAutospacing="1"/>
      </w:pPr>
      <w:r>
        <w:t xml:space="preserve">Назовите гарантии и компенсации для работников, совмещающих работу с обучением. </w:t>
      </w:r>
    </w:p>
    <w:p w:rsidR="00A839E9" w:rsidRDefault="00A839E9" w:rsidP="00A839E9">
      <w:pPr>
        <w:numPr>
          <w:ilvl w:val="0"/>
          <w:numId w:val="5"/>
        </w:numPr>
        <w:spacing w:before="100" w:beforeAutospacing="1" w:after="100" w:afterAutospacing="1"/>
      </w:pPr>
      <w:r>
        <w:t xml:space="preserve">Какие расходы должен возместить работодатель при переезде работника по предварительной договоренности с работодателем на работу в другую местность? </w:t>
      </w:r>
    </w:p>
    <w:p w:rsidR="00A839E9" w:rsidRDefault="00A839E9" w:rsidP="00A839E9">
      <w:pPr>
        <w:numPr>
          <w:ilvl w:val="0"/>
          <w:numId w:val="5"/>
        </w:numPr>
        <w:spacing w:before="100" w:beforeAutospacing="1" w:after="100" w:afterAutospacing="1"/>
      </w:pPr>
      <w:r>
        <w:t xml:space="preserve">Какие гарантии предоставляются при переводе работника на другую постоянную нижеоплачиваемую работу? </w:t>
      </w:r>
    </w:p>
    <w:p w:rsidR="00A839E9" w:rsidRDefault="00A839E9" w:rsidP="00A839E9">
      <w:pPr>
        <w:numPr>
          <w:ilvl w:val="0"/>
          <w:numId w:val="5"/>
        </w:numPr>
        <w:spacing w:before="100" w:beforeAutospacing="1" w:after="100" w:afterAutospacing="1"/>
      </w:pPr>
      <w:r>
        <w:t xml:space="preserve">Раскройте вопрос о гарантиях и компенсациях при несчастном случае на производстве и профессиональном заболевании. </w:t>
      </w:r>
    </w:p>
    <w:p w:rsidR="00A839E9" w:rsidRDefault="00A839E9" w:rsidP="00A839E9">
      <w:pPr>
        <w:numPr>
          <w:ilvl w:val="0"/>
          <w:numId w:val="5"/>
        </w:numPr>
        <w:spacing w:before="100" w:beforeAutospacing="1" w:after="100" w:afterAutospacing="1"/>
      </w:pPr>
      <w:r>
        <w:t xml:space="preserve">Какие гарантии и компенсации предоставляются работникам в случае сдачи ими крови и ее компонентов? </w:t>
      </w:r>
    </w:p>
    <w:p w:rsidR="00A839E9" w:rsidRDefault="00A839E9" w:rsidP="00A839E9">
      <w:pPr>
        <w:numPr>
          <w:ilvl w:val="0"/>
          <w:numId w:val="5"/>
        </w:numPr>
        <w:spacing w:before="100" w:beforeAutospacing="1" w:after="100" w:afterAutospacing="1"/>
      </w:pPr>
      <w:r>
        <w:t>Гарантии и компенсации работникам, направляемым работодателем для повышения квалификации.</w:t>
      </w: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pPr>
        <w:rPr>
          <w:lang w:val="en-US"/>
        </w:rPr>
      </w:pPr>
    </w:p>
    <w:p w:rsidR="00A839E9" w:rsidRDefault="00A839E9" w:rsidP="00A839E9">
      <w:pPr>
        <w:pStyle w:val="3"/>
      </w:pPr>
      <w:r>
        <w:t>Глава 28. Другие гарантии и компенсации</w:t>
      </w:r>
    </w:p>
    <w:p w:rsidR="00A839E9" w:rsidRDefault="00A839E9" w:rsidP="00A839E9">
      <w:pPr>
        <w:pStyle w:val="article"/>
      </w:pPr>
      <w:bookmarkStart w:id="0" w:name="article_182"/>
      <w:bookmarkEnd w:id="0"/>
      <w:r>
        <w:t xml:space="preserve">Статья 182. Гарантии при переводе работника на другую нижеоплачиваемую работу </w:t>
      </w:r>
    </w:p>
    <w:p w:rsidR="00A839E9" w:rsidRDefault="00A839E9" w:rsidP="00A839E9">
      <w:pPr>
        <w:pStyle w:val="law"/>
      </w:pPr>
      <w: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bookmarkStart w:id="1" w:name="article_183"/>
      <w:bookmarkEnd w:id="1"/>
    </w:p>
    <w:p w:rsidR="00A839E9" w:rsidRDefault="00A839E9" w:rsidP="00A839E9">
      <w:pPr>
        <w:pStyle w:val="article"/>
      </w:pPr>
      <w:r>
        <w:t xml:space="preserve">Статья 183. Гарантии работнику при временной нетрудоспособности </w:t>
      </w:r>
    </w:p>
    <w:p w:rsidR="00A839E9" w:rsidRDefault="00A839E9" w:rsidP="00A839E9">
      <w:pPr>
        <w:pStyle w:val="law"/>
      </w:pPr>
      <w: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 </w:t>
      </w:r>
    </w:p>
    <w:p w:rsidR="00A839E9" w:rsidRDefault="00A839E9" w:rsidP="00A839E9">
      <w:pPr>
        <w:pStyle w:val="law"/>
      </w:pPr>
      <w:r>
        <w:t xml:space="preserve">Размеры пособий по временной нетрудоспособности и условия их выплаты устанавливаются федеральными законами. </w:t>
      </w:r>
      <w:bookmarkStart w:id="2" w:name="article_184"/>
      <w:bookmarkEnd w:id="2"/>
    </w:p>
    <w:p w:rsidR="00A839E9" w:rsidRDefault="00A839E9" w:rsidP="00A839E9">
      <w:pPr>
        <w:pStyle w:val="article"/>
      </w:pPr>
      <w:r>
        <w:t xml:space="preserve">Статья 184. Гарантии и компенсации при несчастном случае на производстве и профессиональном заболевании </w:t>
      </w:r>
    </w:p>
    <w:p w:rsidR="00A839E9" w:rsidRDefault="00A839E9" w:rsidP="00A839E9">
      <w:pPr>
        <w:pStyle w:val="law"/>
      </w:pPr>
      <w: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w:t>
      </w:r>
    </w:p>
    <w:p w:rsidR="00A839E9" w:rsidRDefault="00A839E9" w:rsidP="00A839E9">
      <w:pPr>
        <w:pStyle w:val="law"/>
      </w:pPr>
      <w:r>
        <w:t xml:space="preserve">Виды, объемы и условия предоставления работникам гарантий и компенсаций в указанных случаях определяются федеральными законами. </w:t>
      </w:r>
      <w:bookmarkStart w:id="3" w:name="article_185"/>
      <w:bookmarkEnd w:id="3"/>
    </w:p>
    <w:p w:rsidR="00A839E9" w:rsidRDefault="00A839E9" w:rsidP="00A839E9">
      <w:pPr>
        <w:pStyle w:val="article"/>
      </w:pPr>
      <w:r>
        <w:t xml:space="preserve">Статья 185. Гарантии работникам, направляемым на медицинский осмотр (обследование) </w:t>
      </w:r>
    </w:p>
    <w:p w:rsidR="00A839E9" w:rsidRDefault="00A839E9" w:rsidP="00A839E9">
      <w:pPr>
        <w:pStyle w:val="a3"/>
      </w:pPr>
      <w:r>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по месту работы.</w:t>
      </w:r>
      <w:bookmarkStart w:id="4" w:name="article_186"/>
      <w:bookmarkEnd w:id="4"/>
    </w:p>
    <w:p w:rsidR="00A839E9" w:rsidRDefault="00A839E9" w:rsidP="00A839E9">
      <w:pPr>
        <w:pStyle w:val="article"/>
      </w:pPr>
      <w:r>
        <w:t xml:space="preserve">Статья 186. Гарантии и компенсации работникам в случае сдачи ими крови и ее компонентов </w:t>
      </w:r>
    </w:p>
    <w:p w:rsidR="00A839E9" w:rsidRDefault="00A839E9" w:rsidP="00A839E9">
      <w:pPr>
        <w:pStyle w:val="law"/>
      </w:pPr>
      <w:r>
        <w:t xml:space="preserve">В день сдачи крови и ее компонентов, а также в день связанного с этим медицинского обследования работник освобождается от работы. </w:t>
      </w:r>
    </w:p>
    <w:p w:rsidR="00A839E9" w:rsidRDefault="00A839E9" w:rsidP="00A839E9">
      <w:pPr>
        <w:pStyle w:val="law"/>
      </w:pPr>
      <w:r>
        <w:t xml:space="preserve">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w:t>
      </w:r>
    </w:p>
    <w:p w:rsidR="00A839E9" w:rsidRDefault="00A839E9" w:rsidP="00A839E9">
      <w:pPr>
        <w:pStyle w:val="law"/>
      </w:pPr>
      <w: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 </w:t>
      </w:r>
    </w:p>
    <w:p w:rsidR="00A839E9" w:rsidRDefault="00A839E9" w:rsidP="00A839E9">
      <w:pPr>
        <w:pStyle w:val="law"/>
      </w:pPr>
      <w: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p>
    <w:p w:rsidR="00A839E9" w:rsidRDefault="00A839E9" w:rsidP="00A839E9">
      <w:pPr>
        <w:pStyle w:val="law"/>
      </w:pPr>
      <w: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bookmarkStart w:id="5" w:name="article_187"/>
      <w:bookmarkEnd w:id="5"/>
    </w:p>
    <w:p w:rsidR="00A839E9" w:rsidRDefault="00A839E9" w:rsidP="00A839E9">
      <w:pPr>
        <w:pStyle w:val="article"/>
      </w:pPr>
      <w:r>
        <w:t xml:space="preserve">Статья 187. Гарантии и компенсации работникам, направляемым работодателем для повышения квалификации </w:t>
      </w:r>
    </w:p>
    <w:p w:rsidR="00A839E9" w:rsidRDefault="00A839E9" w:rsidP="00A839E9">
      <w:pPr>
        <w:pStyle w:val="law"/>
      </w:pPr>
      <w:r>
        <w:t xml:space="preserve">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bookmarkStart w:id="6" w:name="article_188"/>
      <w:bookmarkEnd w:id="6"/>
    </w:p>
    <w:p w:rsidR="00A839E9" w:rsidRDefault="00A839E9" w:rsidP="00A839E9">
      <w:pPr>
        <w:pStyle w:val="article"/>
      </w:pPr>
      <w:r>
        <w:t xml:space="preserve">Статья 188. Возмещение расходов при использовании личного имущества работника </w:t>
      </w:r>
    </w:p>
    <w:p w:rsidR="00A839E9" w:rsidRDefault="00A839E9" w:rsidP="00A839E9">
      <w:pPr>
        <w:pStyle w:val="law"/>
      </w:pPr>
      <w: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 </w:t>
      </w:r>
    </w:p>
    <w:p w:rsidR="00A839E9" w:rsidRPr="00A839E9" w:rsidRDefault="00A839E9">
      <w:bookmarkStart w:id="7" w:name="_GoBack"/>
      <w:bookmarkEnd w:id="7"/>
    </w:p>
    <w:sectPr w:rsidR="00A839E9" w:rsidRPr="00A83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9CA"/>
    <w:multiLevelType w:val="multilevel"/>
    <w:tmpl w:val="1A9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0021D"/>
    <w:multiLevelType w:val="multilevel"/>
    <w:tmpl w:val="5F52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A2CAF"/>
    <w:multiLevelType w:val="multilevel"/>
    <w:tmpl w:val="C46A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9453A"/>
    <w:multiLevelType w:val="multilevel"/>
    <w:tmpl w:val="FDE2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CA1526"/>
    <w:multiLevelType w:val="multilevel"/>
    <w:tmpl w:val="F2B6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9E9"/>
    <w:rsid w:val="007463FD"/>
    <w:rsid w:val="009B55A9"/>
    <w:rsid w:val="00A20730"/>
    <w:rsid w:val="00A8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D5D4C9-278D-4F6E-B221-71873F46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839E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39E9"/>
    <w:pPr>
      <w:spacing w:before="100" w:beforeAutospacing="1" w:after="100" w:afterAutospacing="1"/>
    </w:pPr>
  </w:style>
  <w:style w:type="paragraph" w:customStyle="1" w:styleId="article">
    <w:name w:val="article"/>
    <w:basedOn w:val="a"/>
    <w:rsid w:val="00A839E9"/>
    <w:pPr>
      <w:spacing w:before="100" w:beforeAutospacing="1" w:after="100" w:afterAutospacing="1"/>
    </w:pPr>
  </w:style>
  <w:style w:type="paragraph" w:customStyle="1" w:styleId="law">
    <w:name w:val="law"/>
    <w:basedOn w:val="a"/>
    <w:rsid w:val="00A839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89609">
      <w:bodyDiv w:val="1"/>
      <w:marLeft w:val="0"/>
      <w:marRight w:val="0"/>
      <w:marTop w:val="0"/>
      <w:marBottom w:val="0"/>
      <w:divBdr>
        <w:top w:val="none" w:sz="0" w:space="0" w:color="auto"/>
        <w:left w:val="none" w:sz="0" w:space="0" w:color="auto"/>
        <w:bottom w:val="none" w:sz="0" w:space="0" w:color="auto"/>
        <w:right w:val="none" w:sz="0" w:space="0" w:color="auto"/>
      </w:divBdr>
    </w:div>
    <w:div w:id="15563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4536</Words>
  <Characters>25859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2014-04-06T23:17:00Z</dcterms:created>
  <dcterms:modified xsi:type="dcterms:W3CDTF">2014-04-06T23:17:00Z</dcterms:modified>
</cp:coreProperties>
</file>