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160C" w:rsidRDefault="0085160C">
      <w:pPr>
        <w:jc w:val="both"/>
        <w:rPr>
          <w:rFonts w:ascii="Arial" w:hAnsi="Arial"/>
          <w:b/>
          <w:sz w:val="24"/>
        </w:rPr>
      </w:pPr>
    </w:p>
    <w:p w:rsidR="0085160C" w:rsidRDefault="0085160C">
      <w:pPr>
        <w:jc w:val="center"/>
        <w:rPr>
          <w:rFonts w:ascii="Arial" w:hAnsi="Arial"/>
          <w:b/>
          <w:sz w:val="24"/>
        </w:rPr>
      </w:pPr>
      <w:r>
        <w:rPr>
          <w:rFonts w:ascii="Arial" w:hAnsi="Arial"/>
          <w:b/>
          <w:sz w:val="24"/>
        </w:rPr>
        <w:t xml:space="preserve">Работа студентки </w:t>
      </w:r>
      <w:r>
        <w:rPr>
          <w:rFonts w:ascii="Arial" w:hAnsi="Arial"/>
          <w:b/>
          <w:sz w:val="24"/>
          <w:lang w:val="en-US"/>
        </w:rPr>
        <w:t>V</w:t>
      </w:r>
      <w:r>
        <w:rPr>
          <w:rFonts w:ascii="Arial" w:hAnsi="Arial"/>
          <w:b/>
          <w:sz w:val="24"/>
        </w:rPr>
        <w:t xml:space="preserve"> курса МЭО В.О. Ивановой Е.В.</w:t>
      </w:r>
    </w:p>
    <w:p w:rsidR="0085160C" w:rsidRDefault="0085160C">
      <w:pPr>
        <w:jc w:val="center"/>
        <w:rPr>
          <w:rFonts w:ascii="Arial" w:hAnsi="Arial"/>
          <w:b/>
          <w:sz w:val="24"/>
        </w:rPr>
      </w:pPr>
      <w:r>
        <w:rPr>
          <w:rFonts w:ascii="Arial" w:hAnsi="Arial"/>
          <w:b/>
          <w:sz w:val="24"/>
        </w:rPr>
        <w:t>Введение единой европейской валюты ЕВРО.</w:t>
      </w:r>
    </w:p>
    <w:p w:rsidR="0085160C" w:rsidRDefault="0085160C">
      <w:pPr>
        <w:jc w:val="both"/>
        <w:rPr>
          <w:rFonts w:ascii="Arial" w:hAnsi="Arial"/>
          <w:b/>
          <w:sz w:val="24"/>
        </w:rPr>
      </w:pPr>
    </w:p>
    <w:p w:rsidR="0085160C" w:rsidRDefault="0085160C">
      <w:pPr>
        <w:jc w:val="both"/>
        <w:rPr>
          <w:rFonts w:ascii="Arial" w:hAnsi="Arial"/>
          <w:sz w:val="24"/>
        </w:rPr>
      </w:pPr>
      <w:r>
        <w:rPr>
          <w:rFonts w:ascii="Arial" w:hAnsi="Arial"/>
          <w:b/>
          <w:sz w:val="24"/>
        </w:rPr>
        <w:t>Евро (euro)</w:t>
      </w:r>
      <w:r>
        <w:rPr>
          <w:rFonts w:ascii="Arial" w:hAnsi="Arial"/>
          <w:sz w:val="24"/>
        </w:rPr>
        <w:t xml:space="preserve"> - денежная единица стран-участниц европейского Экономического и валютного союза - ЭВС (EMU). Вводится в безналичное обращение с 1 января 1999, в наличное обращение с 1 января 2002. Официальный код евро по стандарту ISO-4217 - EUR. Официальное графическое обозначение евро </w:t>
      </w:r>
      <w:r>
        <w:rPr>
          <w:rFonts w:ascii="Arial" w:hAnsi="Arial"/>
          <w:b/>
          <w:sz w:val="24"/>
        </w:rPr>
        <w:t xml:space="preserve">- </w:t>
      </w:r>
      <w:r>
        <w:rPr>
          <w:rFonts w:ascii="Arial" w:hAnsi="Arial"/>
          <w:sz w:val="24"/>
        </w:rPr>
        <w:t xml:space="preserve">"эпсилон", похожий на русское "э" - только наоборот и с двумя горизонтальными линиями посередине, - это символ преемственности идей единства Европы. Еще в </w:t>
      </w:r>
      <w:r>
        <w:rPr>
          <w:rFonts w:ascii="Arial" w:hAnsi="Arial"/>
          <w:sz w:val="24"/>
          <w:lang w:val="en-US"/>
        </w:rPr>
        <w:t>VII</w:t>
      </w:r>
      <w:r>
        <w:rPr>
          <w:rFonts w:ascii="Arial" w:hAnsi="Arial"/>
          <w:sz w:val="24"/>
        </w:rPr>
        <w:t xml:space="preserve"> веке он был изображен на византийской монете "пентанумми", имевшей хождение от Пиренейского полуострова до Армении.</w:t>
      </w:r>
    </w:p>
    <w:p w:rsidR="0085160C" w:rsidRDefault="0085160C">
      <w:pPr>
        <w:jc w:val="both"/>
        <w:rPr>
          <w:rFonts w:ascii="Arial" w:hAnsi="Arial"/>
          <w:sz w:val="24"/>
        </w:rPr>
      </w:pPr>
    </w:p>
    <w:p w:rsidR="0085160C" w:rsidRDefault="0085160C">
      <w:pPr>
        <w:pStyle w:val="DefinitionList"/>
        <w:spacing w:before="100" w:after="100"/>
        <w:ind w:left="0"/>
        <w:jc w:val="both"/>
        <w:rPr>
          <w:rFonts w:ascii="Arial" w:hAnsi="Arial"/>
        </w:rPr>
      </w:pPr>
      <w:r>
        <w:rPr>
          <w:rFonts w:ascii="Arial" w:hAnsi="Arial"/>
        </w:rPr>
        <w:t xml:space="preserve">Процедура ввода евро в обращение разделена на три этапа. На первом этапе, который начался 1 января 1999 года, евро будет использоваться в безналичных расчетах наравне с национальными валютами стран-участниц ЭВС. При этом, в межбанковских расчетах и на фондовом рынке национальные валюты полностью прекратят хождение и будут заменены евро. Курс каждой валюты рассчитан на основе достаточно сложной формулы, учитывающей отдельные экономические показатели страны, курс ее валюты по отношению к экю, кросс-курсы валют стран ЭВС и т.д. Предварительные курсы были объявлены в начале 1998 года, а окончательные стали известны 1 января 1999 года. После объявления окончательных курсов они останутся неизменными до 1 июля 2002 года, когда национальные валюты прекратят хождение. Так как курс будет зафиксирован раз и навсегда, то по сути дела, с 1999 года национальные валюты станут одной из форм евро, только с другим названием. Например </w:t>
      </w:r>
      <w:r>
        <w:rPr>
          <w:rFonts w:ascii="Arial" w:hAnsi="Arial"/>
          <w:lang w:val="en-US"/>
        </w:rPr>
        <w:t>DEM</w:t>
      </w:r>
      <w:r>
        <w:rPr>
          <w:rFonts w:ascii="Arial" w:hAnsi="Arial"/>
        </w:rPr>
        <w:t xml:space="preserve"> можно будет рассматривать как евро реденоминированное в </w:t>
      </w:r>
      <w:r>
        <w:rPr>
          <w:rFonts w:ascii="Arial" w:hAnsi="Arial"/>
          <w:lang w:val="en-US"/>
        </w:rPr>
        <w:t>DEM</w:t>
      </w:r>
      <w:r>
        <w:rPr>
          <w:rFonts w:ascii="Arial" w:hAnsi="Arial"/>
        </w:rPr>
        <w:t xml:space="preserve">. Министры финансов стран Европейского Союза объявили следующие курсы курсы конвертации валют 11 стран в новую общую валюту - евро. </w:t>
      </w:r>
    </w:p>
    <w:p w:rsidR="0085160C" w:rsidRDefault="0085160C">
      <w:pPr>
        <w:jc w:val="both"/>
        <w:rPr>
          <w:rFonts w:ascii="Arial" w:hAnsi="Arial"/>
          <w:sz w:val="24"/>
        </w:rPr>
      </w:pPr>
    </w:p>
    <w:tbl>
      <w:tblPr>
        <w:tblW w:w="0" w:type="auto"/>
        <w:tblInd w:w="2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9"/>
        <w:gridCol w:w="2127"/>
      </w:tblGrid>
      <w:tr w:rsidR="0085160C">
        <w:tc>
          <w:tcPr>
            <w:tcW w:w="3969" w:type="dxa"/>
            <w:tcBorders>
              <w:top w:val="single" w:sz="18" w:space="0" w:color="auto"/>
              <w:left w:val="single" w:sz="18" w:space="0" w:color="auto"/>
              <w:right w:val="single" w:sz="18" w:space="0" w:color="auto"/>
            </w:tcBorders>
          </w:tcPr>
          <w:p w:rsidR="0085160C" w:rsidRDefault="0085160C">
            <w:pPr>
              <w:pStyle w:val="Preformatted"/>
              <w:tabs>
                <w:tab w:val="clear" w:pos="9590"/>
              </w:tabs>
              <w:jc w:val="both"/>
              <w:rPr>
                <w:rFonts w:ascii="Arial" w:hAnsi="Arial"/>
                <w:b/>
                <w:sz w:val="24"/>
                <w:lang w:val="en-US"/>
              </w:rPr>
            </w:pPr>
            <w:r>
              <w:rPr>
                <w:rFonts w:ascii="Arial" w:hAnsi="Arial"/>
                <w:b/>
                <w:sz w:val="24"/>
              </w:rPr>
              <w:t>Немецкая марка</w:t>
            </w:r>
          </w:p>
        </w:tc>
        <w:tc>
          <w:tcPr>
            <w:tcW w:w="2127" w:type="dxa"/>
            <w:tcBorders>
              <w:top w:val="single" w:sz="18" w:space="0" w:color="auto"/>
              <w:left w:val="nil"/>
              <w:right w:val="single" w:sz="18" w:space="0" w:color="auto"/>
            </w:tcBorders>
          </w:tcPr>
          <w:p w:rsidR="0085160C" w:rsidRDefault="0085160C">
            <w:pPr>
              <w:pStyle w:val="Preformatted"/>
              <w:tabs>
                <w:tab w:val="clear" w:pos="9590"/>
              </w:tabs>
              <w:ind w:left="360"/>
              <w:jc w:val="center"/>
              <w:rPr>
                <w:rFonts w:ascii="Arial" w:hAnsi="Arial"/>
                <w:sz w:val="24"/>
              </w:rPr>
            </w:pPr>
            <w:r>
              <w:rPr>
                <w:rFonts w:ascii="Arial" w:hAnsi="Arial"/>
                <w:sz w:val="24"/>
              </w:rPr>
              <w:t>1.95583</w:t>
            </w:r>
          </w:p>
          <w:p w:rsidR="0085160C" w:rsidRDefault="0085160C">
            <w:pPr>
              <w:pStyle w:val="Preformatted"/>
              <w:tabs>
                <w:tab w:val="clear" w:pos="9590"/>
              </w:tabs>
              <w:jc w:val="center"/>
              <w:rPr>
                <w:rFonts w:ascii="Arial" w:hAnsi="Arial"/>
                <w:sz w:val="24"/>
                <w:lang w:val="en-US"/>
              </w:rPr>
            </w:pPr>
          </w:p>
        </w:tc>
      </w:tr>
      <w:tr w:rsidR="0085160C">
        <w:tc>
          <w:tcPr>
            <w:tcW w:w="3969" w:type="dxa"/>
            <w:tcBorders>
              <w:left w:val="single" w:sz="18" w:space="0" w:color="auto"/>
              <w:right w:val="single" w:sz="18" w:space="0" w:color="auto"/>
            </w:tcBorders>
          </w:tcPr>
          <w:p w:rsidR="0085160C" w:rsidRDefault="0085160C">
            <w:pPr>
              <w:pStyle w:val="Preformatted"/>
              <w:tabs>
                <w:tab w:val="clear" w:pos="9590"/>
              </w:tabs>
              <w:jc w:val="both"/>
              <w:rPr>
                <w:rFonts w:ascii="Arial" w:hAnsi="Arial"/>
                <w:b/>
                <w:sz w:val="24"/>
                <w:lang w:val="en-US"/>
              </w:rPr>
            </w:pPr>
            <w:r>
              <w:rPr>
                <w:rFonts w:ascii="Arial" w:hAnsi="Arial"/>
                <w:b/>
                <w:sz w:val="24"/>
              </w:rPr>
              <w:t>Французский франк</w:t>
            </w:r>
          </w:p>
        </w:tc>
        <w:tc>
          <w:tcPr>
            <w:tcW w:w="2127" w:type="dxa"/>
            <w:tcBorders>
              <w:left w:val="nil"/>
              <w:right w:val="single" w:sz="18" w:space="0" w:color="auto"/>
            </w:tcBorders>
          </w:tcPr>
          <w:p w:rsidR="0085160C" w:rsidRDefault="0085160C">
            <w:pPr>
              <w:pStyle w:val="Preformatted"/>
              <w:tabs>
                <w:tab w:val="clear" w:pos="9590"/>
              </w:tabs>
              <w:ind w:left="360"/>
              <w:jc w:val="center"/>
              <w:rPr>
                <w:rFonts w:ascii="Arial" w:hAnsi="Arial"/>
                <w:sz w:val="24"/>
              </w:rPr>
            </w:pPr>
            <w:r>
              <w:rPr>
                <w:rFonts w:ascii="Arial" w:hAnsi="Arial"/>
                <w:sz w:val="24"/>
              </w:rPr>
              <w:t>6.55957</w:t>
            </w:r>
          </w:p>
          <w:p w:rsidR="0085160C" w:rsidRDefault="0085160C">
            <w:pPr>
              <w:pStyle w:val="Preformatted"/>
              <w:tabs>
                <w:tab w:val="clear" w:pos="9590"/>
              </w:tabs>
              <w:jc w:val="center"/>
              <w:rPr>
                <w:rFonts w:ascii="Arial" w:hAnsi="Arial"/>
                <w:sz w:val="24"/>
                <w:lang w:val="en-US"/>
              </w:rPr>
            </w:pPr>
          </w:p>
        </w:tc>
      </w:tr>
      <w:tr w:rsidR="0085160C">
        <w:tc>
          <w:tcPr>
            <w:tcW w:w="3969" w:type="dxa"/>
            <w:tcBorders>
              <w:left w:val="single" w:sz="18" w:space="0" w:color="auto"/>
              <w:right w:val="single" w:sz="18" w:space="0" w:color="auto"/>
            </w:tcBorders>
          </w:tcPr>
          <w:p w:rsidR="0085160C" w:rsidRDefault="0085160C">
            <w:pPr>
              <w:pStyle w:val="Preformatted"/>
              <w:tabs>
                <w:tab w:val="clear" w:pos="9590"/>
              </w:tabs>
              <w:jc w:val="both"/>
              <w:rPr>
                <w:rFonts w:ascii="Arial" w:hAnsi="Arial"/>
                <w:b/>
                <w:sz w:val="24"/>
                <w:lang w:val="en-US"/>
              </w:rPr>
            </w:pPr>
            <w:r>
              <w:rPr>
                <w:rFonts w:ascii="Arial" w:hAnsi="Arial"/>
                <w:b/>
                <w:sz w:val="24"/>
              </w:rPr>
              <w:t>Финская марка</w:t>
            </w:r>
          </w:p>
        </w:tc>
        <w:tc>
          <w:tcPr>
            <w:tcW w:w="2127" w:type="dxa"/>
            <w:tcBorders>
              <w:left w:val="nil"/>
              <w:right w:val="single" w:sz="18" w:space="0" w:color="auto"/>
            </w:tcBorders>
          </w:tcPr>
          <w:p w:rsidR="0085160C" w:rsidRDefault="0085160C">
            <w:pPr>
              <w:pStyle w:val="Preformatted"/>
              <w:tabs>
                <w:tab w:val="clear" w:pos="9590"/>
              </w:tabs>
              <w:ind w:left="360"/>
              <w:jc w:val="center"/>
              <w:rPr>
                <w:rFonts w:ascii="Arial" w:hAnsi="Arial"/>
                <w:sz w:val="24"/>
              </w:rPr>
            </w:pPr>
            <w:r>
              <w:rPr>
                <w:rFonts w:ascii="Arial" w:hAnsi="Arial"/>
                <w:sz w:val="24"/>
              </w:rPr>
              <w:t>5.94573</w:t>
            </w:r>
          </w:p>
          <w:p w:rsidR="0085160C" w:rsidRDefault="0085160C">
            <w:pPr>
              <w:pStyle w:val="Preformatted"/>
              <w:tabs>
                <w:tab w:val="clear" w:pos="9590"/>
              </w:tabs>
              <w:jc w:val="center"/>
              <w:rPr>
                <w:rFonts w:ascii="Arial" w:hAnsi="Arial"/>
                <w:sz w:val="24"/>
                <w:lang w:val="en-US"/>
              </w:rPr>
            </w:pPr>
          </w:p>
        </w:tc>
      </w:tr>
      <w:tr w:rsidR="0085160C">
        <w:trPr>
          <w:trHeight w:val="384"/>
        </w:trPr>
        <w:tc>
          <w:tcPr>
            <w:tcW w:w="3969" w:type="dxa"/>
            <w:tcBorders>
              <w:left w:val="single" w:sz="18" w:space="0" w:color="auto"/>
              <w:right w:val="single" w:sz="18" w:space="0" w:color="auto"/>
            </w:tcBorders>
          </w:tcPr>
          <w:p w:rsidR="0085160C" w:rsidRDefault="0085160C">
            <w:pPr>
              <w:pStyle w:val="Preformatted"/>
              <w:tabs>
                <w:tab w:val="clear" w:pos="9590"/>
              </w:tabs>
              <w:jc w:val="both"/>
              <w:rPr>
                <w:rFonts w:ascii="Arial" w:hAnsi="Arial"/>
                <w:b/>
                <w:sz w:val="24"/>
                <w:lang w:val="en-US"/>
              </w:rPr>
            </w:pPr>
            <w:r>
              <w:rPr>
                <w:rFonts w:ascii="Arial" w:hAnsi="Arial"/>
                <w:b/>
                <w:sz w:val="24"/>
              </w:rPr>
              <w:t>Голландский гульден</w:t>
            </w:r>
          </w:p>
        </w:tc>
        <w:tc>
          <w:tcPr>
            <w:tcW w:w="2127" w:type="dxa"/>
            <w:tcBorders>
              <w:left w:val="nil"/>
              <w:right w:val="single" w:sz="18" w:space="0" w:color="auto"/>
            </w:tcBorders>
          </w:tcPr>
          <w:p w:rsidR="0085160C" w:rsidRDefault="0085160C">
            <w:pPr>
              <w:pStyle w:val="Preformatted"/>
              <w:tabs>
                <w:tab w:val="clear" w:pos="9590"/>
              </w:tabs>
              <w:ind w:left="360"/>
              <w:jc w:val="center"/>
              <w:rPr>
                <w:rFonts w:ascii="Arial" w:hAnsi="Arial"/>
                <w:sz w:val="24"/>
              </w:rPr>
            </w:pPr>
            <w:r>
              <w:rPr>
                <w:rFonts w:ascii="Arial" w:hAnsi="Arial"/>
                <w:sz w:val="24"/>
              </w:rPr>
              <w:t>2.20З71</w:t>
            </w:r>
          </w:p>
          <w:p w:rsidR="0085160C" w:rsidRDefault="0085160C">
            <w:pPr>
              <w:pStyle w:val="Preformatted"/>
              <w:tabs>
                <w:tab w:val="clear" w:pos="9590"/>
              </w:tabs>
              <w:jc w:val="center"/>
              <w:rPr>
                <w:rFonts w:ascii="Arial" w:hAnsi="Arial"/>
                <w:sz w:val="24"/>
                <w:lang w:val="en-US"/>
              </w:rPr>
            </w:pPr>
          </w:p>
        </w:tc>
      </w:tr>
      <w:tr w:rsidR="0085160C">
        <w:tc>
          <w:tcPr>
            <w:tcW w:w="3969" w:type="dxa"/>
            <w:tcBorders>
              <w:left w:val="single" w:sz="18" w:space="0" w:color="auto"/>
              <w:right w:val="single" w:sz="18" w:space="0" w:color="auto"/>
            </w:tcBorders>
          </w:tcPr>
          <w:p w:rsidR="0085160C" w:rsidRDefault="0085160C">
            <w:pPr>
              <w:pStyle w:val="Preformatted"/>
              <w:tabs>
                <w:tab w:val="clear" w:pos="9590"/>
              </w:tabs>
              <w:jc w:val="both"/>
              <w:rPr>
                <w:rFonts w:ascii="Arial" w:hAnsi="Arial"/>
                <w:b/>
                <w:sz w:val="24"/>
                <w:lang w:val="en-US"/>
              </w:rPr>
            </w:pPr>
            <w:r>
              <w:rPr>
                <w:rFonts w:ascii="Arial" w:hAnsi="Arial"/>
                <w:b/>
                <w:sz w:val="24"/>
              </w:rPr>
              <w:t>Австрийский шиллинг</w:t>
            </w:r>
          </w:p>
        </w:tc>
        <w:tc>
          <w:tcPr>
            <w:tcW w:w="2127" w:type="dxa"/>
            <w:tcBorders>
              <w:left w:val="nil"/>
              <w:right w:val="single" w:sz="18" w:space="0" w:color="auto"/>
            </w:tcBorders>
          </w:tcPr>
          <w:p w:rsidR="0085160C" w:rsidRDefault="0085160C">
            <w:pPr>
              <w:pStyle w:val="Preformatted"/>
              <w:tabs>
                <w:tab w:val="clear" w:pos="9590"/>
              </w:tabs>
              <w:jc w:val="center"/>
              <w:rPr>
                <w:rFonts w:ascii="Arial" w:hAnsi="Arial"/>
                <w:sz w:val="24"/>
                <w:lang w:val="en-US"/>
              </w:rPr>
            </w:pPr>
            <w:r>
              <w:rPr>
                <w:rFonts w:ascii="Arial" w:hAnsi="Arial"/>
                <w:sz w:val="24"/>
              </w:rPr>
              <w:t>13.7603</w:t>
            </w:r>
          </w:p>
        </w:tc>
      </w:tr>
      <w:tr w:rsidR="0085160C">
        <w:tc>
          <w:tcPr>
            <w:tcW w:w="3969" w:type="dxa"/>
            <w:tcBorders>
              <w:left w:val="single" w:sz="18" w:space="0" w:color="auto"/>
              <w:right w:val="single" w:sz="18" w:space="0" w:color="auto"/>
            </w:tcBorders>
          </w:tcPr>
          <w:p w:rsidR="0085160C" w:rsidRDefault="0085160C">
            <w:pPr>
              <w:pStyle w:val="Preformatted"/>
              <w:tabs>
                <w:tab w:val="clear" w:pos="9590"/>
              </w:tabs>
              <w:jc w:val="both"/>
              <w:rPr>
                <w:rFonts w:ascii="Arial" w:hAnsi="Arial"/>
                <w:b/>
                <w:sz w:val="24"/>
                <w:lang w:val="en-US"/>
              </w:rPr>
            </w:pPr>
            <w:r>
              <w:rPr>
                <w:rFonts w:ascii="Arial" w:hAnsi="Arial"/>
                <w:b/>
                <w:sz w:val="24"/>
              </w:rPr>
              <w:t>Итальянская лира</w:t>
            </w:r>
          </w:p>
        </w:tc>
        <w:tc>
          <w:tcPr>
            <w:tcW w:w="2127" w:type="dxa"/>
            <w:tcBorders>
              <w:left w:val="nil"/>
              <w:right w:val="single" w:sz="18" w:space="0" w:color="auto"/>
            </w:tcBorders>
          </w:tcPr>
          <w:p w:rsidR="0085160C" w:rsidRDefault="0085160C">
            <w:pPr>
              <w:pStyle w:val="Preformatted"/>
              <w:tabs>
                <w:tab w:val="clear" w:pos="9590"/>
              </w:tabs>
              <w:jc w:val="center"/>
              <w:rPr>
                <w:rFonts w:ascii="Arial" w:hAnsi="Arial"/>
                <w:sz w:val="24"/>
              </w:rPr>
            </w:pPr>
            <w:r>
              <w:rPr>
                <w:rFonts w:ascii="Arial" w:hAnsi="Arial"/>
                <w:sz w:val="24"/>
              </w:rPr>
              <w:t>1936.21</w:t>
            </w:r>
          </w:p>
          <w:p w:rsidR="0085160C" w:rsidRDefault="0085160C">
            <w:pPr>
              <w:pStyle w:val="Preformatted"/>
              <w:tabs>
                <w:tab w:val="clear" w:pos="9590"/>
              </w:tabs>
              <w:jc w:val="center"/>
              <w:rPr>
                <w:rFonts w:ascii="Arial" w:hAnsi="Arial"/>
                <w:sz w:val="24"/>
                <w:lang w:val="en-US"/>
              </w:rPr>
            </w:pPr>
          </w:p>
        </w:tc>
      </w:tr>
      <w:tr w:rsidR="0085160C">
        <w:tc>
          <w:tcPr>
            <w:tcW w:w="3969" w:type="dxa"/>
            <w:tcBorders>
              <w:left w:val="single" w:sz="18" w:space="0" w:color="auto"/>
              <w:right w:val="single" w:sz="18" w:space="0" w:color="auto"/>
            </w:tcBorders>
          </w:tcPr>
          <w:p w:rsidR="0085160C" w:rsidRDefault="0085160C">
            <w:pPr>
              <w:pStyle w:val="Preformatted"/>
              <w:tabs>
                <w:tab w:val="clear" w:pos="9590"/>
              </w:tabs>
              <w:jc w:val="both"/>
              <w:rPr>
                <w:rFonts w:ascii="Arial" w:hAnsi="Arial"/>
                <w:b/>
                <w:sz w:val="24"/>
                <w:lang w:val="en-US"/>
              </w:rPr>
            </w:pPr>
            <w:r>
              <w:rPr>
                <w:rFonts w:ascii="Arial" w:hAnsi="Arial"/>
                <w:b/>
                <w:sz w:val="24"/>
              </w:rPr>
              <w:t>Испанская песета</w:t>
            </w:r>
          </w:p>
        </w:tc>
        <w:tc>
          <w:tcPr>
            <w:tcW w:w="2127" w:type="dxa"/>
            <w:tcBorders>
              <w:left w:val="nil"/>
              <w:right w:val="single" w:sz="18" w:space="0" w:color="auto"/>
            </w:tcBorders>
          </w:tcPr>
          <w:p w:rsidR="0085160C" w:rsidRDefault="0085160C">
            <w:pPr>
              <w:pStyle w:val="Preformatted"/>
              <w:tabs>
                <w:tab w:val="clear" w:pos="9590"/>
              </w:tabs>
              <w:jc w:val="center"/>
              <w:rPr>
                <w:rFonts w:ascii="Arial" w:hAnsi="Arial"/>
                <w:sz w:val="24"/>
              </w:rPr>
            </w:pPr>
            <w:r>
              <w:rPr>
                <w:rFonts w:ascii="Arial" w:hAnsi="Arial"/>
                <w:sz w:val="24"/>
              </w:rPr>
              <w:t>166.386</w:t>
            </w:r>
          </w:p>
          <w:p w:rsidR="0085160C" w:rsidRDefault="0085160C">
            <w:pPr>
              <w:pStyle w:val="Preformatted"/>
              <w:tabs>
                <w:tab w:val="clear" w:pos="9590"/>
              </w:tabs>
              <w:jc w:val="center"/>
              <w:rPr>
                <w:rFonts w:ascii="Arial" w:hAnsi="Arial"/>
                <w:sz w:val="24"/>
                <w:lang w:val="en-US"/>
              </w:rPr>
            </w:pPr>
          </w:p>
        </w:tc>
      </w:tr>
      <w:tr w:rsidR="0085160C">
        <w:tc>
          <w:tcPr>
            <w:tcW w:w="3969" w:type="dxa"/>
            <w:tcBorders>
              <w:left w:val="single" w:sz="18" w:space="0" w:color="auto"/>
              <w:right w:val="single" w:sz="18" w:space="0" w:color="auto"/>
            </w:tcBorders>
          </w:tcPr>
          <w:p w:rsidR="0085160C" w:rsidRDefault="0085160C">
            <w:pPr>
              <w:pStyle w:val="Preformatted"/>
              <w:tabs>
                <w:tab w:val="clear" w:pos="9590"/>
              </w:tabs>
              <w:jc w:val="both"/>
              <w:rPr>
                <w:rFonts w:ascii="Arial" w:hAnsi="Arial"/>
                <w:b/>
                <w:sz w:val="24"/>
                <w:lang w:val="en-US"/>
              </w:rPr>
            </w:pPr>
            <w:r>
              <w:rPr>
                <w:rFonts w:ascii="Arial" w:hAnsi="Arial"/>
                <w:b/>
                <w:sz w:val="24"/>
              </w:rPr>
              <w:t>Португальский эскудо</w:t>
            </w:r>
          </w:p>
        </w:tc>
        <w:tc>
          <w:tcPr>
            <w:tcW w:w="2127" w:type="dxa"/>
            <w:tcBorders>
              <w:left w:val="nil"/>
              <w:right w:val="single" w:sz="18" w:space="0" w:color="auto"/>
            </w:tcBorders>
          </w:tcPr>
          <w:p w:rsidR="0085160C" w:rsidRDefault="0085160C">
            <w:pPr>
              <w:pStyle w:val="Preformatted"/>
              <w:tabs>
                <w:tab w:val="clear" w:pos="9590"/>
              </w:tabs>
              <w:jc w:val="center"/>
              <w:rPr>
                <w:rFonts w:ascii="Arial" w:hAnsi="Arial"/>
                <w:sz w:val="24"/>
              </w:rPr>
            </w:pPr>
            <w:r>
              <w:rPr>
                <w:rFonts w:ascii="Arial" w:hAnsi="Arial"/>
                <w:sz w:val="24"/>
              </w:rPr>
              <w:t>200.482</w:t>
            </w:r>
          </w:p>
          <w:p w:rsidR="0085160C" w:rsidRDefault="0085160C">
            <w:pPr>
              <w:pStyle w:val="Preformatted"/>
              <w:tabs>
                <w:tab w:val="clear" w:pos="9590"/>
              </w:tabs>
              <w:jc w:val="center"/>
              <w:rPr>
                <w:rFonts w:ascii="Arial" w:hAnsi="Arial"/>
                <w:sz w:val="24"/>
                <w:lang w:val="en-US"/>
              </w:rPr>
            </w:pPr>
          </w:p>
        </w:tc>
      </w:tr>
      <w:tr w:rsidR="0085160C">
        <w:tc>
          <w:tcPr>
            <w:tcW w:w="3969" w:type="dxa"/>
            <w:tcBorders>
              <w:left w:val="single" w:sz="18" w:space="0" w:color="auto"/>
              <w:right w:val="single" w:sz="18" w:space="0" w:color="auto"/>
            </w:tcBorders>
          </w:tcPr>
          <w:p w:rsidR="0085160C" w:rsidRDefault="0085160C">
            <w:pPr>
              <w:pStyle w:val="Preformatted"/>
              <w:tabs>
                <w:tab w:val="clear" w:pos="9590"/>
              </w:tabs>
              <w:jc w:val="both"/>
              <w:rPr>
                <w:rFonts w:ascii="Arial" w:hAnsi="Arial"/>
                <w:b/>
                <w:sz w:val="24"/>
                <w:lang w:val="en-US"/>
              </w:rPr>
            </w:pPr>
            <w:r>
              <w:rPr>
                <w:rFonts w:ascii="Arial" w:hAnsi="Arial"/>
                <w:b/>
                <w:sz w:val="24"/>
              </w:rPr>
              <w:t>Ирландский фунт</w:t>
            </w:r>
          </w:p>
        </w:tc>
        <w:tc>
          <w:tcPr>
            <w:tcW w:w="2127" w:type="dxa"/>
            <w:tcBorders>
              <w:left w:val="nil"/>
              <w:right w:val="single" w:sz="18" w:space="0" w:color="auto"/>
            </w:tcBorders>
          </w:tcPr>
          <w:p w:rsidR="0085160C" w:rsidRDefault="0085160C">
            <w:pPr>
              <w:pStyle w:val="Preformatted"/>
              <w:tabs>
                <w:tab w:val="clear" w:pos="9590"/>
              </w:tabs>
              <w:jc w:val="center"/>
              <w:rPr>
                <w:rFonts w:ascii="Arial" w:hAnsi="Arial"/>
                <w:sz w:val="24"/>
                <w:lang w:val="en-US"/>
              </w:rPr>
            </w:pPr>
            <w:r>
              <w:rPr>
                <w:rFonts w:ascii="Arial" w:hAnsi="Arial"/>
                <w:sz w:val="24"/>
                <w:lang w:val="en-US"/>
              </w:rPr>
              <w:t>0</w:t>
            </w:r>
            <w:r>
              <w:rPr>
                <w:rFonts w:ascii="Arial" w:hAnsi="Arial"/>
                <w:sz w:val="24"/>
              </w:rPr>
              <w:t>.787564</w:t>
            </w:r>
          </w:p>
        </w:tc>
      </w:tr>
      <w:tr w:rsidR="0085160C">
        <w:trPr>
          <w:trHeight w:val="596"/>
        </w:trPr>
        <w:tc>
          <w:tcPr>
            <w:tcW w:w="3969" w:type="dxa"/>
            <w:tcBorders>
              <w:left w:val="single" w:sz="18" w:space="0" w:color="auto"/>
              <w:bottom w:val="single" w:sz="18" w:space="0" w:color="auto"/>
              <w:right w:val="single" w:sz="18" w:space="0" w:color="auto"/>
            </w:tcBorders>
          </w:tcPr>
          <w:p w:rsidR="0085160C" w:rsidRDefault="0085160C">
            <w:pPr>
              <w:pStyle w:val="Preformatted"/>
              <w:tabs>
                <w:tab w:val="clear" w:pos="9590"/>
              </w:tabs>
              <w:ind w:left="360"/>
              <w:jc w:val="both"/>
              <w:rPr>
                <w:rFonts w:ascii="Arial" w:hAnsi="Arial"/>
                <w:b/>
                <w:sz w:val="24"/>
                <w:lang w:val="en-US"/>
              </w:rPr>
            </w:pPr>
            <w:r>
              <w:rPr>
                <w:rFonts w:ascii="Arial" w:hAnsi="Arial"/>
                <w:b/>
                <w:sz w:val="24"/>
              </w:rPr>
              <w:t>Бельгийский/</w:t>
            </w:r>
          </w:p>
          <w:p w:rsidR="0085160C" w:rsidRDefault="0085160C">
            <w:pPr>
              <w:pStyle w:val="Preformatted"/>
              <w:tabs>
                <w:tab w:val="clear" w:pos="9590"/>
              </w:tabs>
              <w:jc w:val="both"/>
              <w:rPr>
                <w:rFonts w:ascii="Arial" w:hAnsi="Arial"/>
                <w:b/>
                <w:sz w:val="24"/>
                <w:lang w:val="en-US"/>
              </w:rPr>
            </w:pPr>
            <w:r>
              <w:rPr>
                <w:rFonts w:ascii="Arial" w:hAnsi="Arial"/>
                <w:b/>
                <w:sz w:val="24"/>
              </w:rPr>
              <w:t>Люксембургский франк</w:t>
            </w:r>
          </w:p>
        </w:tc>
        <w:tc>
          <w:tcPr>
            <w:tcW w:w="2127" w:type="dxa"/>
            <w:tcBorders>
              <w:left w:val="nil"/>
              <w:bottom w:val="single" w:sz="18" w:space="0" w:color="auto"/>
              <w:right w:val="single" w:sz="18" w:space="0" w:color="auto"/>
            </w:tcBorders>
          </w:tcPr>
          <w:p w:rsidR="0085160C" w:rsidRDefault="0085160C">
            <w:pPr>
              <w:pStyle w:val="Preformatted"/>
              <w:tabs>
                <w:tab w:val="clear" w:pos="9590"/>
              </w:tabs>
              <w:jc w:val="center"/>
              <w:rPr>
                <w:rFonts w:ascii="Arial" w:hAnsi="Arial"/>
                <w:sz w:val="24"/>
                <w:lang w:val="en-US"/>
              </w:rPr>
            </w:pPr>
          </w:p>
          <w:p w:rsidR="0085160C" w:rsidRDefault="0085160C">
            <w:pPr>
              <w:pStyle w:val="Preformatted"/>
              <w:tabs>
                <w:tab w:val="clear" w:pos="9590"/>
              </w:tabs>
              <w:jc w:val="center"/>
              <w:rPr>
                <w:rFonts w:ascii="Arial" w:hAnsi="Arial"/>
                <w:sz w:val="24"/>
                <w:lang w:val="en-US"/>
              </w:rPr>
            </w:pPr>
            <w:r>
              <w:rPr>
                <w:rFonts w:ascii="Arial" w:hAnsi="Arial"/>
                <w:sz w:val="24"/>
              </w:rPr>
              <w:t>40.3399</w:t>
            </w:r>
          </w:p>
        </w:tc>
      </w:tr>
    </w:tbl>
    <w:p w:rsidR="0085160C" w:rsidRDefault="0085160C">
      <w:pPr>
        <w:pStyle w:val="Preformatted"/>
        <w:tabs>
          <w:tab w:val="clear" w:pos="9590"/>
        </w:tabs>
        <w:jc w:val="both"/>
        <w:rPr>
          <w:rFonts w:ascii="Arial" w:hAnsi="Arial"/>
          <w:sz w:val="24"/>
        </w:rPr>
      </w:pPr>
    </w:p>
    <w:p w:rsidR="0085160C" w:rsidRDefault="0085160C">
      <w:pPr>
        <w:pStyle w:val="Preformatted"/>
        <w:tabs>
          <w:tab w:val="clear" w:pos="9590"/>
        </w:tabs>
        <w:jc w:val="both"/>
        <w:rPr>
          <w:rFonts w:ascii="Arial" w:hAnsi="Arial"/>
          <w:sz w:val="24"/>
        </w:rPr>
      </w:pPr>
      <w:r>
        <w:rPr>
          <w:rFonts w:ascii="Arial" w:hAnsi="Arial"/>
          <w:sz w:val="24"/>
        </w:rPr>
        <w:t>Установлены специальные процедуры пересчета в евро средств в замещаемых национальных валютах, позволяющие избежать курсовой разницы из-за погрешностей округления. Банки стран - участниц ЭВС договорились между собой осуществлять конверсию средств в национальных валютах в евро и наоборот без взимания комиссионных и предоставлять выписки по счетам клиентов с одновременным указанием сумм в евро и национальной валюте.</w:t>
      </w:r>
    </w:p>
    <w:p w:rsidR="0085160C" w:rsidRDefault="0085160C">
      <w:pPr>
        <w:pStyle w:val="3"/>
        <w:rPr>
          <w:sz w:val="24"/>
        </w:rPr>
      </w:pPr>
      <w:r>
        <w:rPr>
          <w:sz w:val="24"/>
        </w:rPr>
        <w:t>Второй этап - ввод евро в наличное обращение и его параллельное хождение с национальными валютами продлится с 1 января по 30 июня 2002 года. Для того чтобы успешно подготовится к этому этапу, уже началось изготовление банкнот и монет. В связи с этим интересно отметить, что в отличии от банкнот, монеты будут иметь "страновые отличия". В то время, как дизайн лицевой стороны всех монет (аверса) будет одинаков, внешний вид обратной стороны (реверса) будет зависеть от того, в какой стране отчеканена эта монета. Однако, кроме внешнего вида, евро отчеканенное, например, в Германии ничем не будет отличаться от евро отчеканенного в других странах ЭВС.</w:t>
      </w:r>
    </w:p>
    <w:p w:rsidR="0085160C" w:rsidRDefault="0085160C">
      <w:pPr>
        <w:jc w:val="both"/>
        <w:rPr>
          <w:rFonts w:ascii="Arial" w:hAnsi="Arial"/>
          <w:sz w:val="24"/>
        </w:rPr>
      </w:pPr>
      <w:r>
        <w:rPr>
          <w:rFonts w:ascii="Arial" w:hAnsi="Arial"/>
          <w:sz w:val="24"/>
        </w:rPr>
        <w:t>И наконец, 1 июля 2002 года, прекратятся все расчеты в национальных валютах стран-участниц ЭВС. Евро останется единственным законным платежным средством на территории европейского Экономического и валютного союза. Эксперты Европейского Союза считают вполне реальным переход на наличные расчеты в единой европейской валюте реальным уже в 2000 или 2001 году, а не в 2002 году, как запланировано. Обосновывая свое мнение, они ссылаются на то, что введение безналичных расчетов в евро с 1 января этого года прошло весьма удачно. Эксперты также указывают, что за скорейшее введение наличных расчетов в евро выступает ряд ведущих европейских политиков.</w:t>
      </w:r>
    </w:p>
    <w:p w:rsidR="0085160C" w:rsidRDefault="0085160C">
      <w:pPr>
        <w:jc w:val="both"/>
        <w:rPr>
          <w:rFonts w:ascii="Arial" w:hAnsi="Arial"/>
          <w:sz w:val="24"/>
        </w:rPr>
      </w:pPr>
      <w:r>
        <w:rPr>
          <w:rFonts w:ascii="Arial" w:hAnsi="Arial"/>
          <w:sz w:val="24"/>
        </w:rPr>
        <w:t>Всего 11 стран ЕС - Австрия, Бельгия, Германия, Ирландия, Испания, Италия, Люксембург, Нидерланды, Португалия, Финляндия и Франция выразили готовность вступить в ЭВС. Греция также выразила готовность, но ее экономические показатели не удовлетворяют требованиям, установленным Маастрихтстким соглашением для кандидатов на вступление в ЭВС. Великобритания, Дания и Швеция по своим экономическим показателям соответствуют этим требованиям, но по разным причинам решили пока не присоединяться к союзу. Однако, весьма вероятно, что Англия и Швеция присоединятся к ЭВС в 2003 году. Руководитель Центрального банка Великобритании Эдди Джордж заявил о том, что его страна продолжает отказываться от вхождения в "Еврозону" даже после введения расчетов в евро. Он считает, что подходящее время для вступления Великобритании в зону единой валюты пока не наступило. Э. Джордж отметил, что в случае присоединения к "Еврозоне" на экономику Великобритании негативно скажется такой фактор, как высокий уровень безработицы в других европейских странах. Одним из преимуществ не вхождения в зону единой валюты он назвал возможность самостоятельно устанавливать процентную ставку, не подстраиваясь под уровень ставок других европейских стран.</w:t>
      </w:r>
    </w:p>
    <w:p w:rsidR="0085160C" w:rsidRDefault="0085160C">
      <w:pPr>
        <w:jc w:val="both"/>
        <w:rPr>
          <w:rFonts w:ascii="Arial" w:hAnsi="Arial"/>
          <w:sz w:val="24"/>
        </w:rPr>
      </w:pPr>
      <w:r>
        <w:rPr>
          <w:rFonts w:ascii="Arial" w:hAnsi="Arial"/>
          <w:sz w:val="24"/>
        </w:rPr>
        <w:t>Греция стремиться выправить свои экономические показатели и рассчитывает стать членом ЭВС уже в 2001 году. Сложнее обстоит дело с Данией, жители которой проголосовали против союза. Возможно даже, что Дания так и не присоединиться к ЭВС, по крайней мере в обозримом будущем. По мере вступления в ЕС новых членов, список кандидатов на присоединение к ЭВС будет расширяться. Однако, следует учесть, что членство в Евросоюзе не означает автоматического членства в ЭВС. Поэтому в ближайшие 5-7 лет только упомянутые четыре страны Европейского союза являются наиболее вероятными кандидатами на пополнение рядов ЭВС.</w:t>
      </w:r>
    </w:p>
    <w:p w:rsidR="0085160C" w:rsidRDefault="0085160C">
      <w:pPr>
        <w:jc w:val="both"/>
        <w:rPr>
          <w:rFonts w:ascii="Arial" w:hAnsi="Arial"/>
          <w:sz w:val="24"/>
        </w:rPr>
      </w:pPr>
    </w:p>
    <w:p w:rsidR="0085160C" w:rsidRDefault="0085160C">
      <w:pPr>
        <w:jc w:val="both"/>
        <w:rPr>
          <w:rFonts w:ascii="Arial" w:hAnsi="Arial"/>
          <w:b/>
          <w:sz w:val="24"/>
        </w:rPr>
      </w:pPr>
      <w:r>
        <w:rPr>
          <w:rFonts w:ascii="Arial" w:hAnsi="Arial"/>
          <w:sz w:val="24"/>
        </w:rPr>
        <w:t xml:space="preserve">Уже в первые дни 1999 г. на мировых финансовых рынках произошел целый ряд событий, последствия которых возможно будут определять их конъюнктуру в течение долгого времени. Безусловно, событием №1 стало введение с 1 января 1999 г. в безналичное обращение единой европейской валюты — евро. В настоящее время единая европейская валюта евро начала соперничество с американским долларом за право считаться лидирующей силой на мировых финансовых рынках. Большой интерес вызывали торги на азиатских рынках, там курс евро несколько вырос по отношению к доллару. Все говорит о том, что мировой финансовый рынок входит в новую эру.  Сейчас в центре внимания финансового мира находится движение курса евро относительно доллара США. Пока идет устойчивое укрепление единой европейской валюты. Все говорит о том, что евро будет твердой валютой. Тем самым закладываются надежные основы ее паритетного отношения с долларом США и превращения евро в одну из наиболее устойчивых мировых валют. По прогнозам немецких и австрийских экспертов, можно ожидать дальнейшего роста курса евро. Они полагают, что к концу 1999 года курс евро может достичь 1,23 долл./евро. Кроме того, весьма высокая оценка международными экспертами экономического потенциала, которым обладают страны, вошедшие в еврозону, уже сейчас привела к появлению достаточно оптимистических прогнозов, предрекающих евро роль второй мировой резервной валюты - роль, которую не удалось заполучить ни британскому фунту, ни японской йене. Оптимизм финансистов основывается помимо прочего на одном очень показательном факте. До введения евро доллар обслуживал более 50% мирового экспорта. Ни британский фунт (на долю которого приходилось более 5% мирового экспорта), ни японская йена (менее 5%) не имели практически никаких шансов составить конкуренцию американскому собрату. Теперь же, с введением в 11 странах общей денежной единицы, доля мирового экспорта, приходящегося на евро, приблизится к 30%. Доля же американского доллара сузится, так как очевидно, что он не будет обслуживать расчеты в Европейском союзе. </w:t>
      </w:r>
    </w:p>
    <w:p w:rsidR="0085160C" w:rsidRDefault="0085160C">
      <w:pPr>
        <w:jc w:val="both"/>
        <w:rPr>
          <w:rFonts w:ascii="Arial" w:hAnsi="Arial"/>
          <w:sz w:val="24"/>
        </w:rPr>
      </w:pPr>
      <w:r>
        <w:rPr>
          <w:rFonts w:ascii="Arial" w:hAnsi="Arial"/>
          <w:sz w:val="24"/>
        </w:rPr>
        <w:t xml:space="preserve">Эксперты высказывают самые различные мнения о перспективах новой денежной единицы. Однако уже сейчас очевидно, что наибольшую “плату” за интеграцию значительной части Европы в единое финансово-экономическое пространство понесут наиболее развитые страны, и в первую очередь Германия. Тем не менее в самой Германии введение евро встретили с изрядной долей оптимизма. В Бундестаге обсуждается возможность предложения другим членам Евросоюза ускорить процесс ввода в обращение наличного варианта евро (ранее предполагалось, что этот процесс стартует 1 января 2002 г., ряд же немецких парламентариев предлагают приурочить это событие к 1 января 2000 г.). Вместе с тем, по мнению большинства экспертов, излишне активизировать этот процесс пока не стоит, что бы более детально изучить реакцию рынка на появление евро. Тем более, что уже в ближайшее время новой валюте придется выдержать серьезную конкуренцию со стороны доллара и иены. </w:t>
      </w:r>
    </w:p>
    <w:p w:rsidR="0085160C" w:rsidRDefault="0085160C">
      <w:pPr>
        <w:jc w:val="both"/>
        <w:rPr>
          <w:rFonts w:ascii="Arial" w:hAnsi="Arial"/>
          <w:sz w:val="24"/>
        </w:rPr>
      </w:pPr>
      <w:r>
        <w:rPr>
          <w:rFonts w:ascii="Arial" w:hAnsi="Arial"/>
          <w:sz w:val="24"/>
        </w:rPr>
        <w:t xml:space="preserve">Финансовые же власти США и Японии в свою очередь также готовятся к борьбе “за место под солнцем” на мировом валютном рынке. Например, премьер-министр Японии К.Обучи, совершает рабочую поездку по столицам крупнейших европейских государств, одной из основных целей которой является пропаганда иены как мировой валюты. В тоже время на рынке позиции японской валюты по отношению к доллару заметно окрепли. Так, 11 января на торгах в Токио стоимость американского доллара опустилась до отметки 108.6 иены/долл., что является минимальным значение данного показателя за последние 28 месяцев. Тем не менее, заместитель министра финансов Японии К.Танами заявил, что такие значительные изменения курса национальной валюты является нежелательным и впредь правительство страны примет меры для того, чтобы не допустить повторения подобной ситуации в будущем. По мнению непосредственных участников рынка столь резкое движение курса данной валюты вызвано, в первую очередь, нежеланием японских инвесторов (во многом благодаря некоторому улучшению макроэкономической обстановки в самой Японии) вкладывать средства в активы зарубежных, и в первую очередь американских инвестиционных фондов. </w:t>
      </w:r>
    </w:p>
    <w:p w:rsidR="0085160C" w:rsidRDefault="0085160C">
      <w:pPr>
        <w:jc w:val="both"/>
        <w:rPr>
          <w:rFonts w:ascii="Arial" w:hAnsi="Arial"/>
          <w:sz w:val="24"/>
        </w:rPr>
      </w:pPr>
    </w:p>
    <w:p w:rsidR="0085160C" w:rsidRDefault="0085160C">
      <w:pPr>
        <w:jc w:val="both"/>
        <w:rPr>
          <w:rFonts w:ascii="Arial" w:hAnsi="Arial"/>
          <w:sz w:val="24"/>
        </w:rPr>
      </w:pPr>
      <w:r>
        <w:rPr>
          <w:rFonts w:ascii="Arial" w:hAnsi="Arial"/>
          <w:sz w:val="24"/>
        </w:rPr>
        <w:t xml:space="preserve">Появление евро стало одним из важнейших событий в мировой экономике в конце века. Переход к единой валютной политике и замена национальных денежных знаков на единую европейскую валюту преследуют экономические, социальные и политические цели. Логическим продолжением деятельности ЭВС станет превращение территории ЕС в единое экономическое пространство, в границах которого страны-участницы будут иметь одинако вые для всех условия деятельности. </w:t>
      </w:r>
    </w:p>
    <w:p w:rsidR="0085160C" w:rsidRDefault="0085160C">
      <w:pPr>
        <w:jc w:val="both"/>
        <w:rPr>
          <w:rFonts w:ascii="Arial" w:hAnsi="Arial"/>
          <w:sz w:val="24"/>
        </w:rPr>
      </w:pPr>
      <w:r>
        <w:rPr>
          <w:rFonts w:ascii="Arial" w:hAnsi="Arial"/>
          <w:sz w:val="24"/>
        </w:rPr>
        <w:t xml:space="preserve">Не имея стабильной общей валюты страны Европейского союза вряд ли смогут проводить единую экономическую политику, что является необходимым условием перехода на новый уровень политической интеграции. Неустойчивость курсов западноевропейских валют приводит к тому, что центральные европейские банки вынуждены расходовать часть своих валютных запасов или средства из совместных фондов. Кроме того, при совершении валютных операций банки вынуждены страховаться от валютных потерь и, как следствие, увеличивать свои тарифы и процентные ставки. </w:t>
      </w:r>
    </w:p>
    <w:p w:rsidR="0085160C" w:rsidRDefault="0085160C">
      <w:pPr>
        <w:jc w:val="both"/>
        <w:rPr>
          <w:rFonts w:ascii="Arial" w:hAnsi="Arial"/>
          <w:sz w:val="24"/>
        </w:rPr>
      </w:pPr>
      <w:r>
        <w:rPr>
          <w:rFonts w:ascii="Arial" w:hAnsi="Arial"/>
          <w:sz w:val="24"/>
        </w:rPr>
        <w:t xml:space="preserve">В случае замены национальной валюты на евро необходимость в этом исчезнет, и это позволит добиться определенного снижения себестоимости продукции в реальном секторе экономики. Стабильные и невысокие процентные ставки - не только способ подавления инфляции, но и важнейшее условие подъема экономики страны. </w:t>
      </w:r>
    </w:p>
    <w:p w:rsidR="0085160C" w:rsidRDefault="0085160C">
      <w:pPr>
        <w:jc w:val="both"/>
        <w:rPr>
          <w:rFonts w:ascii="Arial" w:hAnsi="Arial"/>
          <w:sz w:val="24"/>
        </w:rPr>
      </w:pPr>
      <w:r>
        <w:rPr>
          <w:rFonts w:ascii="Arial" w:hAnsi="Arial"/>
          <w:sz w:val="24"/>
        </w:rPr>
        <w:t xml:space="preserve">На протяжении 90-х годов из-за колебания курсов национальных валют страны ЕС ежегодно недосчитывали 0,5% объема прироста ВВП и теряли тысячи рабочих мест. Подобная ситуация не может способствовать решению проблемы безработицы, которая в целом по ЕС достигает 11%, в то время как в США и Японии - 5,5% и 3,5% соответственно. Фиксирование курсов национальных валют в евро позволит инвесторам не учитывать валютные риски при оценке эффективности проектов. Это приведет к увеличению количества рентабельных проектов и, следовательно, к снижению безработицы. В Германии, например, она может сократиться с 9% до 8%, что эквивалентно появлению 400 тыс. новых рабочих мест. </w:t>
      </w:r>
    </w:p>
    <w:p w:rsidR="0085160C" w:rsidRDefault="0085160C">
      <w:pPr>
        <w:jc w:val="both"/>
        <w:rPr>
          <w:rFonts w:ascii="Arial" w:hAnsi="Arial"/>
          <w:sz w:val="24"/>
        </w:rPr>
      </w:pPr>
      <w:r>
        <w:rPr>
          <w:rFonts w:ascii="Arial" w:hAnsi="Arial"/>
          <w:sz w:val="24"/>
        </w:rPr>
        <w:t xml:space="preserve">Если учесть, что немецкая марка - наиболее устойчивая денежная единица среди европейских валют, то вполне логично предположить, что в странах с менее устойчивыми валютами эффект от введения евро будет еще более значительным. От того, насколько успешно страны Европейского союза смогут обеспечить необходимые темпы экономического роста, во многом будет зависеть, процесс интеграции европейских государств. </w:t>
      </w:r>
    </w:p>
    <w:p w:rsidR="0085160C" w:rsidRDefault="0085160C">
      <w:pPr>
        <w:jc w:val="both"/>
        <w:rPr>
          <w:rFonts w:ascii="Arial" w:hAnsi="Arial"/>
          <w:sz w:val="24"/>
        </w:rPr>
      </w:pPr>
      <w:r>
        <w:rPr>
          <w:rFonts w:ascii="Arial" w:hAnsi="Arial"/>
          <w:sz w:val="24"/>
        </w:rPr>
        <w:t xml:space="preserve">Прогнозируемый лидерами ЕС экономический подъем будет способствовать повышению конкурентоспособности европейской продукции на мировом рынке. Решение этой проблемы позволит странам Западной Европы упрочить свои позиции на международном рынке разделения труда и строить свои отношения с США, Японией и странами Юго-Восточной Азии на качественно иной основе. Появление евро позволит в значительной степени экономить на издержках обращения национальных валют, так как существование различных валют ежегодно обходится предприятиям европейских стран в 20-25 млрд.. ЭКЮ, включая расходы, связанные с ведением бухгалтерского учета операций с валютами стран ЕС, страхованием валютных рисков, обменными операциями, составлением прейскурантов в различных валютах и т.д. </w:t>
      </w:r>
    </w:p>
    <w:p w:rsidR="0085160C" w:rsidRDefault="0085160C">
      <w:pPr>
        <w:jc w:val="both"/>
        <w:rPr>
          <w:rFonts w:ascii="Arial" w:hAnsi="Arial"/>
          <w:sz w:val="24"/>
        </w:rPr>
      </w:pPr>
      <w:r>
        <w:rPr>
          <w:rFonts w:ascii="Arial" w:hAnsi="Arial"/>
          <w:sz w:val="24"/>
        </w:rPr>
        <w:t xml:space="preserve">Начало поэтапного ввода в действие евро облегчило наглядное сравнение цен в странах –участницах валютного союза ЕС.  Экспресс-исследование, проведенное организацией потребителей Европейского союза </w:t>
      </w:r>
      <w:r>
        <w:rPr>
          <w:rFonts w:ascii="Arial" w:hAnsi="Arial"/>
          <w:sz w:val="24"/>
          <w:lang w:val="en-US"/>
        </w:rPr>
        <w:t>(BEUC)</w:t>
      </w:r>
      <w:r>
        <w:rPr>
          <w:rFonts w:ascii="Arial" w:hAnsi="Arial"/>
          <w:sz w:val="24"/>
        </w:rPr>
        <w:t xml:space="preserve">, показало, что цены разнятся очень и очень сильно. Исследование носит выборочный характер: сравнивались цены двух ходовых товаров – полуторалитровой бутылки «Кока-Кола» и гамбургера «Биг Мак». Выяснилось, что разрыв в ценах по лимонадам достигает 2,5 раза, а по гамбургерам 1,6 раза. Для любителей питаться «Биг Маками», запивая их «Кока-Колой», самой дорогой страной оказалась Финляндия. Конечно, о разнице цен было известно и прежде. К примеру, уже несколько лет назад была замечена следующая тенденция: пенсионеры  государств Северной Европы предпочитают перебираться в южные страны (Испанию, Грецию или Португалию), где продукты питания дешевле и квартплата ниже. Однако различия в ценах не так бросались в глаза из за того, что стоимость выражалась в национальных валютах. Теперь появился гласный «Общий знаменатель». Цены в евро ныне будут выставляться в магазинах стран – участниц валютного союза, поэтому все стало намного  нагляднее. В этой связи в Финляндии напоминают, что цель будущих этапов стратегии  валютного союза в унифицировании цен. Но в этом плане предстоит проделать колоссальную работу, поскольку уровень цен зависит от массы других факторов: системы налогов, уровня заработной платы, помощи государства производителям многих товаров и т.д. </w:t>
      </w:r>
    </w:p>
    <w:p w:rsidR="0085160C" w:rsidRDefault="0085160C">
      <w:pPr>
        <w:jc w:val="both"/>
        <w:rPr>
          <w:rFonts w:ascii="Arial" w:hAnsi="Arial"/>
          <w:sz w:val="24"/>
        </w:rPr>
      </w:pPr>
      <w:r>
        <w:rPr>
          <w:rFonts w:ascii="Arial" w:hAnsi="Arial"/>
          <w:sz w:val="24"/>
        </w:rPr>
        <w:t>По прогнозам аналитиков, темпы экономического роста в европейских странах зоны евро замедлятся в 1999 году, однако опасности экономического спада не существует. Бывший главный экономист Bundesbank Отмар Иссинг заявил, что зона евро будет действовать "как важный островок стабильности для глобальной экономики" до тех пор, пока увеличение ВВП этого региона составит по крайней мере 2 %. Большинство независимых экономистов полагают, что темпы экономического роста в Германии снизятся до 2,7 % в этом году до 2 % или менее в следующем году. Среди наиболее часто отмечаемых факторов отмечают падение экспорта, уменьшение доверия бизнесменов, в частности, в связи с планируемой реформой системы налогообложения, а также продолжающимся экономическим кризисом в Азии и России. Однако, по  мнению европейского экономиста Ганса Христиана Иверсена "аналитики предсказывают успех евро в среднесрочной и долгосрочной перспективе, в то же время многие компании до сих пор не определили свою стратегию в отношении проведения финансовых операций", так многие из них еще не решили, проводить их в евро, или в национальных валютах.</w:t>
      </w:r>
    </w:p>
    <w:p w:rsidR="0085160C" w:rsidRDefault="0085160C">
      <w:pPr>
        <w:jc w:val="both"/>
        <w:rPr>
          <w:rFonts w:ascii="Arial" w:hAnsi="Arial"/>
          <w:b/>
          <w:sz w:val="24"/>
        </w:rPr>
      </w:pPr>
    </w:p>
    <w:p w:rsidR="0085160C" w:rsidRDefault="0085160C">
      <w:pPr>
        <w:jc w:val="both"/>
        <w:rPr>
          <w:rFonts w:ascii="Arial" w:hAnsi="Arial"/>
          <w:sz w:val="24"/>
        </w:rPr>
      </w:pPr>
      <w:r>
        <w:rPr>
          <w:rFonts w:ascii="Arial" w:hAnsi="Arial"/>
          <w:b/>
          <w:sz w:val="24"/>
        </w:rPr>
        <w:t>Каковы последствия введения единой европейской валюты для России?</w:t>
      </w:r>
      <w:r>
        <w:rPr>
          <w:rFonts w:ascii="Arial" w:hAnsi="Arial"/>
          <w:sz w:val="24"/>
        </w:rPr>
        <w:t xml:space="preserve"> </w:t>
      </w:r>
    </w:p>
    <w:p w:rsidR="0085160C" w:rsidRDefault="0085160C">
      <w:pPr>
        <w:jc w:val="both"/>
        <w:rPr>
          <w:rFonts w:ascii="Arial" w:hAnsi="Arial"/>
          <w:i/>
          <w:sz w:val="24"/>
        </w:rPr>
      </w:pPr>
    </w:p>
    <w:p w:rsidR="0085160C" w:rsidRDefault="0085160C">
      <w:pPr>
        <w:pStyle w:val="a3"/>
        <w:rPr>
          <w:sz w:val="24"/>
        </w:rPr>
      </w:pPr>
      <w:r>
        <w:rPr>
          <w:sz w:val="24"/>
        </w:rPr>
        <w:t>Европейский союз является крупнейшим экономическим партнером России - на него приходится более 1/3 объема внешней торговли нашей страны. Поэтому было бы логично ожидать увеличения денежных потоков, обслуживающих внешнеэкономические операции, в общей для Европы валютной единице. В настоящее время около 80% российских внешнеторговых контрактов заключается в долларах США. В этой связи не стоит рассчитывать на быстрое утверждение евро в системе экономического хозяйства России. Скорее наоборот, евро предстоит упорное противостояние доллару, который имеет прочные позиции в самых разных сегментах рынка.  С точки зрения торговли валютное объединение большинства стран ЕС должно привести к усилению их экономической интеграции и, как следствие, к большим возможностям для партнеров ЕС пользоваться преимуществами, предоставляемыми единым экономическим пространством. При широком использовании евро в торговых операциях со странами ЕС российские экспортеры не будут более нести курсовые риски или сами страховаться от них. Партнерство со странами, имеющими крепкую денежную единицу и перспективы экономического роста, может оказать стабилизирующее влияние на экономику России и способствовать увеличению объемов российского экспорта. С практической точки зрения ожидается, что для российских компаний и для компаний из других стран - партнеров ЕС доступ на рынок должен улучшиться за счет снижения издержек и исчезновения риска по обменным курсам. Помимо того, сам факт дальнейшего экономического объединения Европы должен привести к улучшению экономической конъюнктуры и к дополнительным возможностям для российских предприятий развивать деловые контакты в странах ЕС. Естественно, необходимо, чтобы российские компании готовились к введению евро.</w:t>
      </w:r>
    </w:p>
    <w:p w:rsidR="0085160C" w:rsidRDefault="0085160C">
      <w:pPr>
        <w:jc w:val="both"/>
        <w:rPr>
          <w:rFonts w:ascii="Arial" w:hAnsi="Arial"/>
          <w:sz w:val="24"/>
        </w:rPr>
      </w:pPr>
      <w:r>
        <w:rPr>
          <w:rFonts w:ascii="Arial" w:hAnsi="Arial"/>
          <w:sz w:val="24"/>
        </w:rPr>
        <w:t>С образованием экономического и валютного союза создается второй по величине в мире финансовый рынок. При этом любая эмиссия государственных облигаций стран-участниц будет осуществляться в евро. Поскольку в ближайшие годы будет постепенно возвращаться активность Российской Федерации на международных финансовых рынках, придется осуществлять балансирование между евро, долларом и другими валютами в новых эмиссиях долговых обязательств.</w:t>
      </w:r>
    </w:p>
    <w:p w:rsidR="0085160C" w:rsidRDefault="0085160C">
      <w:pPr>
        <w:pStyle w:val="a3"/>
        <w:rPr>
          <w:sz w:val="24"/>
        </w:rPr>
      </w:pPr>
      <w:r>
        <w:rPr>
          <w:sz w:val="24"/>
        </w:rPr>
        <w:t>Дальнейший рост привлекательности евро в качестве инвестиционного актива будет зависеть от емкости и ликвидности нового рынка евро в сочетании с проведением Европейским центральным банком денежно-кредитной и фискальной политики, ориентированной на поддержание стабильности. Задачей для системы коммерческих банков России станет принятие решений, связанных с относительной привлекательностью евро как инвестиционной валюты, а для населения - решений, связанных с выбором предпочтительной валюты, в которой оно будет держать свои сбережения. В России процессы, связанные с введением евро, будут происходить медленнее, чем в рамках ЕС. При этом сыграет свою роль и традиционная для России, ее коммерческих структур и населения приверженность к доллару.</w:t>
      </w:r>
    </w:p>
    <w:p w:rsidR="0085160C" w:rsidRDefault="0085160C">
      <w:pPr>
        <w:jc w:val="both"/>
        <w:rPr>
          <w:rFonts w:ascii="Arial" w:hAnsi="Arial"/>
          <w:sz w:val="24"/>
        </w:rPr>
      </w:pPr>
      <w:r>
        <w:rPr>
          <w:rFonts w:ascii="Arial" w:hAnsi="Arial"/>
          <w:sz w:val="24"/>
        </w:rPr>
        <w:t>Евро получит развитие и в качестве резервной валюты. Диверсификация резервов в иностранных валютах и переход на евро будут связаны с растущим использованием его как инструмента интервенции на рынках иностранных валют и расчетной валюты в мировой торговле. В основном это будет зависеть от присущих евро характеристик и его использования в международных финансовых операциях.</w:t>
      </w:r>
    </w:p>
    <w:p w:rsidR="0085160C" w:rsidRDefault="0085160C">
      <w:pPr>
        <w:jc w:val="both"/>
        <w:rPr>
          <w:rFonts w:ascii="Arial" w:hAnsi="Arial"/>
          <w:sz w:val="24"/>
        </w:rPr>
      </w:pPr>
      <w:r>
        <w:rPr>
          <w:rFonts w:ascii="Arial" w:hAnsi="Arial"/>
          <w:sz w:val="24"/>
        </w:rPr>
        <w:t>Вместе с тем в связи с переходом к евро могут возникнуть вопросы, затрагивающие интересы Российской Федерации и стран - участниц ЕС. Отсутствие во внешнеэкономических операциях России и ЕС правил перехода на новую валюту может осложнить не только положение российских банков и предприятий, но и деятельность европейских компаний и инвесторов на российском рынке. Возможные резкие перепады спроса на евро в России в условиях наличия значительных объемов валютных средств, включая население, могут создать дополнительные сложности для Европейского центрального банка, который обязан поддерживать курс евро и в случае необходимости проводить соответствующие интервенции.</w:t>
      </w:r>
    </w:p>
    <w:p w:rsidR="0085160C" w:rsidRDefault="0085160C">
      <w:pPr>
        <w:jc w:val="both"/>
        <w:rPr>
          <w:rFonts w:ascii="Arial" w:hAnsi="Arial"/>
          <w:sz w:val="24"/>
        </w:rPr>
      </w:pPr>
      <w:r>
        <w:rPr>
          <w:rFonts w:ascii="Arial" w:hAnsi="Arial"/>
          <w:sz w:val="24"/>
        </w:rPr>
        <w:t>Следует отметить важность сотрудничества России и ЕС в решении таких проблем, как пересчет внешнего долга и урегулирование на недискриминационной основе юридических и технических вопросов ведения российскими хозяйствующими субъектами операций с евро. В ближайшее время необходимо провести официальные консультации с Комиссией европейских сообществ и Европейским центральным банком о порядке пересчета государственного внешнего долга, проблематике юридического статуса евро и практических аспектах расчетов в евро на территории России.</w:t>
      </w:r>
    </w:p>
    <w:p w:rsidR="0085160C" w:rsidRDefault="0085160C">
      <w:pPr>
        <w:jc w:val="both"/>
        <w:rPr>
          <w:rFonts w:ascii="Arial" w:hAnsi="Arial"/>
          <w:sz w:val="24"/>
        </w:rPr>
      </w:pPr>
      <w:bookmarkStart w:id="0" w:name="_GoBack"/>
      <w:bookmarkEnd w:id="0"/>
    </w:p>
    <w:sectPr w:rsidR="0085160C">
      <w:footerReference w:type="even" r:id="rId6"/>
      <w:footerReference w:type="default" r:id="rId7"/>
      <w:pgSz w:w="11906" w:h="16838"/>
      <w:pgMar w:top="1077" w:right="1021" w:bottom="1134" w:left="794"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160C" w:rsidRDefault="0085160C">
      <w:r>
        <w:separator/>
      </w:r>
    </w:p>
  </w:endnote>
  <w:endnote w:type="continuationSeparator" w:id="0">
    <w:p w:rsidR="0085160C" w:rsidRDefault="008516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160C" w:rsidRDefault="0085160C">
    <w:pPr>
      <w:pStyle w:val="a4"/>
      <w:framePr w:wrap="around" w:vAnchor="text" w:hAnchor="margin" w:xAlign="right" w:y="1"/>
      <w:rPr>
        <w:rStyle w:val="a5"/>
      </w:rPr>
    </w:pPr>
    <w:r>
      <w:rPr>
        <w:rStyle w:val="a5"/>
        <w:noProof/>
      </w:rPr>
      <w:t>1</w:t>
    </w:r>
  </w:p>
  <w:p w:rsidR="0085160C" w:rsidRDefault="0085160C">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160C" w:rsidRDefault="00243228">
    <w:pPr>
      <w:pStyle w:val="a4"/>
      <w:framePr w:wrap="around" w:vAnchor="text" w:hAnchor="margin" w:xAlign="right" w:y="1"/>
      <w:rPr>
        <w:rStyle w:val="a5"/>
      </w:rPr>
    </w:pPr>
    <w:r>
      <w:rPr>
        <w:rStyle w:val="a5"/>
        <w:noProof/>
      </w:rPr>
      <w:t>1</w:t>
    </w:r>
  </w:p>
  <w:p w:rsidR="0085160C" w:rsidRDefault="0085160C">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160C" w:rsidRDefault="0085160C">
      <w:r>
        <w:separator/>
      </w:r>
    </w:p>
  </w:footnote>
  <w:footnote w:type="continuationSeparator" w:id="0">
    <w:p w:rsidR="0085160C" w:rsidRDefault="008516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43228"/>
    <w:rsid w:val="00243228"/>
    <w:rsid w:val="00781613"/>
    <w:rsid w:val="0085160C"/>
    <w:rsid w:val="00B53F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0045E65-8843-41FE-9794-D8AA0B2B4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initionList">
    <w:name w:val="Definition List"/>
    <w:basedOn w:val="a"/>
    <w:next w:val="a"/>
    <w:pPr>
      <w:ind w:left="360"/>
    </w:pPr>
    <w:rPr>
      <w:snapToGrid w:val="0"/>
      <w:sz w:val="24"/>
    </w:rPr>
  </w:style>
  <w:style w:type="paragraph" w:customStyle="1" w:styleId="Preformatted">
    <w:name w:val="Preformatted"/>
    <w:basedOn w:val="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rPr>
  </w:style>
  <w:style w:type="paragraph" w:styleId="a3">
    <w:name w:val="Body Text"/>
    <w:basedOn w:val="a"/>
    <w:semiHidden/>
    <w:pPr>
      <w:jc w:val="both"/>
    </w:pPr>
    <w:rPr>
      <w:rFonts w:ascii="Arial" w:hAnsi="Arial"/>
    </w:rPr>
  </w:style>
  <w:style w:type="paragraph" w:styleId="2">
    <w:name w:val="Body Text 2"/>
    <w:basedOn w:val="a"/>
    <w:semiHidden/>
    <w:pPr>
      <w:jc w:val="both"/>
    </w:pPr>
    <w:rPr>
      <w:rFonts w:ascii="Arial" w:hAnsi="Arial"/>
      <w:color w:val="000000"/>
    </w:rPr>
  </w:style>
  <w:style w:type="paragraph" w:styleId="3">
    <w:name w:val="Body Text 3"/>
    <w:basedOn w:val="a"/>
    <w:semiHidden/>
    <w:pPr>
      <w:jc w:val="both"/>
    </w:pPr>
    <w:rPr>
      <w:rFonts w:ascii="Arial" w:hAnsi="Arial"/>
      <w:sz w:val="28"/>
    </w:rPr>
  </w:style>
  <w:style w:type="paragraph" w:styleId="a4">
    <w:name w:val="footer"/>
    <w:basedOn w:val="a"/>
    <w:semiHidden/>
    <w:pPr>
      <w:tabs>
        <w:tab w:val="center" w:pos="4153"/>
        <w:tab w:val="right" w:pos="8306"/>
      </w:tabs>
    </w:pPr>
  </w:style>
  <w:style w:type="character" w:styleId="a5">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2996</Words>
  <Characters>17078</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В преддверии ввода в обращение единой европейской валюты - евро редакция журнала "Внешняя торговля" обратилась к специалистам ряда официальных и коммерческих организаций с просьбой высказать свою точку зрения о том, как это событие затронет интересы наше</vt:lpstr>
    </vt:vector>
  </TitlesOfParts>
  <Company>КредитРеформа</Company>
  <LinksUpToDate>false</LinksUpToDate>
  <CharactersWithSpaces>20034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 преддверии ввода в обращение единой европейской валюты - евро редакция журнала "Внешняя торговля" обратилась к специалистам ряда официальных и коммерческих организаций с просьбой высказать свою точку зрения о том, как это событие затронет интересы наше</dc:title>
  <dc:subject/>
  <dc:creator>Иванов</dc:creator>
  <cp:keywords/>
  <cp:lastModifiedBy>Irina</cp:lastModifiedBy>
  <cp:revision>2</cp:revision>
  <cp:lastPrinted>1999-01-21T11:14:00Z</cp:lastPrinted>
  <dcterms:created xsi:type="dcterms:W3CDTF">2014-08-03T15:32:00Z</dcterms:created>
  <dcterms:modified xsi:type="dcterms:W3CDTF">2014-08-03T15:32:00Z</dcterms:modified>
</cp:coreProperties>
</file>