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9A4" w:rsidRPr="006C1EF0" w:rsidRDefault="005879A4" w:rsidP="00446EE5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6C1EF0">
        <w:rPr>
          <w:b/>
          <w:color w:val="000000"/>
          <w:sz w:val="28"/>
        </w:rPr>
        <w:t>Единая тарифная сетка: перспективы применения</w:t>
      </w:r>
    </w:p>
    <w:p w:rsidR="005879A4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</w:p>
    <w:p w:rsidR="005879A4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 xml:space="preserve">Пять лет прошло с момента введения системы оплаты, труда работников бюджетной сферы на основе Единой тарифной сетки. Практика показывает, что эта мера себя вполне оправдала. </w:t>
      </w:r>
      <w:r w:rsidRPr="006C1EF0">
        <w:rPr>
          <w:color w:val="000000"/>
          <w:sz w:val="28"/>
          <w:lang w:val="en-US"/>
        </w:rPr>
        <w:t>ETC</w:t>
      </w:r>
      <w:r w:rsidRPr="006C1EF0">
        <w:rPr>
          <w:color w:val="000000"/>
          <w:sz w:val="28"/>
        </w:rPr>
        <w:t xml:space="preserve"> позволяет решать проблемы обоснованной дифференциации ставок и окладов, создает предпосылки, к повышению квалификации и трудовой отдачи работников. Вместе с тем, нынешние социально-экономические условия, требуют уточнения ряда концептуальных подходов. Это обусловлено необходимостью включения вопроса об условиях оплаты, труда в процесс договорного регулирования социально-трудовых отношений на четырех уровнях: государственном (федеральном), отраслевом, региональном (регионально-отраслевом) и колдоговорном, как это имеет место во внебюджетной сфере.</w:t>
      </w:r>
    </w:p>
    <w:p w:rsidR="005879A4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Один из возможных вариантов обеспечения большего соответствия механизма оплаты по тарифу сложности выполняемых работ, более гибкого учета</w:t>
      </w:r>
      <w:r w:rsidR="000265D6" w:rsidRPr="006C1EF0">
        <w:rPr>
          <w:noProof/>
          <w:color w:val="000000"/>
          <w:sz w:val="28"/>
        </w:rPr>
        <w:t xml:space="preserve"> в</w:t>
      </w:r>
      <w:r w:rsidRPr="006C1EF0">
        <w:rPr>
          <w:color w:val="000000"/>
          <w:sz w:val="28"/>
        </w:rPr>
        <w:t xml:space="preserve"> оплате труда деловых и профессиональных качеств работников рассмотрим на примере науки и научного обслуживания.</w:t>
      </w:r>
    </w:p>
    <w:p w:rsidR="005879A4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</w:p>
    <w:p w:rsidR="005879A4" w:rsidRPr="006C1EF0" w:rsidRDefault="005879A4" w:rsidP="00446EE5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6C1EF0">
        <w:rPr>
          <w:b/>
          <w:color w:val="000000"/>
          <w:sz w:val="28"/>
        </w:rPr>
        <w:t>Условия оплаты как предмет коллективных переговоров</w:t>
      </w:r>
    </w:p>
    <w:p w:rsidR="005879A4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</w:p>
    <w:p w:rsidR="005879A4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 xml:space="preserve">Включение вопросов организации оплаты труда в бюджетной сфере в договорный процесс на федеральном уровне предполагает утверждение параметров </w:t>
      </w:r>
      <w:r w:rsidRPr="006C1EF0">
        <w:rPr>
          <w:color w:val="000000"/>
          <w:sz w:val="28"/>
          <w:lang w:val="en-US"/>
        </w:rPr>
        <w:t>ETC</w:t>
      </w:r>
      <w:r w:rsidRPr="006C1EF0">
        <w:rPr>
          <w:color w:val="000000"/>
          <w:sz w:val="28"/>
        </w:rPr>
        <w:t>, обязательных для применения учреждениями, организациями и предприятиями, финансируемыми из бюджетных источников. Это</w:t>
      </w:r>
      <w:r w:rsidRPr="006C1EF0">
        <w:rPr>
          <w:noProof/>
          <w:color w:val="000000"/>
          <w:sz w:val="28"/>
        </w:rPr>
        <w:t xml:space="preserve"> -</w:t>
      </w:r>
      <w:r w:rsidRPr="006C1EF0">
        <w:rPr>
          <w:color w:val="000000"/>
          <w:sz w:val="28"/>
        </w:rPr>
        <w:t xml:space="preserve"> число разрядов оплаты, межразрядные</w:t>
      </w:r>
      <w:r w:rsidR="00446EE5" w:rsidRPr="006C1EF0">
        <w:rPr>
          <w:color w:val="000000"/>
          <w:sz w:val="28"/>
        </w:rPr>
        <w:t xml:space="preserve"> </w:t>
      </w:r>
      <w:r w:rsidRPr="006C1EF0">
        <w:rPr>
          <w:color w:val="000000"/>
          <w:sz w:val="28"/>
        </w:rPr>
        <w:t>соотношения с</w:t>
      </w:r>
      <w:r w:rsidR="000265D6" w:rsidRPr="006C1EF0">
        <w:rPr>
          <w:color w:val="000000"/>
          <w:sz w:val="28"/>
        </w:rPr>
        <w:t>тавок оплаты и диапазон сетки. В</w:t>
      </w:r>
      <w:r w:rsidRPr="006C1EF0">
        <w:rPr>
          <w:color w:val="000000"/>
          <w:sz w:val="28"/>
        </w:rPr>
        <w:t xml:space="preserve"> отличие от названных параметров </w:t>
      </w:r>
      <w:r w:rsidRPr="006C1EF0">
        <w:rPr>
          <w:color w:val="000000"/>
          <w:sz w:val="28"/>
          <w:lang w:val="en-US"/>
        </w:rPr>
        <w:t>ETC</w:t>
      </w:r>
      <w:r w:rsidRPr="006C1EF0">
        <w:rPr>
          <w:color w:val="000000"/>
          <w:sz w:val="28"/>
        </w:rPr>
        <w:t xml:space="preserve">, единых для работников всех отраслей бюджетной сферы и территорий Российской Федерации, исходная ставка оплаты труда по </w:t>
      </w:r>
      <w:r w:rsidRPr="006C1EF0">
        <w:rPr>
          <w:color w:val="000000"/>
          <w:sz w:val="28"/>
          <w:lang w:val="en-US"/>
        </w:rPr>
        <w:t>ETC</w:t>
      </w:r>
      <w:r w:rsidRPr="006C1EF0">
        <w:rPr>
          <w:color w:val="000000"/>
          <w:sz w:val="28"/>
        </w:rPr>
        <w:t xml:space="preserve"> (ставка 1-го разряда) должна учитывать различия в издержках воспроизводства работников сравнимого уровня квалификации по регионам РФ и, следовательно, не может быть одинаковой по размеру. Это позволяет говорить о системе ставок 1-го разряда.</w:t>
      </w:r>
    </w:p>
    <w:p w:rsidR="005879A4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Поскольку издержки, связанные с воспроизводством работников, формируются под воздействием специфических региональных факторов и различаются по территориям страны, договорный процесс регулирования условий оплаты предполагает переход от единого общероссийского к региональным минимальным размерам заработной платы взамен ныне действующей системы районного регулирования с применением повышающих районных коэффициентов к заработной плате.</w:t>
      </w:r>
    </w:p>
    <w:p w:rsidR="005879A4" w:rsidRPr="006C1EF0" w:rsidRDefault="00446EE5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В</w:t>
      </w:r>
      <w:r w:rsidR="005879A4" w:rsidRPr="006C1EF0">
        <w:rPr>
          <w:color w:val="000000"/>
          <w:sz w:val="28"/>
        </w:rPr>
        <w:t xml:space="preserve"> соответствии с федеративным устройством нашего государства систему региональных минимумов оплаты возможно</w:t>
      </w:r>
      <w:r w:rsidRPr="006C1EF0">
        <w:rPr>
          <w:color w:val="000000"/>
          <w:sz w:val="28"/>
        </w:rPr>
        <w:t xml:space="preserve"> </w:t>
      </w:r>
      <w:r w:rsidR="005879A4" w:rsidRPr="006C1EF0">
        <w:rPr>
          <w:color w:val="000000"/>
          <w:sz w:val="28"/>
        </w:rPr>
        <w:t>строить с учетом административно-территориального деления страны, специфики природно-климатических условий проживания на территориях субъектов РФ, увеличивающей издержки, связанные с воспроизводством рабочей силы, по отношению к регионам с благоприятными условиями. Можно установить как один, так и несколько минимальных размеров оплаты труда на территории субъекта Федерации на основе стоимости региональных минимальных потребительских бюджетов, которые рассчитываются по единой методике, разработанной и утвержденной на федеральном уровне.</w:t>
      </w:r>
    </w:p>
    <w:p w:rsidR="005879A4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 xml:space="preserve">Дифференциация региональных минимумов оплаты предопределяет и дифференциацию размеров ставок 1-го разряда </w:t>
      </w:r>
      <w:r w:rsidRPr="006C1EF0">
        <w:rPr>
          <w:color w:val="000000"/>
          <w:sz w:val="28"/>
          <w:lang w:val="en-US"/>
        </w:rPr>
        <w:t>ETC</w:t>
      </w:r>
      <w:r w:rsidRPr="006C1EF0">
        <w:rPr>
          <w:color w:val="000000"/>
          <w:sz w:val="28"/>
        </w:rPr>
        <w:t>, которые целесообразно устанавливать по субъектам Федерации: единые или дробные. Региональные ставки 1-го разряда могут быть приравнены к региональным минимумам или несколько превышать их, чтобы в какой-то степени противодействовать сложившейся тенденции опережения по уровням оплаты работников предпринимательского сектора по сравнению с бюджетным.</w:t>
      </w:r>
    </w:p>
    <w:p w:rsidR="00CF5229" w:rsidRPr="006C1EF0" w:rsidRDefault="00CF5229" w:rsidP="00446EE5">
      <w:pPr>
        <w:spacing w:line="360" w:lineRule="auto"/>
        <w:ind w:firstLine="709"/>
        <w:jc w:val="both"/>
        <w:rPr>
          <w:color w:val="FFFFFF"/>
          <w:sz w:val="28"/>
        </w:rPr>
      </w:pPr>
      <w:r w:rsidRPr="006C1EF0">
        <w:rPr>
          <w:color w:val="FFFFFF"/>
          <w:sz w:val="28"/>
        </w:rPr>
        <w:t>оплата труд наука</w:t>
      </w:r>
    </w:p>
    <w:p w:rsidR="005879A4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 xml:space="preserve">Представляется возможным расширение (насколько это позволят средства местных бюджетов) круга регионов (субъектов Федерации), применяющих ставку 1-го разряда </w:t>
      </w:r>
      <w:r w:rsidRPr="006C1EF0">
        <w:rPr>
          <w:color w:val="000000"/>
          <w:sz w:val="28"/>
          <w:lang w:val="en-US"/>
        </w:rPr>
        <w:t>ETC</w:t>
      </w:r>
      <w:r w:rsidRPr="006C1EF0">
        <w:rPr>
          <w:color w:val="000000"/>
          <w:sz w:val="28"/>
        </w:rPr>
        <w:t xml:space="preserve">, увеличенную по сравнению с общероссийской и исчисляемую в процентах к размеру регионального прожиточного минимума. Однако такое увеличение не должно сопровождаться пересмотром </w:t>
      </w:r>
      <w:r w:rsidR="00446EE5" w:rsidRPr="006C1EF0">
        <w:rPr>
          <w:color w:val="000000"/>
          <w:sz w:val="28"/>
        </w:rPr>
        <w:t>парамет</w:t>
      </w:r>
      <w:r w:rsidRPr="006C1EF0">
        <w:rPr>
          <w:color w:val="000000"/>
          <w:sz w:val="28"/>
        </w:rPr>
        <w:t xml:space="preserve">ров 18-разрядной </w:t>
      </w:r>
      <w:r w:rsidRPr="006C1EF0">
        <w:rPr>
          <w:color w:val="000000"/>
          <w:sz w:val="28"/>
          <w:lang w:val="en-US"/>
        </w:rPr>
        <w:t>ETC</w:t>
      </w:r>
      <w:r w:rsidRPr="006C1EF0">
        <w:rPr>
          <w:color w:val="000000"/>
          <w:sz w:val="28"/>
        </w:rPr>
        <w:t>, поскольку это</w:t>
      </w:r>
      <w:r w:rsidRPr="006C1EF0">
        <w:rPr>
          <w:noProof/>
          <w:color w:val="000000"/>
          <w:sz w:val="28"/>
        </w:rPr>
        <w:t xml:space="preserve"> -</w:t>
      </w:r>
      <w:r w:rsidRPr="006C1EF0">
        <w:rPr>
          <w:color w:val="000000"/>
          <w:sz w:val="28"/>
        </w:rPr>
        <w:t xml:space="preserve"> компетенция федерального уровня.</w:t>
      </w:r>
    </w:p>
    <w:p w:rsidR="005879A4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Сближение ставок оплаты с прожиточным минимумом (как на федеральном, так и региональном уровнях), приемлемое с точки зрения бюджетных возможностей, может быть также достигнуто путем установления равных надбавок к ставкам оплаты практически всех разрядов (как вариант</w:t>
      </w:r>
      <w:r w:rsidRPr="006C1EF0">
        <w:rPr>
          <w:noProof/>
          <w:color w:val="000000"/>
          <w:sz w:val="28"/>
        </w:rPr>
        <w:t xml:space="preserve"> -</w:t>
      </w:r>
      <w:r w:rsidRPr="006C1EF0">
        <w:rPr>
          <w:color w:val="000000"/>
          <w:sz w:val="28"/>
        </w:rPr>
        <w:t xml:space="preserve"> до</w:t>
      </w:r>
      <w:r w:rsidRPr="006C1EF0">
        <w:rPr>
          <w:noProof/>
          <w:color w:val="000000"/>
          <w:sz w:val="28"/>
        </w:rPr>
        <w:t xml:space="preserve"> 1</w:t>
      </w:r>
      <w:r w:rsidRPr="006C1EF0">
        <w:rPr>
          <w:color w:val="000000"/>
          <w:sz w:val="28"/>
        </w:rPr>
        <w:t xml:space="preserve">6-го разряда включительно). Это возможно при условии, что надбавки не формируют новый уровень ставок, не ведут к деформации принятых в </w:t>
      </w:r>
      <w:r w:rsidRPr="006C1EF0">
        <w:rPr>
          <w:color w:val="000000"/>
          <w:sz w:val="28"/>
          <w:lang w:val="en-US"/>
        </w:rPr>
        <w:t>ETC</w:t>
      </w:r>
      <w:r w:rsidRPr="006C1EF0">
        <w:rPr>
          <w:color w:val="000000"/>
          <w:sz w:val="28"/>
        </w:rPr>
        <w:t xml:space="preserve"> межразрядных соотношении в ставках оплаты по сложности труда и квалификации работников. Такой вариант установления надбавок апробирован в Татарстане и получил положительную оценку специалистов органов по труду других субъектов РФ.</w:t>
      </w:r>
    </w:p>
    <w:p w:rsidR="005879A4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Размер абсолютных надбавок, о которых идет речь, может определяться расчетным путем, а применение этого способа сближения ставок оплаты с размерами прожиточного минимума</w:t>
      </w:r>
      <w:r w:rsidRPr="006C1EF0">
        <w:rPr>
          <w:noProof/>
          <w:color w:val="000000"/>
          <w:sz w:val="28"/>
        </w:rPr>
        <w:t xml:space="preserve"> -</w:t>
      </w:r>
      <w:r w:rsidRPr="006C1EF0">
        <w:rPr>
          <w:color w:val="000000"/>
          <w:sz w:val="28"/>
        </w:rPr>
        <w:t xml:space="preserve"> регулироваться как на федеральном, так и региональном уровнях применительно к работникам всех отраслей бюджетной сферы.</w:t>
      </w:r>
    </w:p>
    <w:p w:rsidR="005879A4" w:rsidRPr="006C1EF0" w:rsidRDefault="005879A4" w:rsidP="00446EE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C1EF0">
        <w:rPr>
          <w:color w:val="000000"/>
          <w:sz w:val="28"/>
        </w:rPr>
        <w:t xml:space="preserve">Предлагаемый подход отрицает необходимость отраслевой (в рамках бюджетной сферы) дифференциации ставок оплаты 1-го разряда </w:t>
      </w:r>
      <w:r w:rsidRPr="006C1EF0">
        <w:rPr>
          <w:color w:val="000000"/>
          <w:sz w:val="28"/>
          <w:lang w:val="en-US"/>
        </w:rPr>
        <w:t>ETC</w:t>
      </w:r>
      <w:r w:rsidRPr="006C1EF0">
        <w:rPr>
          <w:color w:val="000000"/>
          <w:sz w:val="28"/>
        </w:rPr>
        <w:t>, поскольку отрасли бюджетной сферы, с точки зрения общественных приоритетов, признаны равнозначными. Вместе с тем, необходимо учитывать специфические отраслевые факторы, оказывающие влияние на уровни сложности труда и требования к квалификации работников сугубо отраслевого профиля, главным образом специалистов и руководителей организаций, учреждений и их структурных подразделений. Применительно к науке и</w:t>
      </w:r>
      <w:r w:rsidR="00446EE5" w:rsidRPr="006C1EF0">
        <w:rPr>
          <w:color w:val="000000"/>
          <w:sz w:val="28"/>
        </w:rPr>
        <w:t xml:space="preserve"> </w:t>
      </w:r>
      <w:r w:rsidRPr="006C1EF0">
        <w:rPr>
          <w:color w:val="000000"/>
          <w:sz w:val="28"/>
        </w:rPr>
        <w:t>научному обслуживанию</w:t>
      </w:r>
      <w:r w:rsidRPr="006C1EF0">
        <w:rPr>
          <w:noProof/>
          <w:color w:val="000000"/>
          <w:sz w:val="28"/>
        </w:rPr>
        <w:t xml:space="preserve"> -</w:t>
      </w:r>
      <w:r w:rsidRPr="006C1EF0">
        <w:rPr>
          <w:color w:val="000000"/>
          <w:sz w:val="28"/>
        </w:rPr>
        <w:t xml:space="preserve"> это, например, творческий характер труда ученых и связанная с ним напряженность умственной деятельности, повышенная ответственность на стадии экспериментальных испытаний и</w:t>
      </w:r>
      <w:r w:rsidRPr="006C1EF0">
        <w:rPr>
          <w:noProof/>
          <w:color w:val="000000"/>
          <w:sz w:val="28"/>
        </w:rPr>
        <w:t xml:space="preserve"> т.д.</w:t>
      </w:r>
    </w:p>
    <w:p w:rsidR="005879A4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 xml:space="preserve">Специфические отраслевые факторы при разработке параметров </w:t>
      </w:r>
      <w:r w:rsidRPr="006C1EF0">
        <w:rPr>
          <w:color w:val="000000"/>
          <w:sz w:val="28"/>
          <w:lang w:val="en-US"/>
        </w:rPr>
        <w:t>ETC</w:t>
      </w:r>
      <w:r w:rsidRPr="006C1EF0">
        <w:rPr>
          <w:color w:val="000000"/>
          <w:sz w:val="28"/>
        </w:rPr>
        <w:t xml:space="preserve"> можно учесть на отраслевом уровне договорного регулирования, который предполагает применение надбавок (доплат, повышающих коэффициентов) к ставкам оплаты работников соответствующих профессий и должностей, рассчитанным по разрядам </w:t>
      </w:r>
      <w:r w:rsidRPr="006C1EF0">
        <w:rPr>
          <w:color w:val="000000"/>
          <w:sz w:val="28"/>
          <w:lang w:val="en-US"/>
        </w:rPr>
        <w:t>ETC</w:t>
      </w:r>
      <w:r w:rsidRPr="006C1EF0">
        <w:rPr>
          <w:color w:val="000000"/>
          <w:sz w:val="28"/>
        </w:rPr>
        <w:t>, исходя из регионального размера ставки 1-го разряда. Названные надбавки не должны носить персонифицированный характер, так как они устанавливаются не для конкретных работников, а сообразно специфике отраслевых профессий и должностей. Такое приращение ставок, определяемое в ходе заключения отраслевых тарифных соглашений, формирует в отрасли систему ставок оплаты, применяемую на всей территории РФ.</w:t>
      </w:r>
    </w:p>
    <w:p w:rsidR="005879A4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 xml:space="preserve">Представляется, что реализация предлагаемого подхода к учету отраслевой специфики позволит в дальнейшем отказаться от применения недостаточно обоснованных выплат (например, доплат за ученые степени в науке и высшей школе, носящих в настоящее время уравнительный характер, тогда как наличие степени должно быть только условием занятия той или иной должности, где требуются специалисты высшей квалификации), а высвободившиеся средства направить на внутриотраслевую дифференциацию ставок оплаты и материальное стимулирование с учетом результатов труда, деловых качеств работников, в первую очередь тех, кто имеет ученые степени, почетные звания и </w:t>
      </w:r>
      <w:r w:rsidRPr="006C1EF0">
        <w:rPr>
          <w:noProof/>
          <w:color w:val="000000"/>
          <w:sz w:val="28"/>
        </w:rPr>
        <w:t xml:space="preserve">т.п. </w:t>
      </w:r>
      <w:r w:rsidRPr="006C1EF0">
        <w:rPr>
          <w:color w:val="000000"/>
          <w:sz w:val="28"/>
        </w:rPr>
        <w:t xml:space="preserve">условия оплаты труда представителей общеотраслевых профессий и должностей бюджетной сферы должны быть едиными для всех отраслей и базироваться на региональных ставках 1-го разряда </w:t>
      </w:r>
      <w:r w:rsidRPr="006C1EF0">
        <w:rPr>
          <w:color w:val="000000"/>
          <w:sz w:val="28"/>
          <w:lang w:val="en-US"/>
        </w:rPr>
        <w:t>ETC</w:t>
      </w:r>
      <w:r w:rsidRPr="006C1EF0">
        <w:rPr>
          <w:color w:val="000000"/>
          <w:sz w:val="28"/>
        </w:rPr>
        <w:t>. Однако применительно к этим работникам допустимы корректировки в сторону повышения оплаты с учетом состояния баланса кадров в регионе и сложившихся соотношений в оплате труда работников одноименных профессий и должностей, занятых как в бюджетной, так и хозрасчетной сферах экономики конкретных территорий. Региональная корректировка условий оплаты работников общеотраслевых профессий и должностей также не должна носить персонифицированного характера.</w:t>
      </w:r>
    </w:p>
    <w:p w:rsidR="005879A4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 xml:space="preserve">Согласно предлагаемым подходам учет через дифференциацию оплаты личностных качеств и индивидуальных результатов труда конкретных работников осуществляется непосредственно в организациях и на предприятиях, порядок его фиксируется в коллективных, договорах. На этом же уровне по итогам аттестации присваиваются персональные разряды оплаты в соответствии с </w:t>
      </w:r>
      <w:r w:rsidRPr="006C1EF0">
        <w:rPr>
          <w:color w:val="000000"/>
          <w:sz w:val="28"/>
          <w:lang w:val="en-US"/>
        </w:rPr>
        <w:t>ETC</w:t>
      </w:r>
      <w:r w:rsidRPr="006C1EF0">
        <w:rPr>
          <w:color w:val="000000"/>
          <w:sz w:val="28"/>
        </w:rPr>
        <w:t>. При этом принимаются во внимание и личностные качества исполнителей, но они не играют определяющую роль, поскольку тарификация работников регламентируется нормами, установленными на федеральном уровне в виде тарифно-квалификационных требований по профессиям и должностям с описанием должностных обязанностей, характера выполняемых работ и требований к квалификации.</w:t>
      </w:r>
    </w:p>
    <w:p w:rsidR="005879A4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Исходя из близости содержания и характера труда работников науки и научного обслуживания бюджетной сферы</w:t>
      </w:r>
      <w:r w:rsidR="00446EE5" w:rsidRPr="006C1EF0">
        <w:rPr>
          <w:color w:val="000000"/>
          <w:sz w:val="28"/>
        </w:rPr>
        <w:t xml:space="preserve"> </w:t>
      </w:r>
      <w:r w:rsidRPr="006C1EF0">
        <w:rPr>
          <w:color w:val="000000"/>
          <w:sz w:val="28"/>
        </w:rPr>
        <w:t xml:space="preserve">и специалистов научно-технического профиля, занятых в предпринимательском секторе, </w:t>
      </w:r>
      <w:r w:rsidR="00446EE5" w:rsidRPr="006C1EF0">
        <w:rPr>
          <w:color w:val="000000"/>
          <w:sz w:val="28"/>
        </w:rPr>
        <w:t>представляет</w:t>
      </w:r>
      <w:r w:rsidRPr="006C1EF0">
        <w:rPr>
          <w:color w:val="000000"/>
          <w:sz w:val="28"/>
        </w:rPr>
        <w:t xml:space="preserve">ся целесообразным распространить принципы оплаты труда на основе </w:t>
      </w:r>
      <w:r w:rsidRPr="006C1EF0">
        <w:rPr>
          <w:color w:val="000000"/>
          <w:sz w:val="28"/>
          <w:lang w:val="en-US"/>
        </w:rPr>
        <w:t>ETC</w:t>
      </w:r>
      <w:r w:rsidRPr="006C1EF0">
        <w:rPr>
          <w:color w:val="000000"/>
          <w:sz w:val="28"/>
        </w:rPr>
        <w:t xml:space="preserve"> на специалистов внебюджетных организации и предприятий. Речь идет о научных, конструкторских, технологических и проектно-конструкторских организациях, которые выполняют заказные работы, финансируемые за счет средств заказчиков на хоздоговорной основе, и о структурных подразделениях научно-исследовательского и проектно-конструкторского профиля государственных производственных предприятий (научно-исследовательских</w:t>
      </w:r>
      <w:r w:rsidR="00446EE5" w:rsidRPr="006C1EF0">
        <w:rPr>
          <w:color w:val="000000"/>
          <w:sz w:val="28"/>
        </w:rPr>
        <w:t xml:space="preserve"> </w:t>
      </w:r>
      <w:r w:rsidRPr="006C1EF0">
        <w:rPr>
          <w:color w:val="000000"/>
          <w:sz w:val="28"/>
        </w:rPr>
        <w:t>лабораториях, станциях, конструкторских отделах, бюро и</w:t>
      </w:r>
      <w:r w:rsidRPr="006C1EF0">
        <w:rPr>
          <w:noProof/>
          <w:color w:val="000000"/>
          <w:sz w:val="28"/>
        </w:rPr>
        <w:t xml:space="preserve"> т.п.),</w:t>
      </w:r>
      <w:r w:rsidRPr="006C1EF0">
        <w:rPr>
          <w:color w:val="000000"/>
          <w:sz w:val="28"/>
        </w:rPr>
        <w:t xml:space="preserve"> финансируемых за счет собственных источников.</w:t>
      </w:r>
    </w:p>
    <w:p w:rsidR="005879A4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Сближение принципов оплаты труда в науке и научном обслуживании независимо от источников финансирования предприятий и организаций, в которых они заняты, имеет целью обеспечить обоснованную дифференциацию и возможно большее единство в оплате родственных видов деятельности как в бюджетной, так и во внебюджетной сфере, главным образом через единые нормы тарификации работ и работников.</w:t>
      </w:r>
    </w:p>
    <w:p w:rsidR="005879A4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 xml:space="preserve">Финансовая самостоятельность организаций и предприятий предпринимательского сектора позволяет им, применяя соотношения в ставках оплаты, предусмотренные в </w:t>
      </w:r>
      <w:r w:rsidRPr="006C1EF0">
        <w:rPr>
          <w:color w:val="000000"/>
          <w:sz w:val="28"/>
          <w:lang w:val="en-US"/>
        </w:rPr>
        <w:t>ETC</w:t>
      </w:r>
      <w:r w:rsidRPr="006C1EF0">
        <w:rPr>
          <w:color w:val="000000"/>
          <w:sz w:val="28"/>
        </w:rPr>
        <w:t xml:space="preserve"> для бюджетных отраслей, устанавливать исходные ставки 1-го разряда в размерах, значительно превышающих бюджетную ставку 1-го разряда. На уровне отдельных организаций и предприятий возможно также устанавливать эффективные системы поощрения (надтарифные выплаты), превосходящие по своим размерам возможности бюджетных организаций и предприятий. Тем не менее, организация оплаты родственных или близких видов деятельности в бюджетной и внебюджетной сферах на единой основе будет способствовать реализации принципа равной оплаты за равноценный труд независимо от сферы его приложения.</w:t>
      </w:r>
    </w:p>
    <w:p w:rsidR="000265D6" w:rsidRPr="006C1EF0" w:rsidRDefault="000265D6" w:rsidP="00446EE5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5879A4" w:rsidRPr="006C1EF0" w:rsidRDefault="005879A4" w:rsidP="00446EE5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6C1EF0">
        <w:rPr>
          <w:b/>
          <w:color w:val="000000"/>
          <w:sz w:val="28"/>
        </w:rPr>
        <w:t>Как обновить механизм оплаты в науке</w:t>
      </w:r>
    </w:p>
    <w:p w:rsidR="000265D6" w:rsidRPr="006C1EF0" w:rsidRDefault="000265D6" w:rsidP="00446EE5">
      <w:pPr>
        <w:spacing w:line="360" w:lineRule="auto"/>
        <w:ind w:firstLine="709"/>
        <w:jc w:val="both"/>
        <w:rPr>
          <w:color w:val="000000"/>
          <w:sz w:val="28"/>
        </w:rPr>
      </w:pPr>
    </w:p>
    <w:p w:rsidR="005879A4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 xml:space="preserve">При подготовке законодательных и нормативных документов по совершенствованию оплаты труда работников науки и научного обслуживания необходимо дополнить действующие условия их оплаты на основе </w:t>
      </w:r>
      <w:r w:rsidRPr="006C1EF0">
        <w:rPr>
          <w:color w:val="000000"/>
          <w:sz w:val="28"/>
          <w:lang w:val="en-US"/>
        </w:rPr>
        <w:t>ETC</w:t>
      </w:r>
      <w:r w:rsidRPr="006C1EF0">
        <w:rPr>
          <w:color w:val="000000"/>
          <w:sz w:val="28"/>
        </w:rPr>
        <w:t xml:space="preserve"> рядом положений, направленных как на повышение размеров заработной платы и сближение их с затратами на воспроизводство высококвалифицированной рабочей силы, так и на усиление связи оплаты с характером и содержанием труда, вкладом работников в конечные коллективные результаты, индивидуальными профессиональными качествами и трудовой отдачей.</w:t>
      </w:r>
    </w:p>
    <w:p w:rsidR="005879A4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 xml:space="preserve">Большее соответствие механизма оплаты по тарифу (должностным окладам) сложности решаемых проблем, месту и роли учреждения (организации) в отрасли может быть достигнуто путем введения коэффициентов повышения ставок, установленных в соответствии с </w:t>
      </w:r>
      <w:r w:rsidRPr="006C1EF0">
        <w:rPr>
          <w:color w:val="000000"/>
          <w:sz w:val="28"/>
          <w:lang w:val="en-US"/>
        </w:rPr>
        <w:t>ETC</w:t>
      </w:r>
      <w:r w:rsidRPr="006C1EF0">
        <w:rPr>
          <w:color w:val="000000"/>
          <w:sz w:val="28"/>
        </w:rPr>
        <w:t>, для высококвалифицированных научных работников, специалистов и руководителей учреждений (организаций) и их основных структурных подразделений. Размеры повышающих коэффициентов предлагается дифференцировать по группам научных, конструкторских, технологических и проектных организаций. В основу группировки могут быть положены признаки, в комплексе характеризующие ту или иную группу: место приложения труда работников и его характер, ведомственная подчиненность организаций и предприятий, источники их финансирования и др. С учетом этих признаков предлагается следующая группировка организаций и отдельных структурных подразделений научного и научно-технического профиля, применительно к которой должны разрабатываться условия оплаты занятых в них работников:</w:t>
      </w:r>
    </w:p>
    <w:p w:rsidR="005879A4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Государственные научные центры Российской Федерации, научно-исследовательские организации (институты), ведущие фундаментальные исследования в системах РАН, РАСН, РАМН, РАПН; ведущие конструкторские, технологические и проектные организации, выполняющие работы в области создания принципиально новых конструкций, технологий и проектов, финансируемые за счет средств федерального бюджета.</w:t>
      </w:r>
    </w:p>
    <w:p w:rsidR="005879A4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Научно-исследовательские организации (институты) федерального подчинения, ведущие теоретические или прикладные исследования в определенной отрасли науки; конструкторские, технологические и проектные организации, осуществляющие разработку научно-технических проблем многопрофильного характера, финансирование которых осуществляется за счет средств федерального бюджета.</w:t>
      </w:r>
    </w:p>
    <w:p w:rsidR="005879A4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Научные, конструкторские, технологические и проектные организации, выполняющие работы методического и прикладного характера относительно узкой направленности по заказам органов управления субъектов Российской Федерации, финансируемые из средств местных бюджетов.</w:t>
      </w:r>
    </w:p>
    <w:p w:rsidR="005879A4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 xml:space="preserve">Научные, конструкторские, технологические и проектно-конструкторские организации, выполняющие заказные работы, финансируемые за счет средств заказчиков на </w:t>
      </w:r>
      <w:r w:rsidR="00446EE5" w:rsidRPr="006C1EF0">
        <w:rPr>
          <w:color w:val="000000"/>
          <w:sz w:val="28"/>
        </w:rPr>
        <w:t>хоздого</w:t>
      </w:r>
      <w:r w:rsidRPr="006C1EF0">
        <w:rPr>
          <w:color w:val="000000"/>
          <w:sz w:val="28"/>
        </w:rPr>
        <w:t>ворной (хозрасчетной) основе.</w:t>
      </w:r>
    </w:p>
    <w:p w:rsidR="005879A4" w:rsidRPr="006C1EF0" w:rsidRDefault="00446EE5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Структурные подразделения на</w:t>
      </w:r>
      <w:r w:rsidR="005879A4" w:rsidRPr="006C1EF0">
        <w:rPr>
          <w:color w:val="000000"/>
          <w:sz w:val="28"/>
        </w:rPr>
        <w:t>учно-исследовательского и проектно конструкторского профиля государственных производственных предприятий (научно-исследовательские лаборатории, станции, конструкторские отделы, бюро и т.п.), финансируемые из средств предприятии.</w:t>
      </w:r>
    </w:p>
    <w:p w:rsidR="005879A4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Неслучайным является то, что внимание в предлагаемой группировке акцентируется на источниках финансирования организации и предприятии: они определяют степень универсальности систем оплаты соответствующего контингента работников.</w:t>
      </w:r>
    </w:p>
    <w:p w:rsidR="005879A4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 xml:space="preserve">В настоящее время для работников первых трех групп организаций, финансируемых из федерального и местных бюджетов и охватывающих подавляющую часть занятых в науке и научном обслуживании, применяется универсальная система оплаты на основе </w:t>
      </w:r>
      <w:r w:rsidRPr="006C1EF0">
        <w:rPr>
          <w:color w:val="000000"/>
          <w:sz w:val="28"/>
          <w:lang w:val="en-US"/>
        </w:rPr>
        <w:t>ETC</w:t>
      </w:r>
      <w:r w:rsidRPr="006C1EF0">
        <w:rPr>
          <w:color w:val="000000"/>
          <w:sz w:val="28"/>
        </w:rPr>
        <w:t xml:space="preserve"> (постановление Правительства РФ от</w:t>
      </w:r>
      <w:r w:rsidRPr="006C1EF0">
        <w:rPr>
          <w:noProof/>
          <w:color w:val="000000"/>
          <w:sz w:val="28"/>
        </w:rPr>
        <w:t xml:space="preserve"> 14</w:t>
      </w:r>
      <w:r w:rsidRPr="006C1EF0">
        <w:rPr>
          <w:color w:val="000000"/>
          <w:sz w:val="28"/>
        </w:rPr>
        <w:t xml:space="preserve"> октября</w:t>
      </w:r>
      <w:r w:rsidRPr="006C1EF0">
        <w:rPr>
          <w:noProof/>
          <w:color w:val="000000"/>
          <w:sz w:val="28"/>
        </w:rPr>
        <w:t xml:space="preserve"> 1992</w:t>
      </w:r>
      <w:r w:rsidRPr="006C1EF0">
        <w:rPr>
          <w:color w:val="000000"/>
          <w:sz w:val="28"/>
        </w:rPr>
        <w:t xml:space="preserve"> г.</w:t>
      </w:r>
      <w:r w:rsidRPr="006C1EF0">
        <w:rPr>
          <w:noProof/>
          <w:color w:val="000000"/>
          <w:sz w:val="28"/>
        </w:rPr>
        <w:t xml:space="preserve"> № 785 </w:t>
      </w:r>
      <w:r w:rsidRPr="006C1EF0">
        <w:rPr>
          <w:color w:val="000000"/>
          <w:sz w:val="28"/>
        </w:rPr>
        <w:t>"О дифференциации в уровнях оплаты труда работников бюджетной сферы на основе Единой тарифной сетки").</w:t>
      </w:r>
    </w:p>
    <w:p w:rsidR="005879A4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 xml:space="preserve">Практика свидетельствует, что идея оплаты труда работников на основе </w:t>
      </w:r>
      <w:r w:rsidRPr="006C1EF0">
        <w:rPr>
          <w:color w:val="000000"/>
          <w:sz w:val="28"/>
          <w:lang w:val="en-US"/>
        </w:rPr>
        <w:t>ETC</w:t>
      </w:r>
      <w:r w:rsidRPr="006C1EF0">
        <w:rPr>
          <w:color w:val="000000"/>
          <w:sz w:val="28"/>
        </w:rPr>
        <w:t xml:space="preserve"> получила признание и в хозрасчетной сфере: на большом числе предприятий уже действуют системы оплаты, построенные на базе так называемых заводских </w:t>
      </w:r>
      <w:r w:rsidRPr="006C1EF0">
        <w:rPr>
          <w:color w:val="000000"/>
          <w:sz w:val="28"/>
          <w:lang w:val="en-US"/>
        </w:rPr>
        <w:t>ETC</w:t>
      </w:r>
      <w:r w:rsidRPr="006C1EF0">
        <w:rPr>
          <w:color w:val="000000"/>
          <w:sz w:val="28"/>
        </w:rPr>
        <w:t>,</w:t>
      </w:r>
      <w:r w:rsidRPr="006C1EF0">
        <w:rPr>
          <w:noProof/>
          <w:color w:val="000000"/>
          <w:sz w:val="28"/>
        </w:rPr>
        <w:t xml:space="preserve"> -</w:t>
      </w:r>
      <w:r w:rsidRPr="006C1EF0">
        <w:rPr>
          <w:color w:val="000000"/>
          <w:sz w:val="28"/>
        </w:rPr>
        <w:t xml:space="preserve"> на принципах, идентичных или полностью совпадающих с бюджетной </w:t>
      </w:r>
      <w:r w:rsidRPr="006C1EF0">
        <w:rPr>
          <w:color w:val="000000"/>
          <w:sz w:val="28"/>
          <w:lang w:val="en-US"/>
        </w:rPr>
        <w:t>ETC</w:t>
      </w:r>
      <w:r w:rsidRPr="006C1EF0">
        <w:rPr>
          <w:color w:val="000000"/>
          <w:sz w:val="28"/>
        </w:rPr>
        <w:t xml:space="preserve">. Подтверждением актуальности концептуальных подходов, разработанных специалистами Института труда, в части расширения сферы применения </w:t>
      </w:r>
      <w:r w:rsidRPr="006C1EF0">
        <w:rPr>
          <w:color w:val="000000"/>
          <w:sz w:val="28"/>
          <w:lang w:val="en-US"/>
        </w:rPr>
        <w:t>ETC</w:t>
      </w:r>
      <w:r w:rsidRPr="006C1EF0">
        <w:rPr>
          <w:color w:val="000000"/>
          <w:sz w:val="28"/>
        </w:rPr>
        <w:t xml:space="preserve"> также служит одно из положений Генерального трехстороннего соглашения на</w:t>
      </w:r>
      <w:r w:rsidRPr="006C1EF0">
        <w:rPr>
          <w:noProof/>
          <w:color w:val="000000"/>
          <w:sz w:val="28"/>
        </w:rPr>
        <w:t xml:space="preserve"> 1996-1997</w:t>
      </w:r>
      <w:r w:rsidRPr="006C1EF0">
        <w:rPr>
          <w:color w:val="000000"/>
          <w:sz w:val="28"/>
        </w:rPr>
        <w:t xml:space="preserve"> </w:t>
      </w:r>
      <w:r w:rsidRPr="006C1EF0">
        <w:rPr>
          <w:color w:val="000000"/>
          <w:sz w:val="28"/>
          <w:lang w:val="en-US"/>
        </w:rPr>
        <w:t>it</w:t>
      </w:r>
      <w:r w:rsidRPr="006C1EF0">
        <w:rPr>
          <w:color w:val="000000"/>
          <w:sz w:val="28"/>
        </w:rPr>
        <w:t xml:space="preserve">. В нем тарифные ставки </w:t>
      </w:r>
      <w:r w:rsidRPr="006C1EF0">
        <w:rPr>
          <w:color w:val="000000"/>
          <w:sz w:val="28"/>
          <w:lang w:val="en-US"/>
        </w:rPr>
        <w:t>ETC</w:t>
      </w:r>
      <w:r w:rsidRPr="006C1EF0">
        <w:rPr>
          <w:color w:val="000000"/>
          <w:sz w:val="28"/>
        </w:rPr>
        <w:t xml:space="preserve"> рекомендуется применять в качестве гарантируемых минимальных размеров оплаты труда соответствующей</w:t>
      </w:r>
      <w:r w:rsidR="00446EE5" w:rsidRPr="006C1EF0">
        <w:rPr>
          <w:color w:val="000000"/>
          <w:sz w:val="28"/>
        </w:rPr>
        <w:t xml:space="preserve"> </w:t>
      </w:r>
      <w:r w:rsidRPr="006C1EF0">
        <w:rPr>
          <w:color w:val="000000"/>
          <w:sz w:val="28"/>
        </w:rPr>
        <w:t>квалификационной сложности для работников сквозных профессий внебюджетной сферы (п.</w:t>
      </w:r>
      <w:r w:rsidRPr="006C1EF0">
        <w:rPr>
          <w:noProof/>
          <w:color w:val="000000"/>
          <w:sz w:val="28"/>
        </w:rPr>
        <w:t xml:space="preserve"> 18</w:t>
      </w:r>
      <w:r w:rsidRPr="006C1EF0">
        <w:rPr>
          <w:color w:val="000000"/>
          <w:sz w:val="28"/>
        </w:rPr>
        <w:t xml:space="preserve"> Генерального соглашения).</w:t>
      </w:r>
    </w:p>
    <w:p w:rsidR="005879A4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Полагаем возможным постепенное распространение систем оплаты</w:t>
      </w:r>
      <w:r w:rsidR="00446EE5" w:rsidRPr="006C1EF0">
        <w:rPr>
          <w:color w:val="000000"/>
          <w:sz w:val="28"/>
        </w:rPr>
        <w:t xml:space="preserve"> </w:t>
      </w:r>
      <w:r w:rsidRPr="006C1EF0">
        <w:rPr>
          <w:color w:val="000000"/>
          <w:sz w:val="28"/>
        </w:rPr>
        <w:t xml:space="preserve">на основе </w:t>
      </w:r>
      <w:r w:rsidRPr="006C1EF0">
        <w:rPr>
          <w:color w:val="000000"/>
          <w:sz w:val="28"/>
          <w:lang w:val="en-US"/>
        </w:rPr>
        <w:t>ETC</w:t>
      </w:r>
      <w:r w:rsidRPr="006C1EF0">
        <w:rPr>
          <w:color w:val="000000"/>
          <w:sz w:val="28"/>
        </w:rPr>
        <w:t xml:space="preserve"> на работников хоздоговорных конструкторских, технологических и проектно-конструкторских организаций и структурных подразделений научного и проектно-конструкторского профиля производственных предприятий,</w:t>
      </w:r>
      <w:r w:rsidRPr="006C1EF0">
        <w:rPr>
          <w:noProof/>
          <w:color w:val="000000"/>
          <w:sz w:val="28"/>
        </w:rPr>
        <w:t xml:space="preserve"> т.е.</w:t>
      </w:r>
      <w:r w:rsidRPr="006C1EF0">
        <w:rPr>
          <w:color w:val="000000"/>
          <w:sz w:val="28"/>
        </w:rPr>
        <w:t xml:space="preserve"> представителей четвертой и пятой групп предлагаемой классификации. Вместе с тем, к оплате труда работников этих групп правомерно использовать и подход, применяемый во внебюджетной сфере, который характеризуется относительной самостоятельностью юридических лиц в установлении условий оплаты труда работников.</w:t>
      </w:r>
    </w:p>
    <w:p w:rsidR="005879A4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Коэффициенты повышения ставок (окладов) работников применительно к группам организаций целесообразно устанавливать понижающимися от первой к пятой группе в форме "вилки". "Вилка" в пределах группы предназначена для дифференциации размеров коэффициентов в конкретных организациях, исходя из значимости, эффективности и актуальности выполняемых ими исследований (работ). Право устанавливать размер повышающего коэффициента в пределах "вилки" может быть предоставлено руководителю вышестоящей организации. При этом принципиально важно избегать уравнительности.</w:t>
      </w:r>
    </w:p>
    <w:p w:rsidR="00717590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Повышающие</w:t>
      </w:r>
      <w:r w:rsidR="00446EE5" w:rsidRPr="006C1EF0">
        <w:rPr>
          <w:color w:val="000000"/>
          <w:sz w:val="28"/>
        </w:rPr>
        <w:t xml:space="preserve"> </w:t>
      </w:r>
      <w:r w:rsidRPr="006C1EF0">
        <w:rPr>
          <w:color w:val="000000"/>
          <w:sz w:val="28"/>
        </w:rPr>
        <w:t xml:space="preserve">коэффициенты предлагается устанавливать к окладам работников, занимающих следующие должности: </w:t>
      </w:r>
    </w:p>
    <w:p w:rsidR="00717590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НАУ</w:t>
      </w:r>
      <w:r w:rsidR="00717590" w:rsidRPr="006C1EF0">
        <w:rPr>
          <w:color w:val="000000"/>
          <w:sz w:val="28"/>
        </w:rPr>
        <w:t>ЧНЫЕ СОТРУДНИКИ</w:t>
      </w:r>
    </w:p>
    <w:p w:rsidR="00717590" w:rsidRPr="006C1EF0" w:rsidRDefault="00717590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Старший научный сотрудник</w:t>
      </w:r>
    </w:p>
    <w:p w:rsidR="00717590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Ведущий</w:t>
      </w:r>
      <w:r w:rsidR="00717590" w:rsidRPr="006C1EF0">
        <w:rPr>
          <w:color w:val="000000"/>
          <w:sz w:val="28"/>
        </w:rPr>
        <w:t xml:space="preserve"> научный сотрудник</w:t>
      </w:r>
    </w:p>
    <w:p w:rsidR="00717590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Г</w:t>
      </w:r>
      <w:r w:rsidR="00717590" w:rsidRPr="006C1EF0">
        <w:rPr>
          <w:color w:val="000000"/>
          <w:sz w:val="28"/>
        </w:rPr>
        <w:t>лавный научный сотрудник</w:t>
      </w:r>
    </w:p>
    <w:p w:rsidR="00717590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СПЕЦИАЛИСТЫ НАУЧНЫХ ПОД</w:t>
      </w:r>
      <w:r w:rsidR="00717590" w:rsidRPr="006C1EF0">
        <w:rPr>
          <w:color w:val="000000"/>
          <w:sz w:val="28"/>
        </w:rPr>
        <w:t>РАЗДЕЛЕНИЙ</w:t>
      </w:r>
    </w:p>
    <w:p w:rsidR="00717590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 xml:space="preserve">Главный инженер (конструктор, технолог, архитектор) проекта в подразделении </w:t>
      </w:r>
      <w:r w:rsidR="00717590" w:rsidRPr="006C1EF0">
        <w:rPr>
          <w:color w:val="000000"/>
          <w:sz w:val="28"/>
        </w:rPr>
        <w:t>н</w:t>
      </w:r>
      <w:r w:rsidRPr="006C1EF0">
        <w:rPr>
          <w:color w:val="000000"/>
          <w:sz w:val="28"/>
        </w:rPr>
        <w:t xml:space="preserve">а должности </w:t>
      </w:r>
      <w:r w:rsidR="00717590" w:rsidRPr="006C1EF0">
        <w:rPr>
          <w:color w:val="000000"/>
          <w:sz w:val="28"/>
        </w:rPr>
        <w:t>специалистов</w:t>
      </w:r>
    </w:p>
    <w:p w:rsidR="00717590" w:rsidRPr="006C1EF0" w:rsidRDefault="00717590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ИЗ ЧИСЛА ОБЩЕОТРАСЛЕВЫХ</w:t>
      </w:r>
    </w:p>
    <w:p w:rsidR="00717590" w:rsidRPr="006C1EF0" w:rsidRDefault="00717590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Инженер 1-й категории</w:t>
      </w:r>
    </w:p>
    <w:p w:rsidR="00717590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Ведущ</w:t>
      </w:r>
      <w:r w:rsidR="00717590" w:rsidRPr="006C1EF0">
        <w:rPr>
          <w:color w:val="000000"/>
          <w:sz w:val="28"/>
        </w:rPr>
        <w:t>ий инженер</w:t>
      </w:r>
    </w:p>
    <w:p w:rsidR="00717590" w:rsidRPr="006C1EF0" w:rsidRDefault="00717590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Конструктор 1-й категории</w:t>
      </w:r>
    </w:p>
    <w:p w:rsidR="005879A4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Ведущий конструктор</w:t>
      </w:r>
    </w:p>
    <w:p w:rsidR="00717590" w:rsidRPr="006C1EF0" w:rsidRDefault="00717590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Технолог 1-й категории</w:t>
      </w:r>
    </w:p>
    <w:p w:rsidR="00717590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Ведущ</w:t>
      </w:r>
      <w:r w:rsidR="00717590" w:rsidRPr="006C1EF0">
        <w:rPr>
          <w:color w:val="000000"/>
          <w:sz w:val="28"/>
        </w:rPr>
        <w:t>ий технолог</w:t>
      </w:r>
    </w:p>
    <w:p w:rsidR="00717590" w:rsidRPr="006C1EF0" w:rsidRDefault="00717590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Математик 1-й категории</w:t>
      </w:r>
    </w:p>
    <w:p w:rsidR="00717590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Ведущ</w:t>
      </w:r>
      <w:r w:rsidR="00717590" w:rsidRPr="006C1EF0">
        <w:rPr>
          <w:color w:val="000000"/>
          <w:sz w:val="28"/>
        </w:rPr>
        <w:t>ий математик</w:t>
      </w:r>
    </w:p>
    <w:p w:rsidR="00717590" w:rsidRPr="006C1EF0" w:rsidRDefault="00717590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Программист 1-й категории</w:t>
      </w:r>
    </w:p>
    <w:p w:rsidR="00717590" w:rsidRPr="006C1EF0" w:rsidRDefault="00717590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Ведущий программист</w:t>
      </w:r>
    </w:p>
    <w:p w:rsidR="00717590" w:rsidRPr="006C1EF0" w:rsidRDefault="00717590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Электроник 1-й категории</w:t>
      </w:r>
    </w:p>
    <w:p w:rsidR="00717590" w:rsidRPr="006C1EF0" w:rsidRDefault="00717590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Ведущий электроник</w:t>
      </w:r>
    </w:p>
    <w:p w:rsidR="00717590" w:rsidRPr="006C1EF0" w:rsidRDefault="00717590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Экономист 1-й категории</w:t>
      </w:r>
    </w:p>
    <w:p w:rsidR="00717590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Ведущ</w:t>
      </w:r>
      <w:r w:rsidR="00717590" w:rsidRPr="006C1EF0">
        <w:rPr>
          <w:color w:val="000000"/>
          <w:sz w:val="28"/>
        </w:rPr>
        <w:t>ий экономист</w:t>
      </w:r>
    </w:p>
    <w:p w:rsidR="00717590" w:rsidRPr="006C1EF0" w:rsidRDefault="00717590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Архитектор 1-й категории</w:t>
      </w:r>
    </w:p>
    <w:p w:rsidR="00717590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Веду</w:t>
      </w:r>
      <w:r w:rsidR="00717590" w:rsidRPr="006C1EF0">
        <w:rPr>
          <w:color w:val="000000"/>
          <w:sz w:val="28"/>
        </w:rPr>
        <w:t>щий архитектор</w:t>
      </w:r>
    </w:p>
    <w:p w:rsidR="00717590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Художни</w:t>
      </w:r>
      <w:r w:rsidR="00717590" w:rsidRPr="006C1EF0">
        <w:rPr>
          <w:color w:val="000000"/>
          <w:sz w:val="28"/>
        </w:rPr>
        <w:t>к 1-й категории</w:t>
      </w:r>
    </w:p>
    <w:p w:rsidR="00717590" w:rsidRPr="006C1EF0" w:rsidRDefault="00717590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Ведущий художник</w:t>
      </w:r>
    </w:p>
    <w:p w:rsidR="00717590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Художник-конст</w:t>
      </w:r>
      <w:r w:rsidR="00717590" w:rsidRPr="006C1EF0">
        <w:rPr>
          <w:color w:val="000000"/>
          <w:sz w:val="28"/>
        </w:rPr>
        <w:t>руктор (дизайнер) 1-й категории</w:t>
      </w:r>
    </w:p>
    <w:p w:rsidR="005879A4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Ведущий художник-конструктор (дизайнер)</w:t>
      </w:r>
    </w:p>
    <w:p w:rsidR="00717590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Ведущий психол</w:t>
      </w:r>
      <w:r w:rsidR="00717590" w:rsidRPr="006C1EF0">
        <w:rPr>
          <w:color w:val="000000"/>
          <w:sz w:val="28"/>
        </w:rPr>
        <w:t>ог</w:t>
      </w:r>
    </w:p>
    <w:p w:rsidR="00717590" w:rsidRPr="006C1EF0" w:rsidRDefault="00717590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Социолог 1-й категории</w:t>
      </w:r>
    </w:p>
    <w:p w:rsidR="00717590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 xml:space="preserve">Ведущий </w:t>
      </w:r>
      <w:r w:rsidR="00717590" w:rsidRPr="006C1EF0">
        <w:rPr>
          <w:color w:val="000000"/>
          <w:sz w:val="28"/>
        </w:rPr>
        <w:t>социолог физиолог 1-й категории</w:t>
      </w:r>
    </w:p>
    <w:p w:rsidR="005879A4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Ведущий физиолог и другие специалисты, непосредственно занятые осуществлением научно-технических разработок а руководители</w:t>
      </w:r>
    </w:p>
    <w:p w:rsidR="005879A4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Руководитель основного структурного подразделения (отдела, лаборатории, сектора)</w:t>
      </w:r>
    </w:p>
    <w:p w:rsidR="005879A4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Ученый секретарь</w:t>
      </w:r>
    </w:p>
    <w:p w:rsidR="005879A4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Главные специалисты организации, предприятия</w:t>
      </w:r>
    </w:p>
    <w:p w:rsidR="000265D6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 xml:space="preserve">Руководитель филиала </w:t>
      </w:r>
      <w:r w:rsidR="000265D6" w:rsidRPr="006C1EF0">
        <w:rPr>
          <w:color w:val="000000"/>
          <w:sz w:val="28"/>
        </w:rPr>
        <w:t>или самостоятельного отделения</w:t>
      </w:r>
    </w:p>
    <w:p w:rsidR="000265D6" w:rsidRPr="006C1EF0" w:rsidRDefault="000265D6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главный инженер</w:t>
      </w:r>
    </w:p>
    <w:p w:rsidR="000265D6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Заместитель руково</w:t>
      </w:r>
      <w:r w:rsidR="000265D6" w:rsidRPr="006C1EF0">
        <w:rPr>
          <w:color w:val="000000"/>
          <w:sz w:val="28"/>
        </w:rPr>
        <w:t>дителя организации, предприятия</w:t>
      </w:r>
    </w:p>
    <w:p w:rsidR="005879A4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Руководитель организации, предприятия</w:t>
      </w:r>
    </w:p>
    <w:p w:rsidR="000265D6" w:rsidRPr="006C1EF0" w:rsidRDefault="000265D6" w:rsidP="00446EE5">
      <w:pPr>
        <w:spacing w:line="360" w:lineRule="auto"/>
        <w:ind w:firstLine="709"/>
        <w:jc w:val="both"/>
        <w:rPr>
          <w:color w:val="000000"/>
          <w:sz w:val="28"/>
        </w:rPr>
      </w:pPr>
    </w:p>
    <w:p w:rsidR="005879A4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Перечень конкретных должностей, по которым устанавливаются повышающие коэффициенты к должностным окладам, согласуется в процессе трехсторонних переговоров и фиксируется в отраслевом тарифном соглашении.</w:t>
      </w:r>
    </w:p>
    <w:p w:rsidR="005879A4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Для более полного учета в оплате труда таких качеств работников, как самостоятельность в решении научных и технических проблем, способность к творчеству, оригинальность предлагаемых решений, инициативность, высокая самоотдача и</w:t>
      </w:r>
      <w:r w:rsidRPr="006C1EF0">
        <w:rPr>
          <w:noProof/>
          <w:color w:val="000000"/>
          <w:sz w:val="28"/>
        </w:rPr>
        <w:t xml:space="preserve"> т.п.,</w:t>
      </w:r>
      <w:r w:rsidRPr="006C1EF0">
        <w:rPr>
          <w:color w:val="000000"/>
          <w:sz w:val="28"/>
        </w:rPr>
        <w:t xml:space="preserve"> в </w:t>
      </w:r>
      <w:r w:rsidR="00717590" w:rsidRPr="006C1EF0">
        <w:rPr>
          <w:color w:val="000000"/>
          <w:sz w:val="28"/>
        </w:rPr>
        <w:t>ус</w:t>
      </w:r>
      <w:r w:rsidRPr="006C1EF0">
        <w:rPr>
          <w:color w:val="000000"/>
          <w:sz w:val="28"/>
        </w:rPr>
        <w:t>ловиях нерегламентированного по времени трудового процесса возможно применять надбавки к окладам за высокий профессиональный уровень (оценка "по заслугам") в процентах к окладу по данной должности, установленному с учетом коэффициента повышения ставок оплаты работников соответствующих должностей по группам организации и структурных подразделений. Право устанавливать и отменять надбавки "по заслугам" должно быть предоставлено руководителю организации, предприятия. Средства на их выплату необходимо предусматривать в смете расходов на выполнение НИР в процентах к ФОТ по установленным в организации должностным окладам.</w:t>
      </w:r>
    </w:p>
    <w:p w:rsidR="005879A4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Индивидуализация условий оплаты высококвалифицированных ученых и специалистов в научно-технической сфере может осуществляться также и на основе заключения трудовых договоров-контрактов на время выполнения конкретного задания (заказа).</w:t>
      </w:r>
    </w:p>
    <w:p w:rsidR="005879A4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При определении сферы применения индивидуальных условий оплаты труда на контрактной основе целесообразно руководствоваться следующими критериями:</w:t>
      </w:r>
    </w:p>
    <w:p w:rsidR="005879A4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наличие у работника творческого потенциала для выполнения особо ответственных, важных работ;</w:t>
      </w:r>
    </w:p>
    <w:p w:rsidR="005879A4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невозможность</w:t>
      </w:r>
      <w:r w:rsidR="00446EE5" w:rsidRPr="006C1EF0">
        <w:rPr>
          <w:color w:val="000000"/>
          <w:sz w:val="28"/>
        </w:rPr>
        <w:t xml:space="preserve"> </w:t>
      </w:r>
      <w:r w:rsidRPr="006C1EF0">
        <w:rPr>
          <w:color w:val="000000"/>
          <w:sz w:val="28"/>
        </w:rPr>
        <w:t>установления строгого регламента работы;</w:t>
      </w:r>
    </w:p>
    <w:p w:rsidR="005879A4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необходимость достижения определенных результатов в установленный период времени.</w:t>
      </w:r>
    </w:p>
    <w:p w:rsidR="005879A4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Контрактные условия оплаты на постоянной основе (на время работы</w:t>
      </w:r>
      <w:r w:rsidR="00717590" w:rsidRPr="006C1EF0">
        <w:rPr>
          <w:color w:val="000000"/>
          <w:sz w:val="28"/>
        </w:rPr>
        <w:t xml:space="preserve"> </w:t>
      </w:r>
      <w:r w:rsidRPr="006C1EF0">
        <w:rPr>
          <w:color w:val="000000"/>
          <w:sz w:val="28"/>
        </w:rPr>
        <w:t>в данной организации) могут быть установлены для отдельных ученых и специалистов высшей квалификации (академиков, членов-корреспондентов академий наук, докторов и других лиц с большим опытом работы в научно-технической сфере).</w:t>
      </w:r>
    </w:p>
    <w:p w:rsidR="005879A4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Индивидуальные условия оплаты по контракту должны устанавливаться на основе соглашения между работодателем и работником</w:t>
      </w:r>
      <w:r w:rsidR="000265D6" w:rsidRPr="006C1EF0">
        <w:rPr>
          <w:color w:val="000000"/>
          <w:sz w:val="28"/>
        </w:rPr>
        <w:t>,</w:t>
      </w:r>
      <w:r w:rsidRPr="006C1EF0">
        <w:rPr>
          <w:color w:val="000000"/>
          <w:sz w:val="28"/>
        </w:rPr>
        <w:t xml:space="preserve"> регламентироваться основными положениями трудового законодательства и, как правило, предусматривать более высокий уровень оплаты по сравнению с работниками, на которых данные условия не распространены.</w:t>
      </w:r>
    </w:p>
    <w:p w:rsidR="005879A4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Развитие трехстороннего договорного регулирования трудовых отношений, включая оплату труда, в частности, работников науки и научного обслуживания, требует решения на федеральном уровне вопроса о сторонах переговорного процесса. Интересы государства, очевидно, должны представлять федеральные министерства науки и технологий, труда и социального развития; интересы работодателей</w:t>
      </w:r>
      <w:r w:rsidRPr="006C1EF0">
        <w:rPr>
          <w:noProof/>
          <w:color w:val="000000"/>
          <w:sz w:val="28"/>
        </w:rPr>
        <w:t xml:space="preserve"> -</w:t>
      </w:r>
      <w:r w:rsidRPr="006C1EF0">
        <w:rPr>
          <w:color w:val="000000"/>
          <w:sz w:val="28"/>
        </w:rPr>
        <w:t xml:space="preserve"> президиумы РАН и других российских академий, федеральные органы исполнительной власти, в подчинении которых находятся научные, конструкторские, технологические и проектные организации; интересы научных работников и специалистов</w:t>
      </w:r>
      <w:r w:rsidRPr="006C1EF0">
        <w:rPr>
          <w:noProof/>
          <w:color w:val="000000"/>
          <w:sz w:val="28"/>
        </w:rPr>
        <w:t xml:space="preserve"> -</w:t>
      </w:r>
      <w:r w:rsidRPr="006C1EF0">
        <w:rPr>
          <w:color w:val="000000"/>
          <w:sz w:val="28"/>
        </w:rPr>
        <w:t>профессиональные союзы, консолидирующие действия по защите прав и интересов наемных работников сферы науки и научного обслуживания.</w:t>
      </w:r>
    </w:p>
    <w:p w:rsidR="005879A4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Возможно, появится необходимость формирования объединенного</w:t>
      </w:r>
      <w:r w:rsidR="00717590" w:rsidRPr="006C1EF0">
        <w:rPr>
          <w:color w:val="000000"/>
          <w:sz w:val="28"/>
        </w:rPr>
        <w:t xml:space="preserve"> </w:t>
      </w:r>
      <w:r w:rsidRPr="006C1EF0">
        <w:rPr>
          <w:color w:val="000000"/>
          <w:sz w:val="28"/>
        </w:rPr>
        <w:t>профессионального союза работников науки и научных учреждений, ибо принадлежность ученых и специалистов, занятых в научно-технической сфере, к различным отраслевым профсоюзам, как это имеет место в настоящее время, серьезно затрудняет согласование их позиций в области организации оплаты труда.</w:t>
      </w:r>
    </w:p>
    <w:p w:rsidR="005879A4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 xml:space="preserve">Подготовка отраслевой системы оплаты труда в сфере науки и научного обслуживания предполагает разработку тарифно-квалификационных характеристик работников по каждой из должностей, предусматривающих дифференцированные по разрядам оплаты </w:t>
      </w:r>
      <w:r w:rsidRPr="006C1EF0">
        <w:rPr>
          <w:color w:val="000000"/>
          <w:sz w:val="28"/>
          <w:lang w:val="en-US"/>
        </w:rPr>
        <w:t>ETC</w:t>
      </w:r>
      <w:r w:rsidRPr="006C1EF0">
        <w:rPr>
          <w:color w:val="000000"/>
          <w:sz w:val="28"/>
        </w:rPr>
        <w:t xml:space="preserve"> должностные обязанности и требования к знаниям работников. Такой подход должен заменить применяемые в настоящее время общие (единые) характеристики должностных обязанностей по всему диапазону разрядов, установленному для конкретной должности, при дифференциации лишь требований к квалификации по разрядам оплаты.</w:t>
      </w:r>
    </w:p>
    <w:p w:rsidR="005879A4" w:rsidRPr="006C1EF0" w:rsidRDefault="005879A4" w:rsidP="00446EE5">
      <w:pPr>
        <w:spacing w:line="360" w:lineRule="auto"/>
        <w:ind w:firstLine="709"/>
        <w:jc w:val="both"/>
        <w:rPr>
          <w:color w:val="000000"/>
          <w:sz w:val="28"/>
        </w:rPr>
      </w:pPr>
      <w:r w:rsidRPr="006C1EF0">
        <w:rPr>
          <w:color w:val="000000"/>
          <w:sz w:val="28"/>
        </w:rPr>
        <w:t>Представляется, что предложенные подходы, к совершенствованию организации оплаты труда работников науки и научного обслуживания можно распространить и на другие отрасли социально-культурной сферы</w:t>
      </w:r>
      <w:r w:rsidRPr="006C1EF0">
        <w:rPr>
          <w:noProof/>
          <w:color w:val="000000"/>
          <w:sz w:val="28"/>
        </w:rPr>
        <w:t xml:space="preserve"> -</w:t>
      </w:r>
      <w:r w:rsidRPr="006C1EF0">
        <w:rPr>
          <w:color w:val="000000"/>
          <w:sz w:val="28"/>
        </w:rPr>
        <w:t xml:space="preserve"> образование, здравоохранение, культуру и искусство с учетом специфических особенностей труда</w:t>
      </w:r>
      <w:r w:rsidRPr="006C1EF0">
        <w:rPr>
          <w:noProof/>
          <w:color w:val="000000"/>
          <w:sz w:val="28"/>
        </w:rPr>
        <w:t xml:space="preserve"> 6 </w:t>
      </w:r>
      <w:r w:rsidRPr="006C1EF0">
        <w:rPr>
          <w:color w:val="000000"/>
          <w:sz w:val="28"/>
        </w:rPr>
        <w:t>каждой из них.</w:t>
      </w:r>
    </w:p>
    <w:p w:rsidR="005879A4" w:rsidRPr="006C1EF0" w:rsidRDefault="005879A4" w:rsidP="00446EE5">
      <w:pPr>
        <w:spacing w:line="360" w:lineRule="auto"/>
        <w:ind w:firstLine="709"/>
        <w:jc w:val="both"/>
        <w:rPr>
          <w:color w:val="FFFFFF"/>
          <w:sz w:val="28"/>
        </w:rPr>
      </w:pPr>
      <w:bookmarkStart w:id="0" w:name="_GoBack"/>
      <w:bookmarkEnd w:id="0"/>
    </w:p>
    <w:sectPr w:rsidR="005879A4" w:rsidRPr="006C1EF0" w:rsidSect="00446EE5">
      <w:headerReference w:type="default" r:id="rId6"/>
      <w:headerReference w:type="first" r:id="rId7"/>
      <w:pgSz w:w="11907" w:h="16840" w:code="9"/>
      <w:pgMar w:top="1134" w:right="850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EF0" w:rsidRDefault="006C1EF0" w:rsidP="00446EE5">
      <w:r>
        <w:separator/>
      </w:r>
    </w:p>
  </w:endnote>
  <w:endnote w:type="continuationSeparator" w:id="0">
    <w:p w:rsidR="006C1EF0" w:rsidRDefault="006C1EF0" w:rsidP="0044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EF0" w:rsidRDefault="006C1EF0" w:rsidP="00446EE5">
      <w:r>
        <w:separator/>
      </w:r>
    </w:p>
  </w:footnote>
  <w:footnote w:type="continuationSeparator" w:id="0">
    <w:p w:rsidR="006C1EF0" w:rsidRDefault="006C1EF0" w:rsidP="00446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EE5" w:rsidRPr="00446EE5" w:rsidRDefault="00446EE5" w:rsidP="00446EE5">
    <w:pPr>
      <w:pStyle w:val="a3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EE5" w:rsidRPr="00446EE5" w:rsidRDefault="00446EE5" w:rsidP="00446EE5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71C"/>
    <w:rsid w:val="000265D6"/>
    <w:rsid w:val="003B0F37"/>
    <w:rsid w:val="00446EE5"/>
    <w:rsid w:val="005879A4"/>
    <w:rsid w:val="006624B6"/>
    <w:rsid w:val="006C1EF0"/>
    <w:rsid w:val="00717590"/>
    <w:rsid w:val="009C571C"/>
    <w:rsid w:val="00A052A9"/>
    <w:rsid w:val="00C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4F240F-15C7-42FF-A507-82D650F4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6E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EE5"/>
    <w:rPr>
      <w:rFonts w:cs="Times New Roman"/>
    </w:rPr>
  </w:style>
  <w:style w:type="paragraph" w:styleId="a5">
    <w:name w:val="footer"/>
    <w:basedOn w:val="a"/>
    <w:link w:val="a6"/>
    <w:uiPriority w:val="99"/>
    <w:rsid w:val="00446E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46EE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3177</Words>
  <Characters>18111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Единая тарифная сетка : перспективы применения</vt:lpstr>
    </vt:vector>
  </TitlesOfParts>
  <Company>Elcom Ltd</Company>
  <LinksUpToDate>false</LinksUpToDate>
  <CharactersWithSpaces>21246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Единая тарифная сетка : перспективы применения</dc:title>
  <dc:subject/>
  <dc:creator>Alexandre Katalov</dc:creator>
  <cp:keywords/>
  <dc:description/>
  <cp:lastModifiedBy>admin</cp:lastModifiedBy>
  <cp:revision>2</cp:revision>
  <dcterms:created xsi:type="dcterms:W3CDTF">2014-03-26T02:37:00Z</dcterms:created>
  <dcterms:modified xsi:type="dcterms:W3CDTF">2014-03-26T02:37:00Z</dcterms:modified>
</cp:coreProperties>
</file>