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872D5" w:rsidRDefault="00525DF7">
      <w:pPr>
        <w:pStyle w:val="a6"/>
      </w:pPr>
      <w:r>
        <w:t>Экология Нижнего Новгорода</w:t>
      </w:r>
    </w:p>
    <w:p w:rsidR="007872D5" w:rsidRDefault="007872D5">
      <w:pPr>
        <w:widowControl/>
        <w:spacing w:line="240" w:lineRule="auto"/>
        <w:ind w:firstLine="567"/>
        <w:rPr>
          <w:sz w:val="24"/>
          <w:szCs w:val="24"/>
        </w:rPr>
      </w:pPr>
    </w:p>
    <w:p w:rsidR="007872D5" w:rsidRDefault="00525DF7">
      <w:pPr>
        <w:pStyle w:val="2"/>
      </w:pPr>
      <w:r>
        <w:t>Нижний Новгород сложился на границе Приволжской возвышенности и Балахнинской низины, что обусловило деление города на две части: Нагорную, представляющую собой застроенную территорию коренного плато, и Заречную, где освоены участки террас Волги и Оки. Особенностью планировочной структуры Нагорной части является исторически сложившаяся тенденция расположения застройки разного типа на повышенных участках межовражных плато, а также освоение оврагов путем засыпки, планировки и укрепления их откосов.</w:t>
      </w:r>
    </w:p>
    <w:p w:rsidR="007872D5" w:rsidRDefault="00525DF7">
      <w:pPr>
        <w:widowControl/>
        <w:spacing w:line="240" w:lineRule="auto"/>
        <w:ind w:firstLine="567"/>
        <w:rPr>
          <w:sz w:val="24"/>
          <w:szCs w:val="24"/>
        </w:rPr>
      </w:pPr>
      <w:r>
        <w:rPr>
          <w:sz w:val="24"/>
          <w:szCs w:val="24"/>
        </w:rPr>
        <w:t>Заречная часть Н.Новгорода, развитие которой связано с преобразованием террасы Волги и Оки, характеризуется высоким уровнем стояния грунтовых вод и широким распространением заболоченных территорий. Открытые пространства Заречья представлены массивами естественных лесов, небольшими площадями садов и парков, а также неосвоенными участками поймы.</w:t>
      </w:r>
    </w:p>
    <w:p w:rsidR="007872D5" w:rsidRDefault="00525DF7">
      <w:pPr>
        <w:widowControl/>
        <w:spacing w:line="240" w:lineRule="auto"/>
        <w:ind w:firstLine="567"/>
        <w:rPr>
          <w:sz w:val="24"/>
          <w:szCs w:val="24"/>
        </w:rPr>
      </w:pPr>
      <w:r>
        <w:rPr>
          <w:sz w:val="24"/>
          <w:szCs w:val="24"/>
        </w:rPr>
        <w:t>В процессе роста и территориального развития города, когда одновременно с крупными промышленными предприятиями строились отдельные жилые районы, планировочная структура города приобрела чересполосный раздробленный характер. Наряду с крупными населенными районами город окружали небольшие изолированные поселки, которые по мере роста города превращались в окраинные территории и включались в состав городской застройки. Исторически жилье строили рядом с промышленными объектами, которые, как правило, размещались без учета розы ветров.</w:t>
      </w:r>
    </w:p>
    <w:p w:rsidR="007872D5" w:rsidRDefault="00525DF7">
      <w:pPr>
        <w:widowControl/>
        <w:spacing w:line="240" w:lineRule="auto"/>
        <w:ind w:firstLine="567"/>
        <w:rPr>
          <w:sz w:val="24"/>
          <w:szCs w:val="24"/>
        </w:rPr>
      </w:pPr>
      <w:r>
        <w:rPr>
          <w:sz w:val="24"/>
          <w:szCs w:val="24"/>
        </w:rPr>
        <w:t>Особенностью физико-географических условий Нижнего Новгорода является его расположение в центральной части области у слияния двух крупнейших рек Восточно-европейской равнины - Волги и Оки. Абсолютные отметки нагорной части колеблются от 100 до 200 м, Заречной части - 70-80 м над уровнем моря. Орография города создает особенности климатических характеристик, в частности, более частую повторяемость штилей в Заречной части (17%) по сравнению с Нагорной (12%), различие в режимах температуры, влажности, облачности и осадков.</w:t>
      </w:r>
    </w:p>
    <w:p w:rsidR="007872D5" w:rsidRDefault="00525DF7">
      <w:pPr>
        <w:widowControl/>
        <w:spacing w:line="240" w:lineRule="auto"/>
        <w:ind w:firstLine="567"/>
        <w:rPr>
          <w:sz w:val="24"/>
          <w:szCs w:val="24"/>
        </w:rPr>
      </w:pPr>
      <w:r>
        <w:rPr>
          <w:sz w:val="24"/>
          <w:szCs w:val="24"/>
        </w:rPr>
        <w:t>Территория достаточно обеспечена водными ресурсами. Наличие двух крупных водотоков - Волги и</w:t>
      </w:r>
      <w:r>
        <w:rPr>
          <w:b/>
          <w:bCs/>
          <w:sz w:val="24"/>
          <w:szCs w:val="24"/>
        </w:rPr>
        <w:t xml:space="preserve"> </w:t>
      </w:r>
      <w:r>
        <w:rPr>
          <w:sz w:val="24"/>
          <w:szCs w:val="24"/>
        </w:rPr>
        <w:t>Оки, двух водохранилищ - Горьковского и Чебоксарского обусловливают высокий гидрологический потенциал региона. Множество малых рек и озер также позволяют полностью удовлетворить потребности в воде.</w:t>
      </w:r>
    </w:p>
    <w:p w:rsidR="007872D5" w:rsidRDefault="00525DF7">
      <w:pPr>
        <w:widowControl/>
        <w:spacing w:line="240" w:lineRule="auto"/>
        <w:ind w:firstLine="567"/>
        <w:rPr>
          <w:sz w:val="24"/>
          <w:szCs w:val="24"/>
        </w:rPr>
      </w:pPr>
      <w:r>
        <w:rPr>
          <w:sz w:val="24"/>
          <w:szCs w:val="24"/>
        </w:rPr>
        <w:t>Однако, естественный режим основной части водного бассейна нарушен, зарегулированность стока двумя гидроузлами, поступление загрязненных сточных вод снижают характеристики гидропотенциала территории. Часть водной массы загрязнена в предельной степени, когда естественные процессы самоочищения уже не способны справиться с переработкой вредных веществ.</w:t>
      </w:r>
    </w:p>
    <w:p w:rsidR="007872D5" w:rsidRDefault="00525DF7">
      <w:pPr>
        <w:widowControl/>
        <w:spacing w:line="240" w:lineRule="auto"/>
        <w:ind w:firstLine="567"/>
        <w:rPr>
          <w:sz w:val="24"/>
          <w:szCs w:val="24"/>
        </w:rPr>
      </w:pPr>
      <w:r>
        <w:rPr>
          <w:sz w:val="24"/>
          <w:szCs w:val="24"/>
        </w:rPr>
        <w:t>Современная экологическая ситуация в районе Нижнего Новгорода в целом типична и сходна с экологическими условиями большинства промышленных центров.</w:t>
      </w:r>
    </w:p>
    <w:p w:rsidR="007872D5" w:rsidRDefault="00525DF7">
      <w:pPr>
        <w:widowControl/>
        <w:spacing w:line="240" w:lineRule="auto"/>
        <w:ind w:firstLine="567"/>
        <w:rPr>
          <w:sz w:val="24"/>
          <w:szCs w:val="24"/>
        </w:rPr>
      </w:pPr>
      <w:r>
        <w:rPr>
          <w:sz w:val="24"/>
          <w:szCs w:val="24"/>
        </w:rPr>
        <w:t>Сложность экологических параметров окружающей среды района Нижнего Новгорода обусловлена тем, что он как бы "зажат" со всех сторон городами - промышленными центрами с очень высокими объемами выбрасываемых загрязнений.</w:t>
      </w:r>
    </w:p>
    <w:p w:rsidR="007872D5" w:rsidRDefault="00525DF7">
      <w:pPr>
        <w:widowControl/>
        <w:spacing w:line="240" w:lineRule="auto"/>
        <w:ind w:firstLine="567"/>
        <w:rPr>
          <w:sz w:val="24"/>
          <w:szCs w:val="24"/>
        </w:rPr>
      </w:pPr>
      <w:r>
        <w:rPr>
          <w:sz w:val="24"/>
          <w:szCs w:val="24"/>
        </w:rPr>
        <w:t>С запада на Нижний Новгород поступают загрязнения как воздушным путем, так и водными потоками от города и промышленных предприятий Дзержинска. Выбросы в атмосферу химическими предприятиями свыше 50 наименований ингредиентов, поступление сточных вод, содержащих сложнейший комплекс органических и минеральных вредных веществ при ведущем западном переносе воздушных масс и стоке</w:t>
      </w:r>
      <w:r>
        <w:rPr>
          <w:b/>
          <w:bCs/>
          <w:sz w:val="24"/>
          <w:szCs w:val="24"/>
        </w:rPr>
        <w:t xml:space="preserve"> </w:t>
      </w:r>
      <w:r>
        <w:rPr>
          <w:sz w:val="24"/>
          <w:szCs w:val="24"/>
        </w:rPr>
        <w:t>Оки в Волгу обусловливают формирование острых проблемных ситуаций непосредственно для всего Нижнего Новгорода. С севера Нижний Новгород закрыт полем загрязнения г. Бора. Особенно сильное влияние предприятия г. Бора оказывают на северо-восточную часть Нижнего Новгорода.</w:t>
      </w:r>
    </w:p>
    <w:p w:rsidR="007872D5" w:rsidRDefault="00525DF7">
      <w:pPr>
        <w:widowControl/>
        <w:spacing w:line="240" w:lineRule="auto"/>
        <w:ind w:firstLine="567"/>
        <w:rPr>
          <w:sz w:val="24"/>
          <w:szCs w:val="24"/>
        </w:rPr>
      </w:pPr>
      <w:r>
        <w:rPr>
          <w:sz w:val="24"/>
          <w:szCs w:val="24"/>
        </w:rPr>
        <w:t>С севера в окружающую среду Нижнего Новгорода поступают загрязнения от города и промышленных предприятий г. Балахны, с юга на город воздействует нефтеперерабатывающий и нефтехимический комбинаты, ТЭЦ, другие предприятия г. Кстово.</w:t>
      </w:r>
    </w:p>
    <w:p w:rsidR="007872D5" w:rsidRDefault="00525DF7">
      <w:pPr>
        <w:widowControl/>
        <w:spacing w:line="240" w:lineRule="auto"/>
        <w:ind w:firstLine="567"/>
        <w:rPr>
          <w:sz w:val="24"/>
          <w:szCs w:val="24"/>
        </w:rPr>
      </w:pPr>
      <w:r>
        <w:rPr>
          <w:sz w:val="24"/>
          <w:szCs w:val="24"/>
        </w:rPr>
        <w:t>Все это, несмотря на высокий природно-экологический потенциал территории Нижнего Новгорода, оказывают все возрастающее негативное воздействие на окружающую среду города.</w:t>
      </w:r>
    </w:p>
    <w:p w:rsidR="007872D5" w:rsidRDefault="00525DF7">
      <w:pPr>
        <w:widowControl/>
        <w:spacing w:line="240" w:lineRule="auto"/>
        <w:ind w:firstLine="567"/>
        <w:rPr>
          <w:sz w:val="24"/>
          <w:szCs w:val="24"/>
        </w:rPr>
      </w:pPr>
      <w:r>
        <w:rPr>
          <w:sz w:val="24"/>
          <w:szCs w:val="24"/>
        </w:rPr>
        <w:t>Площадь города в современных границах - 36 925 га. Численность населения Нижнего Новгорода на 1 января 1995 г. составляла 1,4 млн. человек.</w:t>
      </w:r>
    </w:p>
    <w:p w:rsidR="007872D5" w:rsidRDefault="007872D5">
      <w:pPr>
        <w:widowControl/>
        <w:spacing w:line="240" w:lineRule="auto"/>
        <w:ind w:firstLine="567"/>
        <w:rPr>
          <w:sz w:val="24"/>
          <w:szCs w:val="24"/>
        </w:rPr>
      </w:pPr>
    </w:p>
    <w:p w:rsidR="007872D5" w:rsidRDefault="00525DF7">
      <w:pPr>
        <w:widowControl/>
        <w:spacing w:line="240" w:lineRule="auto"/>
        <w:ind w:firstLine="567"/>
        <w:rPr>
          <w:sz w:val="24"/>
          <w:szCs w:val="24"/>
        </w:rPr>
      </w:pPr>
      <w:r>
        <w:rPr>
          <w:sz w:val="24"/>
          <w:szCs w:val="24"/>
        </w:rPr>
        <w:t>2. Загрязнение атмосферного воздуха города</w:t>
      </w:r>
    </w:p>
    <w:p w:rsidR="007872D5" w:rsidRDefault="00525DF7">
      <w:pPr>
        <w:widowControl/>
        <w:spacing w:line="240" w:lineRule="auto"/>
        <w:ind w:firstLine="567"/>
        <w:rPr>
          <w:sz w:val="24"/>
          <w:szCs w:val="24"/>
        </w:rPr>
      </w:pPr>
      <w:r>
        <w:rPr>
          <w:sz w:val="24"/>
          <w:szCs w:val="24"/>
        </w:rPr>
        <w:t>2.1. Воздействие стационарных источников</w:t>
      </w:r>
    </w:p>
    <w:p w:rsidR="007872D5" w:rsidRDefault="00525DF7">
      <w:pPr>
        <w:widowControl/>
        <w:spacing w:line="240" w:lineRule="auto"/>
        <w:ind w:firstLine="567"/>
        <w:rPr>
          <w:sz w:val="24"/>
          <w:szCs w:val="24"/>
        </w:rPr>
      </w:pPr>
      <w:r>
        <w:rPr>
          <w:sz w:val="24"/>
          <w:szCs w:val="24"/>
        </w:rPr>
        <w:t>В минувшем 1995 г. по данным ЦНС в Нижнем Новгороде не регистрировались случаи высокого уровня загрязнения атмосферного воздуха, однако, незначительные превышения М.Р. (максимально-разовых) концентраций отмечались регулярно в течение всего года. В районах транспортных магистралей ул. Веденяпина, Куйбышева, Рябцева, Родионова отмечались повышенные концентрации - до 4,5 ПДК, среднемесячные концентрации бензапирена в районах постов на ул. Куйбышева и Веденяпина достигали 1,2...1,3 ПДК.</w:t>
      </w:r>
    </w:p>
    <w:p w:rsidR="007872D5" w:rsidRDefault="00525DF7">
      <w:pPr>
        <w:widowControl/>
        <w:spacing w:line="240" w:lineRule="auto"/>
        <w:ind w:firstLine="567"/>
        <w:rPr>
          <w:sz w:val="24"/>
          <w:szCs w:val="24"/>
        </w:rPr>
      </w:pPr>
      <w:r>
        <w:rPr>
          <w:sz w:val="24"/>
          <w:szCs w:val="24"/>
        </w:rPr>
        <w:t>Отмечалось повышение М.Р. концентрации специфических веществ, содержащихся в выбросах промышленных предприятий: циклогексонон, этилбензол - до 2</w:t>
      </w:r>
      <w:r>
        <w:rPr>
          <w:b/>
          <w:bCs/>
          <w:sz w:val="24"/>
          <w:szCs w:val="24"/>
        </w:rPr>
        <w:t xml:space="preserve"> </w:t>
      </w:r>
      <w:r>
        <w:rPr>
          <w:sz w:val="24"/>
          <w:szCs w:val="24"/>
        </w:rPr>
        <w:t>ПДК на ул. Коминтерна, ул. Веденяпина; хром - до 2,5 ПДК на ул. Куйбышева, до 4,5 ПДК - в районе завода Керамик; фенол - до 3,5</w:t>
      </w:r>
      <w:r>
        <w:rPr>
          <w:b/>
          <w:bCs/>
          <w:sz w:val="24"/>
          <w:szCs w:val="24"/>
        </w:rPr>
        <w:t xml:space="preserve"> </w:t>
      </w:r>
      <w:r>
        <w:rPr>
          <w:sz w:val="24"/>
          <w:szCs w:val="24"/>
        </w:rPr>
        <w:t>ПДК на ул. Веденяпина.</w:t>
      </w:r>
    </w:p>
    <w:p w:rsidR="007872D5" w:rsidRDefault="00525DF7">
      <w:pPr>
        <w:widowControl/>
        <w:spacing w:line="240" w:lineRule="auto"/>
        <w:ind w:firstLine="567"/>
        <w:rPr>
          <w:sz w:val="24"/>
          <w:szCs w:val="24"/>
        </w:rPr>
      </w:pPr>
      <w:r>
        <w:rPr>
          <w:sz w:val="24"/>
          <w:szCs w:val="24"/>
        </w:rPr>
        <w:t>Все превышения фиксировались в основном в Заречной части города. По остальным контролируемым ингредиентам превышений не отмечалось.</w:t>
      </w:r>
    </w:p>
    <w:p w:rsidR="007872D5" w:rsidRDefault="00525DF7">
      <w:pPr>
        <w:widowControl/>
        <w:spacing w:line="240" w:lineRule="auto"/>
        <w:ind w:firstLine="567"/>
        <w:rPr>
          <w:sz w:val="24"/>
          <w:szCs w:val="24"/>
        </w:rPr>
      </w:pPr>
      <w:r>
        <w:rPr>
          <w:sz w:val="24"/>
          <w:szCs w:val="24"/>
        </w:rPr>
        <w:t>Год 1995 ознаменовался дальнейшим, хотя и не таким значительным как в 1993 - 94 годах, спадом промышленного производства и, как следствие, сокращением выбросов в атмосферу целого ряда загрязняющих веществ: пыли, углеводородов, тяжелых металлов, сернистого ангидрида. Распределение выбросов по административным районам - в таблице 1.1.</w:t>
      </w:r>
    </w:p>
    <w:p w:rsidR="007872D5" w:rsidRDefault="00525DF7">
      <w:pPr>
        <w:widowControl/>
        <w:spacing w:line="240" w:lineRule="auto"/>
        <w:ind w:firstLine="567"/>
        <w:rPr>
          <w:sz w:val="24"/>
          <w:szCs w:val="24"/>
        </w:rPr>
      </w:pPr>
      <w:r>
        <w:rPr>
          <w:sz w:val="24"/>
          <w:szCs w:val="24"/>
        </w:rPr>
        <w:t>Снижение выбросов сернистого ангидрида произошло благодаря энергетикам, сумевшим снизить долю мазута в топливном балансе</w:t>
      </w:r>
      <w:r>
        <w:rPr>
          <w:b/>
          <w:bCs/>
          <w:sz w:val="24"/>
          <w:szCs w:val="24"/>
        </w:rPr>
        <w:t xml:space="preserve"> </w:t>
      </w:r>
      <w:r>
        <w:rPr>
          <w:sz w:val="24"/>
          <w:szCs w:val="24"/>
        </w:rPr>
        <w:t>ТЭЦ. Следует сказать, что объекты энергетики - основные вкладчики в загрязнение атмосферы в нашем городе. На их долю приходится более 60% промышленных выбросов. Поэтому качество используемого топлива заметно влияет на состояние воздуха. Так, в декабре - январе в связи с установившейся низкой температурой наружного воздуха многие промышленные предприятия вынуждены были перевести свои производственные и коммунальные котельные на сжигание резервного топлива - мазута. В результате концентрации диоксида серы заметно возросли практически во всех районах города.</w:t>
      </w:r>
    </w:p>
    <w:p w:rsidR="007872D5" w:rsidRDefault="00525DF7">
      <w:pPr>
        <w:widowControl/>
        <w:spacing w:line="240" w:lineRule="auto"/>
        <w:ind w:firstLine="567"/>
        <w:rPr>
          <w:sz w:val="24"/>
          <w:szCs w:val="24"/>
        </w:rPr>
      </w:pPr>
      <w:r>
        <w:rPr>
          <w:sz w:val="24"/>
          <w:szCs w:val="24"/>
        </w:rPr>
        <w:t>Далеко не все благополучно с охраной атмосферного воздуха на промышленных предприятиях.</w:t>
      </w:r>
    </w:p>
    <w:p w:rsidR="007872D5" w:rsidRDefault="00525DF7">
      <w:pPr>
        <w:widowControl/>
        <w:spacing w:line="240" w:lineRule="auto"/>
        <w:ind w:firstLine="567"/>
        <w:rPr>
          <w:sz w:val="24"/>
          <w:szCs w:val="24"/>
        </w:rPr>
      </w:pPr>
      <w:r>
        <w:rPr>
          <w:sz w:val="24"/>
          <w:szCs w:val="24"/>
        </w:rPr>
        <w:t>Инспекторами отдела контроля за состоянием атмосферного воздуха за минувший год проведены проверки на 64 предприятиях города, в том числе, на Машиностроительном заводе, ЗЕФСе, "РУМО", проверены отдельные производства ГАЗа,</w:t>
      </w:r>
    </w:p>
    <w:p w:rsidR="007872D5" w:rsidRDefault="00525DF7">
      <w:pPr>
        <w:widowControl/>
        <w:spacing w:line="240" w:lineRule="auto"/>
        <w:ind w:firstLine="567"/>
        <w:rPr>
          <w:sz w:val="24"/>
          <w:szCs w:val="24"/>
        </w:rPr>
      </w:pPr>
      <w:r>
        <w:rPr>
          <w:sz w:val="24"/>
          <w:szCs w:val="24"/>
        </w:rPr>
        <w:t>На многих предприятиях выявлены факты нарушения природоохранного законодательства: превышение установленных нормативов</w:t>
      </w:r>
      <w:r>
        <w:rPr>
          <w:b/>
          <w:bCs/>
          <w:sz w:val="24"/>
          <w:szCs w:val="24"/>
        </w:rPr>
        <w:t xml:space="preserve"> </w:t>
      </w:r>
      <w:r>
        <w:rPr>
          <w:sz w:val="24"/>
          <w:szCs w:val="24"/>
        </w:rPr>
        <w:t>выбросов, нарушение "Правила эксплуатации установок очистки газа", невыполнение плановых мероприятий по сокращению вредных выбросов.</w:t>
      </w:r>
    </w:p>
    <w:p w:rsidR="007872D5" w:rsidRDefault="00525DF7">
      <w:pPr>
        <w:widowControl/>
        <w:spacing w:line="240" w:lineRule="auto"/>
        <w:ind w:firstLine="567"/>
        <w:rPr>
          <w:sz w:val="24"/>
          <w:szCs w:val="24"/>
        </w:rPr>
      </w:pPr>
      <w:r>
        <w:rPr>
          <w:sz w:val="24"/>
          <w:szCs w:val="24"/>
        </w:rPr>
        <w:t>По данным инспекции Нижегородгоркомприроды выявлены превышения установленных нормативов на 110 источниках 16 предприятий. В эксплуатации в 1995 г. находилось 77 неисправных установок очистки газов, 17 установок работали неэффективно. На 26 предприятиях не выполнены запланированные мероприятия по сокращению вредных выбросов в атмосферу.</w:t>
      </w:r>
    </w:p>
    <w:p w:rsidR="007872D5" w:rsidRDefault="00525DF7">
      <w:pPr>
        <w:widowControl/>
        <w:spacing w:line="240" w:lineRule="auto"/>
        <w:ind w:firstLine="567"/>
        <w:rPr>
          <w:sz w:val="24"/>
          <w:szCs w:val="24"/>
        </w:rPr>
      </w:pPr>
      <w:r>
        <w:rPr>
          <w:sz w:val="24"/>
          <w:szCs w:val="24"/>
        </w:rPr>
        <w:t>Штрафные санкции к предприятиям и должностным лицам не всегда помогают исправить сложившееся положение,</w:t>
      </w:r>
    </w:p>
    <w:p w:rsidR="007872D5" w:rsidRDefault="00525DF7">
      <w:pPr>
        <w:widowControl/>
        <w:spacing w:line="240" w:lineRule="auto"/>
        <w:ind w:firstLine="567"/>
        <w:rPr>
          <w:sz w:val="24"/>
          <w:szCs w:val="24"/>
        </w:rPr>
      </w:pPr>
      <w:r>
        <w:rPr>
          <w:sz w:val="24"/>
          <w:szCs w:val="24"/>
        </w:rPr>
        <w:t>Плановые мероприятия зачастую направлены на повышение эффективности существующих газоочистных установок, что весьма проблематично, или на их замену аппаратами того же класса с несколько большей эффективностью и не затрагивают технологические процессы - источники выделения загрязняющих веществ. Экологические проблемы целесообразно решать одновременно с осуществлением технического перевооружения и реконструкции производств на основе внедрения безотходных и малоотходных технологических процессов.</w:t>
      </w:r>
    </w:p>
    <w:p w:rsidR="007872D5" w:rsidRDefault="00525DF7">
      <w:pPr>
        <w:widowControl/>
        <w:spacing w:line="240" w:lineRule="auto"/>
        <w:ind w:firstLine="567"/>
        <w:rPr>
          <w:sz w:val="24"/>
          <w:szCs w:val="24"/>
        </w:rPr>
      </w:pPr>
      <w:r>
        <w:rPr>
          <w:sz w:val="24"/>
          <w:szCs w:val="24"/>
        </w:rPr>
        <w:t>Экологические рычаги, призванные стимулировать рациональное природопользование, в настоящее время малоэффективны. Стоимости технологического и газоочистного оборудования не сопоставимы с размерами платежей за загрязнение атмосферного воздуха.</w:t>
      </w:r>
    </w:p>
    <w:p w:rsidR="007872D5" w:rsidRDefault="00525DF7">
      <w:pPr>
        <w:widowControl/>
        <w:spacing w:line="240" w:lineRule="auto"/>
        <w:ind w:firstLine="567"/>
        <w:rPr>
          <w:sz w:val="24"/>
          <w:szCs w:val="24"/>
        </w:rPr>
      </w:pPr>
      <w:r>
        <w:rPr>
          <w:sz w:val="24"/>
          <w:szCs w:val="24"/>
        </w:rPr>
        <w:t>Найдено принципиальное технологическое решение, позволяющее остановить печи обжига извести на заводе стеновых материалов №3. Экологический эффект - сокращение более, чем на 400 тонн в год вредных выбросов в атмосферу в центре густо населенного района. Реализовать его не позволяет отсутствие средств у предприятия.</w:t>
      </w:r>
    </w:p>
    <w:p w:rsidR="007872D5" w:rsidRDefault="00525DF7">
      <w:pPr>
        <w:widowControl/>
        <w:spacing w:line="240" w:lineRule="auto"/>
        <w:ind w:firstLine="567"/>
        <w:rPr>
          <w:sz w:val="24"/>
          <w:szCs w:val="24"/>
        </w:rPr>
      </w:pPr>
      <w:r>
        <w:rPr>
          <w:sz w:val="24"/>
          <w:szCs w:val="24"/>
        </w:rPr>
        <w:t>Отсутствие средств не позволяет нормальными темпами вести работы по строительству газопровода к Автозаводской</w:t>
      </w:r>
      <w:r>
        <w:rPr>
          <w:b/>
          <w:bCs/>
          <w:sz w:val="24"/>
          <w:szCs w:val="24"/>
        </w:rPr>
        <w:t xml:space="preserve"> </w:t>
      </w:r>
      <w:r>
        <w:rPr>
          <w:sz w:val="24"/>
          <w:szCs w:val="24"/>
        </w:rPr>
        <w:t>ТЭЦ.</w:t>
      </w:r>
    </w:p>
    <w:p w:rsidR="007872D5" w:rsidRDefault="00525DF7">
      <w:pPr>
        <w:widowControl/>
        <w:spacing w:line="240" w:lineRule="auto"/>
        <w:ind w:firstLine="567"/>
        <w:rPr>
          <w:sz w:val="24"/>
          <w:szCs w:val="24"/>
        </w:rPr>
      </w:pPr>
      <w:r>
        <w:rPr>
          <w:sz w:val="24"/>
          <w:szCs w:val="24"/>
        </w:rPr>
        <w:t>РАО "Газпром" не подтвердил выделение лимитов на газ для полного перевода Сормовской</w:t>
      </w:r>
      <w:r>
        <w:rPr>
          <w:b/>
          <w:bCs/>
          <w:sz w:val="24"/>
          <w:szCs w:val="24"/>
        </w:rPr>
        <w:t xml:space="preserve"> </w:t>
      </w:r>
      <w:r>
        <w:rPr>
          <w:sz w:val="24"/>
          <w:szCs w:val="24"/>
        </w:rPr>
        <w:t>ТЭЦ на сжигание природного газа. Это решение лишает ТЭЦ перспективы наращивания мощности по выработки тепловой энергии на бытовые и промышленные нужды Сормовского, Московского и Канавинского районов.</w:t>
      </w:r>
    </w:p>
    <w:p w:rsidR="007872D5" w:rsidRDefault="00525DF7">
      <w:pPr>
        <w:widowControl/>
        <w:spacing w:line="240" w:lineRule="auto"/>
        <w:ind w:firstLine="567"/>
        <w:rPr>
          <w:sz w:val="24"/>
          <w:szCs w:val="24"/>
        </w:rPr>
      </w:pPr>
      <w:r>
        <w:rPr>
          <w:sz w:val="24"/>
          <w:szCs w:val="24"/>
        </w:rPr>
        <w:t>Неритмичная работа предприятий, дальнейший износ технологического оборудования и отсутствие средств на его замену, потеря квалифицированных кадров и падение культуры производства - вот факторы, которые в ближайшие годы будут влиять на экологическую ситуацию в Нижнем Новгороде.</w:t>
      </w:r>
    </w:p>
    <w:p w:rsidR="007872D5" w:rsidRDefault="00525DF7">
      <w:pPr>
        <w:widowControl/>
        <w:spacing w:line="240" w:lineRule="auto"/>
        <w:ind w:firstLine="567"/>
        <w:rPr>
          <w:sz w:val="24"/>
          <w:szCs w:val="24"/>
        </w:rPr>
      </w:pPr>
      <w:r>
        <w:rPr>
          <w:sz w:val="24"/>
          <w:szCs w:val="24"/>
        </w:rPr>
        <w:t xml:space="preserve">Таблица 1.1. </w:t>
      </w:r>
    </w:p>
    <w:p w:rsidR="007872D5" w:rsidRDefault="00525DF7">
      <w:pPr>
        <w:widowControl/>
        <w:spacing w:line="240" w:lineRule="auto"/>
        <w:ind w:firstLine="0"/>
        <w:rPr>
          <w:b/>
          <w:bCs/>
          <w:sz w:val="24"/>
          <w:szCs w:val="24"/>
        </w:rPr>
      </w:pPr>
      <w:r>
        <w:rPr>
          <w:b/>
          <w:bCs/>
          <w:sz w:val="24"/>
          <w:szCs w:val="24"/>
        </w:rPr>
        <w:t>Выбросы загрязняющих веществ по административным районам города</w:t>
      </w:r>
    </w:p>
    <w:tbl>
      <w:tblPr>
        <w:tblW w:w="0" w:type="auto"/>
        <w:tblInd w:w="-8" w:type="dxa"/>
        <w:tblLayout w:type="fixed"/>
        <w:tblCellMar>
          <w:left w:w="40" w:type="dxa"/>
          <w:right w:w="40" w:type="dxa"/>
        </w:tblCellMar>
        <w:tblLook w:val="0000" w:firstRow="0" w:lastRow="0" w:firstColumn="0" w:lastColumn="0" w:noHBand="0" w:noVBand="0"/>
      </w:tblPr>
      <w:tblGrid>
        <w:gridCol w:w="3340"/>
        <w:gridCol w:w="3320"/>
        <w:gridCol w:w="3180"/>
      </w:tblGrid>
      <w:tr w:rsidR="007872D5">
        <w:trPr>
          <w:cantSplit/>
          <w:trHeight w:hRule="exact" w:val="400"/>
        </w:trPr>
        <w:tc>
          <w:tcPr>
            <w:tcW w:w="3340" w:type="dxa"/>
            <w:vMerge w:val="restart"/>
            <w:tcBorders>
              <w:top w:val="single" w:sz="6" w:space="0" w:color="auto"/>
              <w:left w:val="single" w:sz="6" w:space="0" w:color="auto"/>
              <w:bottom w:val="nil"/>
              <w:right w:val="single" w:sz="6" w:space="0" w:color="auto"/>
            </w:tcBorders>
          </w:tcPr>
          <w:p w:rsidR="007872D5" w:rsidRDefault="00525DF7">
            <w:pPr>
              <w:widowControl/>
              <w:spacing w:line="240" w:lineRule="auto"/>
              <w:ind w:firstLine="0"/>
              <w:rPr>
                <w:sz w:val="24"/>
                <w:szCs w:val="24"/>
              </w:rPr>
            </w:pPr>
            <w:r>
              <w:rPr>
                <w:b/>
                <w:bCs/>
                <w:sz w:val="24"/>
                <w:szCs w:val="24"/>
              </w:rPr>
              <w:t>Районы города</w:t>
            </w:r>
          </w:p>
        </w:tc>
        <w:tc>
          <w:tcPr>
            <w:tcW w:w="6500" w:type="dxa"/>
            <w:gridSpan w:val="2"/>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Выбросы в атмосферу</w:t>
            </w:r>
          </w:p>
        </w:tc>
      </w:tr>
      <w:tr w:rsidR="007872D5">
        <w:trPr>
          <w:cantSplit/>
          <w:trHeight w:hRule="exact" w:val="488"/>
        </w:trPr>
        <w:tc>
          <w:tcPr>
            <w:tcW w:w="3340" w:type="dxa"/>
            <w:vMerge/>
            <w:tcBorders>
              <w:top w:val="nil"/>
              <w:left w:val="single" w:sz="6" w:space="0" w:color="auto"/>
              <w:bottom w:val="single" w:sz="6" w:space="0" w:color="auto"/>
              <w:right w:val="single" w:sz="6" w:space="0" w:color="auto"/>
            </w:tcBorders>
          </w:tcPr>
          <w:p w:rsidR="007872D5" w:rsidRDefault="007872D5">
            <w:pPr>
              <w:widowControl/>
              <w:spacing w:line="240" w:lineRule="auto"/>
              <w:ind w:firstLine="0"/>
              <w:rPr>
                <w:sz w:val="24"/>
                <w:szCs w:val="24"/>
              </w:rPr>
            </w:pPr>
          </w:p>
        </w:tc>
        <w:tc>
          <w:tcPr>
            <w:tcW w:w="332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тыс. т / год</w:t>
            </w:r>
          </w:p>
        </w:tc>
        <w:tc>
          <w:tcPr>
            <w:tcW w:w="3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 вклада в выбросы</w:t>
            </w:r>
          </w:p>
        </w:tc>
      </w:tr>
      <w:tr w:rsidR="007872D5">
        <w:trPr>
          <w:trHeight w:hRule="exact" w:val="480"/>
        </w:trPr>
        <w:tc>
          <w:tcPr>
            <w:tcW w:w="334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Автозаводский</w:t>
            </w:r>
          </w:p>
        </w:tc>
        <w:tc>
          <w:tcPr>
            <w:tcW w:w="332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37,11</w:t>
            </w:r>
          </w:p>
        </w:tc>
        <w:tc>
          <w:tcPr>
            <w:tcW w:w="3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49,8</w:t>
            </w:r>
          </w:p>
        </w:tc>
      </w:tr>
      <w:tr w:rsidR="007872D5">
        <w:trPr>
          <w:trHeight w:hRule="exact" w:val="360"/>
        </w:trPr>
        <w:tc>
          <w:tcPr>
            <w:tcW w:w="334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Канавинский</w:t>
            </w:r>
          </w:p>
        </w:tc>
        <w:tc>
          <w:tcPr>
            <w:tcW w:w="332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4,55</w:t>
            </w:r>
          </w:p>
        </w:tc>
        <w:tc>
          <w:tcPr>
            <w:tcW w:w="3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6,1</w:t>
            </w:r>
          </w:p>
        </w:tc>
      </w:tr>
      <w:tr w:rsidR="007872D5">
        <w:trPr>
          <w:trHeight w:hRule="exact" w:val="360"/>
        </w:trPr>
        <w:tc>
          <w:tcPr>
            <w:tcW w:w="334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Ленинский</w:t>
            </w:r>
          </w:p>
        </w:tc>
        <w:tc>
          <w:tcPr>
            <w:tcW w:w="332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2,58</w:t>
            </w:r>
          </w:p>
        </w:tc>
        <w:tc>
          <w:tcPr>
            <w:tcW w:w="3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3,5</w:t>
            </w:r>
          </w:p>
        </w:tc>
      </w:tr>
      <w:tr w:rsidR="007872D5">
        <w:trPr>
          <w:trHeight w:hRule="exact" w:val="380"/>
        </w:trPr>
        <w:tc>
          <w:tcPr>
            <w:tcW w:w="334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Московский</w:t>
            </w:r>
          </w:p>
        </w:tc>
        <w:tc>
          <w:tcPr>
            <w:tcW w:w="332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2,70</w:t>
            </w:r>
          </w:p>
        </w:tc>
        <w:tc>
          <w:tcPr>
            <w:tcW w:w="3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3,6</w:t>
            </w:r>
          </w:p>
        </w:tc>
      </w:tr>
      <w:tr w:rsidR="007872D5">
        <w:trPr>
          <w:trHeight w:hRule="exact" w:val="380"/>
        </w:trPr>
        <w:tc>
          <w:tcPr>
            <w:tcW w:w="334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Нижегородский</w:t>
            </w:r>
          </w:p>
        </w:tc>
        <w:tc>
          <w:tcPr>
            <w:tcW w:w="332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1,67</w:t>
            </w:r>
          </w:p>
        </w:tc>
        <w:tc>
          <w:tcPr>
            <w:tcW w:w="3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2,2</w:t>
            </w:r>
          </w:p>
        </w:tc>
      </w:tr>
      <w:tr w:rsidR="007872D5">
        <w:trPr>
          <w:trHeight w:hRule="exact" w:val="380"/>
        </w:trPr>
        <w:tc>
          <w:tcPr>
            <w:tcW w:w="334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Приокский</w:t>
            </w:r>
          </w:p>
        </w:tc>
        <w:tc>
          <w:tcPr>
            <w:tcW w:w="332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2,59</w:t>
            </w:r>
          </w:p>
        </w:tc>
        <w:tc>
          <w:tcPr>
            <w:tcW w:w="3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3,5</w:t>
            </w:r>
          </w:p>
        </w:tc>
      </w:tr>
      <w:tr w:rsidR="007872D5">
        <w:trPr>
          <w:trHeight w:hRule="exact" w:val="360"/>
        </w:trPr>
        <w:tc>
          <w:tcPr>
            <w:tcW w:w="334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Советский</w:t>
            </w:r>
          </w:p>
        </w:tc>
        <w:tc>
          <w:tcPr>
            <w:tcW w:w="332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1,38</w:t>
            </w:r>
          </w:p>
        </w:tc>
        <w:tc>
          <w:tcPr>
            <w:tcW w:w="3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1,9</w:t>
            </w:r>
          </w:p>
        </w:tc>
      </w:tr>
      <w:tr w:rsidR="007872D5">
        <w:trPr>
          <w:trHeight w:hRule="exact" w:val="360"/>
        </w:trPr>
        <w:tc>
          <w:tcPr>
            <w:tcW w:w="334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Сормовский</w:t>
            </w:r>
          </w:p>
        </w:tc>
        <w:tc>
          <w:tcPr>
            <w:tcW w:w="332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21,92</w:t>
            </w:r>
          </w:p>
        </w:tc>
        <w:tc>
          <w:tcPr>
            <w:tcW w:w="3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29,4</w:t>
            </w:r>
          </w:p>
        </w:tc>
      </w:tr>
      <w:tr w:rsidR="007872D5">
        <w:trPr>
          <w:trHeight w:hRule="exact" w:val="380"/>
        </w:trPr>
        <w:tc>
          <w:tcPr>
            <w:tcW w:w="334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Всего по городу</w:t>
            </w:r>
          </w:p>
        </w:tc>
        <w:tc>
          <w:tcPr>
            <w:tcW w:w="332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74,50</w:t>
            </w:r>
          </w:p>
        </w:tc>
        <w:tc>
          <w:tcPr>
            <w:tcW w:w="3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b/>
                <w:bCs/>
                <w:sz w:val="24"/>
                <w:szCs w:val="24"/>
              </w:rPr>
              <w:t>100</w:t>
            </w:r>
          </w:p>
        </w:tc>
      </w:tr>
    </w:tbl>
    <w:p w:rsidR="007872D5" w:rsidRDefault="007872D5">
      <w:pPr>
        <w:widowControl/>
        <w:spacing w:line="240" w:lineRule="auto"/>
        <w:ind w:firstLine="567"/>
        <w:rPr>
          <w:sz w:val="24"/>
          <w:szCs w:val="24"/>
        </w:rPr>
      </w:pPr>
    </w:p>
    <w:p w:rsidR="007872D5" w:rsidRDefault="00525DF7">
      <w:pPr>
        <w:widowControl/>
        <w:spacing w:line="240" w:lineRule="auto"/>
        <w:ind w:firstLine="567"/>
        <w:rPr>
          <w:b/>
          <w:bCs/>
          <w:sz w:val="24"/>
          <w:szCs w:val="24"/>
        </w:rPr>
      </w:pPr>
      <w:r>
        <w:rPr>
          <w:b/>
          <w:bCs/>
          <w:sz w:val="24"/>
          <w:szCs w:val="24"/>
        </w:rPr>
        <w:t>2.2. Загрязнение от транспортных источников.</w:t>
      </w:r>
    </w:p>
    <w:p w:rsidR="007872D5" w:rsidRDefault="007872D5">
      <w:pPr>
        <w:widowControl/>
        <w:spacing w:line="240" w:lineRule="auto"/>
        <w:ind w:firstLine="567"/>
        <w:rPr>
          <w:sz w:val="24"/>
          <w:szCs w:val="24"/>
        </w:rPr>
      </w:pPr>
    </w:p>
    <w:p w:rsidR="007872D5" w:rsidRDefault="00525DF7">
      <w:pPr>
        <w:widowControl/>
        <w:spacing w:line="240" w:lineRule="auto"/>
        <w:ind w:firstLine="567"/>
        <w:rPr>
          <w:sz w:val="24"/>
          <w:szCs w:val="24"/>
        </w:rPr>
      </w:pPr>
      <w:r>
        <w:rPr>
          <w:sz w:val="24"/>
          <w:szCs w:val="24"/>
        </w:rPr>
        <w:t>Транспорт продолжает оставаться одним из основных источников загрязнения атмосферного воздуха и вредных физических воздействий на окружающую природную среду города.</w:t>
      </w:r>
    </w:p>
    <w:p w:rsidR="007872D5" w:rsidRDefault="00525DF7">
      <w:pPr>
        <w:widowControl/>
        <w:spacing w:line="240" w:lineRule="auto"/>
        <w:ind w:firstLine="567"/>
        <w:rPr>
          <w:sz w:val="24"/>
          <w:szCs w:val="24"/>
        </w:rPr>
      </w:pPr>
      <w:r>
        <w:rPr>
          <w:sz w:val="24"/>
          <w:szCs w:val="24"/>
        </w:rPr>
        <w:t>На 01.01.96 г. общее количество транспортных средств</w:t>
      </w:r>
      <w:r>
        <w:rPr>
          <w:b/>
          <w:bCs/>
          <w:sz w:val="24"/>
          <w:szCs w:val="24"/>
        </w:rPr>
        <w:t xml:space="preserve"> </w:t>
      </w:r>
      <w:r>
        <w:rPr>
          <w:sz w:val="24"/>
          <w:szCs w:val="24"/>
        </w:rPr>
        <w:t>(ТС)</w:t>
      </w:r>
      <w:r>
        <w:rPr>
          <w:b/>
          <w:bCs/>
          <w:sz w:val="24"/>
          <w:szCs w:val="24"/>
        </w:rPr>
        <w:t>,</w:t>
      </w:r>
      <w:r>
        <w:rPr>
          <w:sz w:val="24"/>
          <w:szCs w:val="24"/>
        </w:rPr>
        <w:t xml:space="preserve"> стоящих на учете в Н. Новгороде, составило 157343 единицы. </w:t>
      </w:r>
    </w:p>
    <w:p w:rsidR="007872D5" w:rsidRDefault="00525DF7">
      <w:pPr>
        <w:widowControl/>
        <w:spacing w:line="240" w:lineRule="auto"/>
        <w:ind w:firstLine="567"/>
        <w:rPr>
          <w:sz w:val="24"/>
          <w:szCs w:val="24"/>
        </w:rPr>
      </w:pPr>
      <w:r>
        <w:rPr>
          <w:sz w:val="24"/>
          <w:szCs w:val="24"/>
        </w:rPr>
        <w:t>В 1995 г., как и в предыдущие три года, сохранилась тенденция роста общего парка автомобилей, стоящих на учете в Н. Новгороде, хотя темпы роста по сравнению с прошлым годом несколько замедлились.</w:t>
      </w:r>
    </w:p>
    <w:p w:rsidR="007872D5" w:rsidRDefault="00525DF7">
      <w:pPr>
        <w:widowControl/>
        <w:spacing w:line="240" w:lineRule="auto"/>
        <w:ind w:firstLine="567"/>
        <w:rPr>
          <w:sz w:val="24"/>
          <w:szCs w:val="24"/>
        </w:rPr>
      </w:pPr>
      <w:r>
        <w:rPr>
          <w:sz w:val="24"/>
          <w:szCs w:val="24"/>
        </w:rPr>
        <w:t>Количество автомобилей, "прописанных" в Н. Новгороде, увеличилось по сравнению с 1994 г. на 5676 единиц или на 3,7%. Основной рост автопарка происходит за счет индивидуального транспорта: его количество увеличилось на 17,9 тысяч единиц. Доля государственного транспорта неуклонно снижается (14,5% - в 1995 г. против 17% - в 1994 г.), снизилось на 9 тыс. единиц и количество автотранспорта, принадлежащего предприятиям иных форм собственности (малым, частным, кооперативам и т.д.). Это объясняется отсутствием объемов перевозок в государственном секторе и большинстве малых предприятий и стремлением предприятий избавиться от ставших ненужными основных средств, т.к. за не работающий, но стоящий на балансе транспорт приходится платить различные налоги. Себестоимость перевозок индивидуальным транспортом значительно дешевле, т.к. в нее не закладывается содержание основных фондов автобаз, расходов на энергоносители, содержание управленческого аппарата и т.д.</w:t>
      </w:r>
    </w:p>
    <w:p w:rsidR="007872D5" w:rsidRDefault="00525DF7">
      <w:pPr>
        <w:widowControl/>
        <w:spacing w:line="240" w:lineRule="auto"/>
        <w:ind w:firstLine="567"/>
        <w:rPr>
          <w:sz w:val="24"/>
          <w:szCs w:val="24"/>
        </w:rPr>
      </w:pPr>
      <w:r>
        <w:rPr>
          <w:sz w:val="24"/>
          <w:szCs w:val="24"/>
        </w:rPr>
        <w:t>Приведенное выше перераспределение автотранспорта усложняет работу по взиманию платы за загрязнение окружающей среды, т.к. взаимоотношения с владельцами индивидуального транспорта по возмещению наносимого им природной среде вреда до сих пор в полном объеме не определены.</w:t>
      </w:r>
    </w:p>
    <w:p w:rsidR="007872D5" w:rsidRDefault="00525DF7">
      <w:pPr>
        <w:widowControl/>
        <w:spacing w:line="240" w:lineRule="auto"/>
        <w:ind w:firstLine="567"/>
        <w:rPr>
          <w:sz w:val="24"/>
          <w:szCs w:val="24"/>
        </w:rPr>
      </w:pPr>
      <w:r>
        <w:rPr>
          <w:sz w:val="24"/>
          <w:szCs w:val="24"/>
        </w:rPr>
        <w:t>К сожалению, Управление ГАИ с 1995 г. перестало вести учет автомобилей с пониженной токсичностью, работающих на газомоторном топливе, хотя имеется Постановление Правительства РФ о неотложных мерах по развитию такого транспорта, и информация о наличии и использовании газобаллонных автомобилей сейчас особенно важна.</w:t>
      </w:r>
    </w:p>
    <w:p w:rsidR="007872D5" w:rsidRDefault="00525DF7">
      <w:pPr>
        <w:widowControl/>
        <w:spacing w:line="240" w:lineRule="auto"/>
        <w:ind w:firstLine="567"/>
        <w:rPr>
          <w:sz w:val="24"/>
          <w:szCs w:val="24"/>
        </w:rPr>
      </w:pPr>
      <w:r>
        <w:rPr>
          <w:sz w:val="24"/>
          <w:szCs w:val="24"/>
        </w:rPr>
        <w:t>Распределение транспортных средств предприятий по районам города за последние 4 года практически не меняется. Наибольшее количество - в Нижегородском районе (8994 шт.), наименьшее - в Московском (2038 шт.). Однако, наиболее насыщенным транспортом всех форм собственности является Автозаводский район (43424 ед.). Следом за ним со значительным отрывом идут Сормовский (26188 ед.) и Советский (24488 ед.) районы. Наименьшее количество транспорта стоит на учете в Московском районе (15996 ед.).</w:t>
      </w:r>
    </w:p>
    <w:p w:rsidR="007872D5" w:rsidRDefault="00525DF7">
      <w:pPr>
        <w:widowControl/>
        <w:spacing w:line="240" w:lineRule="auto"/>
        <w:ind w:firstLine="567"/>
        <w:rPr>
          <w:sz w:val="24"/>
          <w:szCs w:val="24"/>
        </w:rPr>
      </w:pPr>
      <w:r>
        <w:rPr>
          <w:sz w:val="24"/>
          <w:szCs w:val="24"/>
        </w:rPr>
        <w:t>Как показывает практика, следствием разгосударствления и приватизации транспорта является ухудшение качества обслуживания автомобилей: не соблюдается периодичность и порядок техобслуживания, не проводится инструментальный контроль уровня токсичности и дымности отработавших газов. В результате не снижается количество транспортных средств, эксплуатирующихся с нарушением основных положений ПДД РФ по допуску транспортных средств к эксплуатации, с превышением норм токсичности и дымности, оказывающих повышенное шумовое воздействие на окружающую природную среду и т.д. По результатам инструментального обследования автопредприятий и транспортных цехов промпредпрятий инспекторским составом городского комитета выявлено и снято с эксплуатации свыше 1500 единиц экологически "грязного" транспорта. К этому числу надо добавить автотранспорт, проверенный в Нижнем Новгороде Нижегородоблкомприродой, Российской транспортной инспекцией, Госстандартом, ГАИ. Но окончательно побороть это зло пока не удается, ведь инспекционной проверке подвергается лишь десятая часть стоящего на учете в городе транспорта. А есть еще и иногородний, транзитный транспорт...</w:t>
      </w:r>
    </w:p>
    <w:p w:rsidR="007872D5" w:rsidRDefault="00525DF7">
      <w:pPr>
        <w:widowControl/>
        <w:spacing w:line="240" w:lineRule="auto"/>
        <w:ind w:firstLine="567"/>
        <w:rPr>
          <w:sz w:val="24"/>
          <w:szCs w:val="24"/>
        </w:rPr>
      </w:pPr>
      <w:r>
        <w:rPr>
          <w:sz w:val="24"/>
          <w:szCs w:val="24"/>
        </w:rPr>
        <w:t>В последние годы становятся обыденными факты хранения, мойки, ремонта автомобилей в не отведенных для этого местах (рядом с жилыми домам, на газонах, у водоразборных колонок, в зонах отдыха), что подтверждается многочисленными жалобами и обращениями граждан. Все это также обостряет экологическую и санитарную обстановку. По-прежнему значительный вклад в загрязнение окружающей среды города вносит грузовой транспорт, в том числе иногородний и транзитный, движущийся по основным магистралям из-за отсутствия дорог-дублеров, неразвитости объездных дорог вне города. Вследствие недостаточности средств в городском бюджете сеть автодорог в городе практически не развивается.</w:t>
      </w:r>
    </w:p>
    <w:p w:rsidR="007872D5" w:rsidRDefault="00525DF7">
      <w:pPr>
        <w:widowControl/>
        <w:spacing w:line="240" w:lineRule="auto"/>
        <w:ind w:firstLine="567"/>
        <w:rPr>
          <w:sz w:val="24"/>
          <w:szCs w:val="24"/>
        </w:rPr>
      </w:pPr>
      <w:r>
        <w:rPr>
          <w:sz w:val="24"/>
          <w:szCs w:val="24"/>
        </w:rPr>
        <w:t>В последние годы администрация города проводит значительные работы по реконструкции и ремонту дорожного полотна. Это ведет к снижению загрязнения и к экономии ресурсов. Однако в весенний период происходит частичное разрушение проезжей части дорог, в результате чего водители вынуждены снижать скорость, переходить на низшие передачи, а это приводит к усиленному износу транспортных средств и повышенному загрязнению атмосферного воздуха отработавшими газами.</w:t>
      </w:r>
    </w:p>
    <w:p w:rsidR="007872D5" w:rsidRDefault="00525DF7">
      <w:pPr>
        <w:widowControl/>
        <w:spacing w:line="240" w:lineRule="auto"/>
        <w:ind w:firstLine="567"/>
        <w:rPr>
          <w:sz w:val="24"/>
          <w:szCs w:val="24"/>
        </w:rPr>
      </w:pPr>
      <w:r>
        <w:rPr>
          <w:sz w:val="24"/>
          <w:szCs w:val="24"/>
        </w:rPr>
        <w:t>Нижний Новгород имеет большую протяженность своей территории, поэтому актуальным является вопрос перевозки пассажиров общественным транспортом. Основную часть перевозок производит городской автобусный транспорт (свыше 55%). Проблему уменьшения загрязнения атмосферного воздуха от автотранспорта можно частично решить путем развития альтернативных видов транспорта и, в частности, электротранспорта, являющегося экологически наиболее чистым, расширения сети трамвайных и троллейбусных линий, увеличения протяженности линий метрополитена.</w:t>
      </w:r>
    </w:p>
    <w:p w:rsidR="007872D5" w:rsidRDefault="007872D5">
      <w:pPr>
        <w:widowControl/>
        <w:spacing w:line="240" w:lineRule="auto"/>
        <w:ind w:firstLine="567"/>
        <w:rPr>
          <w:sz w:val="24"/>
          <w:szCs w:val="24"/>
        </w:rPr>
      </w:pPr>
    </w:p>
    <w:p w:rsidR="007872D5" w:rsidRDefault="00525DF7">
      <w:pPr>
        <w:widowControl/>
        <w:spacing w:line="240" w:lineRule="auto"/>
        <w:ind w:firstLine="0"/>
        <w:rPr>
          <w:sz w:val="24"/>
          <w:szCs w:val="24"/>
        </w:rPr>
      </w:pPr>
      <w:r>
        <w:rPr>
          <w:sz w:val="24"/>
          <w:szCs w:val="24"/>
        </w:rPr>
        <w:t>Таблица 1.2.</w:t>
      </w:r>
    </w:p>
    <w:p w:rsidR="007872D5" w:rsidRDefault="00525DF7">
      <w:pPr>
        <w:widowControl/>
        <w:spacing w:line="240" w:lineRule="auto"/>
        <w:ind w:firstLine="0"/>
        <w:rPr>
          <w:b/>
          <w:bCs/>
          <w:sz w:val="24"/>
          <w:szCs w:val="24"/>
        </w:rPr>
      </w:pPr>
      <w:r>
        <w:rPr>
          <w:b/>
          <w:bCs/>
          <w:sz w:val="24"/>
          <w:szCs w:val="24"/>
        </w:rPr>
        <w:t>Протяженность и динамика развития трамвайных, троллейбусных линий и линий метрополитена (1994-95гг.)</w:t>
      </w:r>
    </w:p>
    <w:tbl>
      <w:tblPr>
        <w:tblW w:w="0" w:type="auto"/>
        <w:tblInd w:w="-8" w:type="dxa"/>
        <w:tblLayout w:type="fixed"/>
        <w:tblCellMar>
          <w:left w:w="40" w:type="dxa"/>
          <w:right w:w="40" w:type="dxa"/>
        </w:tblCellMar>
        <w:tblLook w:val="0000" w:firstRow="0" w:lastRow="0" w:firstColumn="0" w:lastColumn="0" w:noHBand="0" w:noVBand="0"/>
      </w:tblPr>
      <w:tblGrid>
        <w:gridCol w:w="2200"/>
        <w:gridCol w:w="1300"/>
        <w:gridCol w:w="1300"/>
        <w:gridCol w:w="1280"/>
        <w:gridCol w:w="1300"/>
        <w:gridCol w:w="1160"/>
        <w:gridCol w:w="1180"/>
      </w:tblGrid>
      <w:tr w:rsidR="007872D5">
        <w:trPr>
          <w:cantSplit/>
          <w:trHeight w:hRule="exact" w:val="440"/>
        </w:trPr>
        <w:tc>
          <w:tcPr>
            <w:tcW w:w="2200" w:type="dxa"/>
            <w:vMerge w:val="restart"/>
            <w:tcBorders>
              <w:top w:val="single" w:sz="6" w:space="0" w:color="auto"/>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Районы города</w:t>
            </w:r>
          </w:p>
        </w:tc>
        <w:tc>
          <w:tcPr>
            <w:tcW w:w="7520" w:type="dxa"/>
            <w:gridSpan w:val="6"/>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Протяженность линий, км</w:t>
            </w:r>
          </w:p>
        </w:tc>
      </w:tr>
      <w:tr w:rsidR="007872D5">
        <w:trPr>
          <w:cantSplit/>
          <w:trHeight w:hRule="exact" w:val="400"/>
        </w:trPr>
        <w:tc>
          <w:tcPr>
            <w:tcW w:w="2200" w:type="dxa"/>
            <w:vMerge/>
            <w:tcBorders>
              <w:top w:val="nil"/>
              <w:left w:val="single" w:sz="6" w:space="0" w:color="auto"/>
              <w:bottom w:val="nil"/>
              <w:right w:val="single" w:sz="6" w:space="0" w:color="auto"/>
            </w:tcBorders>
          </w:tcPr>
          <w:p w:rsidR="007872D5" w:rsidRDefault="007872D5">
            <w:pPr>
              <w:widowControl/>
              <w:spacing w:line="240" w:lineRule="auto"/>
              <w:ind w:firstLine="0"/>
              <w:rPr>
                <w:sz w:val="24"/>
                <w:szCs w:val="24"/>
              </w:rPr>
            </w:pPr>
          </w:p>
        </w:tc>
        <w:tc>
          <w:tcPr>
            <w:tcW w:w="2600" w:type="dxa"/>
            <w:gridSpan w:val="2"/>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Трамвайных</w:t>
            </w:r>
          </w:p>
        </w:tc>
        <w:tc>
          <w:tcPr>
            <w:tcW w:w="2580" w:type="dxa"/>
            <w:gridSpan w:val="2"/>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Троллейбусных</w:t>
            </w:r>
          </w:p>
        </w:tc>
        <w:tc>
          <w:tcPr>
            <w:tcW w:w="2340" w:type="dxa"/>
            <w:gridSpan w:val="2"/>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Метрополитена</w:t>
            </w:r>
          </w:p>
        </w:tc>
      </w:tr>
      <w:tr w:rsidR="007872D5">
        <w:trPr>
          <w:cantSplit/>
          <w:trHeight w:hRule="exact" w:val="400"/>
        </w:trPr>
        <w:tc>
          <w:tcPr>
            <w:tcW w:w="2200" w:type="dxa"/>
            <w:vMerge/>
            <w:tcBorders>
              <w:top w:val="nil"/>
              <w:left w:val="single" w:sz="6" w:space="0" w:color="auto"/>
              <w:bottom w:val="single" w:sz="6" w:space="0" w:color="auto"/>
              <w:right w:val="single" w:sz="6" w:space="0" w:color="auto"/>
            </w:tcBorders>
          </w:tcPr>
          <w:p w:rsidR="007872D5" w:rsidRDefault="007872D5">
            <w:pPr>
              <w:widowControl/>
              <w:spacing w:line="240" w:lineRule="auto"/>
              <w:ind w:firstLine="0"/>
              <w:rPr>
                <w:sz w:val="24"/>
                <w:szCs w:val="24"/>
              </w:rPr>
            </w:pP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1994</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1995</w:t>
            </w:r>
          </w:p>
        </w:tc>
        <w:tc>
          <w:tcPr>
            <w:tcW w:w="12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1994</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1995</w:t>
            </w:r>
          </w:p>
        </w:tc>
        <w:tc>
          <w:tcPr>
            <w:tcW w:w="116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1994</w:t>
            </w:r>
          </w:p>
        </w:tc>
        <w:tc>
          <w:tcPr>
            <w:tcW w:w="1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1995</w:t>
            </w:r>
          </w:p>
        </w:tc>
      </w:tr>
      <w:tr w:rsidR="007872D5">
        <w:trPr>
          <w:trHeight w:hRule="exact" w:val="480"/>
        </w:trPr>
        <w:tc>
          <w:tcPr>
            <w:tcW w:w="22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Нижегородский</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27,7</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27,7</w:t>
            </w:r>
          </w:p>
        </w:tc>
        <w:tc>
          <w:tcPr>
            <w:tcW w:w="12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22,6</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22,6</w:t>
            </w:r>
          </w:p>
        </w:tc>
        <w:tc>
          <w:tcPr>
            <w:tcW w:w="116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w:t>
            </w:r>
          </w:p>
        </w:tc>
        <w:tc>
          <w:tcPr>
            <w:tcW w:w="1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w:t>
            </w:r>
          </w:p>
        </w:tc>
      </w:tr>
      <w:tr w:rsidR="007872D5">
        <w:trPr>
          <w:trHeight w:hRule="exact" w:val="460"/>
        </w:trPr>
        <w:tc>
          <w:tcPr>
            <w:tcW w:w="22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Советский</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19,8</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19,8</w:t>
            </w:r>
          </w:p>
        </w:tc>
        <w:tc>
          <w:tcPr>
            <w:tcW w:w="12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31,0</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31,0</w:t>
            </w:r>
          </w:p>
        </w:tc>
        <w:tc>
          <w:tcPr>
            <w:tcW w:w="116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w:t>
            </w:r>
          </w:p>
        </w:tc>
        <w:tc>
          <w:tcPr>
            <w:tcW w:w="1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w:t>
            </w:r>
          </w:p>
        </w:tc>
      </w:tr>
      <w:tr w:rsidR="007872D5">
        <w:trPr>
          <w:trHeight w:hRule="exact" w:val="460"/>
        </w:trPr>
        <w:tc>
          <w:tcPr>
            <w:tcW w:w="22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Приокский</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9,2</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9,2</w:t>
            </w:r>
          </w:p>
        </w:tc>
        <w:tc>
          <w:tcPr>
            <w:tcW w:w="12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13,0</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13,0</w:t>
            </w:r>
          </w:p>
        </w:tc>
        <w:tc>
          <w:tcPr>
            <w:tcW w:w="116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w:t>
            </w:r>
          </w:p>
        </w:tc>
        <w:tc>
          <w:tcPr>
            <w:tcW w:w="1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w:t>
            </w:r>
          </w:p>
        </w:tc>
      </w:tr>
      <w:tr w:rsidR="007872D5">
        <w:trPr>
          <w:trHeight w:hRule="exact" w:val="480"/>
        </w:trPr>
        <w:tc>
          <w:tcPr>
            <w:tcW w:w="22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Канавинский</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20,0</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20,0</w:t>
            </w:r>
          </w:p>
        </w:tc>
        <w:tc>
          <w:tcPr>
            <w:tcW w:w="12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36,0</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36,0</w:t>
            </w:r>
          </w:p>
        </w:tc>
        <w:tc>
          <w:tcPr>
            <w:tcW w:w="116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6,1</w:t>
            </w:r>
          </w:p>
        </w:tc>
        <w:tc>
          <w:tcPr>
            <w:tcW w:w="1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6,1</w:t>
            </w:r>
          </w:p>
        </w:tc>
      </w:tr>
      <w:tr w:rsidR="007872D5">
        <w:trPr>
          <w:trHeight w:hRule="exact" w:val="460"/>
        </w:trPr>
        <w:tc>
          <w:tcPr>
            <w:tcW w:w="22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Ленинский</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36,6</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36,6</w:t>
            </w:r>
          </w:p>
        </w:tc>
        <w:tc>
          <w:tcPr>
            <w:tcW w:w="12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14,0</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14,0</w:t>
            </w:r>
          </w:p>
        </w:tc>
        <w:tc>
          <w:tcPr>
            <w:tcW w:w="116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5,9</w:t>
            </w:r>
          </w:p>
        </w:tc>
        <w:tc>
          <w:tcPr>
            <w:tcW w:w="1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5,9</w:t>
            </w:r>
          </w:p>
        </w:tc>
      </w:tr>
      <w:tr w:rsidR="007872D5">
        <w:trPr>
          <w:trHeight w:hRule="exact" w:val="480"/>
        </w:trPr>
        <w:tc>
          <w:tcPr>
            <w:tcW w:w="22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Автозаводский</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37,6</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37,6</w:t>
            </w:r>
          </w:p>
        </w:tc>
        <w:tc>
          <w:tcPr>
            <w:tcW w:w="12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40,0</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40,0</w:t>
            </w:r>
          </w:p>
        </w:tc>
        <w:tc>
          <w:tcPr>
            <w:tcW w:w="116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4,1</w:t>
            </w:r>
          </w:p>
        </w:tc>
        <w:tc>
          <w:tcPr>
            <w:tcW w:w="1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4,1</w:t>
            </w:r>
          </w:p>
        </w:tc>
      </w:tr>
      <w:tr w:rsidR="007872D5">
        <w:trPr>
          <w:trHeight w:hRule="exact" w:val="460"/>
        </w:trPr>
        <w:tc>
          <w:tcPr>
            <w:tcW w:w="22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Московский</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12,0</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12,0</w:t>
            </w:r>
          </w:p>
        </w:tc>
        <w:tc>
          <w:tcPr>
            <w:tcW w:w="12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34,0</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34,0</w:t>
            </w:r>
          </w:p>
        </w:tc>
        <w:tc>
          <w:tcPr>
            <w:tcW w:w="116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0,5</w:t>
            </w:r>
          </w:p>
        </w:tc>
        <w:tc>
          <w:tcPr>
            <w:tcW w:w="1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0,5</w:t>
            </w:r>
          </w:p>
        </w:tc>
      </w:tr>
      <w:tr w:rsidR="007872D5">
        <w:trPr>
          <w:trHeight w:hRule="exact" w:val="480"/>
        </w:trPr>
        <w:tc>
          <w:tcPr>
            <w:tcW w:w="22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Сормовский</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11,2</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11,2</w:t>
            </w:r>
          </w:p>
        </w:tc>
        <w:tc>
          <w:tcPr>
            <w:tcW w:w="12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26,0</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26,0</w:t>
            </w:r>
          </w:p>
        </w:tc>
        <w:tc>
          <w:tcPr>
            <w:tcW w:w="116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1,0</w:t>
            </w:r>
          </w:p>
        </w:tc>
        <w:tc>
          <w:tcPr>
            <w:tcW w:w="1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1,0</w:t>
            </w:r>
          </w:p>
        </w:tc>
      </w:tr>
      <w:tr w:rsidR="007872D5">
        <w:trPr>
          <w:trHeight w:hRule="exact" w:val="500"/>
        </w:trPr>
        <w:tc>
          <w:tcPr>
            <w:tcW w:w="22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Всего</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174,1</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174,1</w:t>
            </w:r>
          </w:p>
        </w:tc>
        <w:tc>
          <w:tcPr>
            <w:tcW w:w="12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216,5</w:t>
            </w:r>
          </w:p>
        </w:tc>
        <w:tc>
          <w:tcPr>
            <w:tcW w:w="13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216,5</w:t>
            </w:r>
          </w:p>
        </w:tc>
        <w:tc>
          <w:tcPr>
            <w:tcW w:w="116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17,6</w:t>
            </w:r>
          </w:p>
        </w:tc>
        <w:tc>
          <w:tcPr>
            <w:tcW w:w="1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17,6</w:t>
            </w:r>
          </w:p>
        </w:tc>
      </w:tr>
    </w:tbl>
    <w:p w:rsidR="007872D5" w:rsidRDefault="007872D5">
      <w:pPr>
        <w:widowControl/>
        <w:spacing w:line="240" w:lineRule="auto"/>
        <w:ind w:firstLine="567"/>
        <w:rPr>
          <w:sz w:val="24"/>
          <w:szCs w:val="24"/>
        </w:rPr>
      </w:pPr>
    </w:p>
    <w:p w:rsidR="007872D5" w:rsidRDefault="00525DF7">
      <w:pPr>
        <w:widowControl/>
        <w:spacing w:line="240" w:lineRule="auto"/>
        <w:ind w:firstLine="567"/>
        <w:rPr>
          <w:sz w:val="24"/>
          <w:szCs w:val="24"/>
        </w:rPr>
      </w:pPr>
      <w:r>
        <w:rPr>
          <w:sz w:val="24"/>
          <w:szCs w:val="24"/>
        </w:rPr>
        <w:t>С 1993 г. наземный электротранспорт в Н. Новгороде не развивался, хотя ему как экологически наиболее чистому, должна предоставляться возможность приоритетного развития и поддержания нормальной эксплуатации. Несколько лет в администрации города рассматривается вопрос о строительстве троллейбусного депо в Автозаводском районе, но из-за недостатка финансовых средств на АО ГАЗ, в городском и районном бюджетах строительство не начато.</w:t>
      </w:r>
    </w:p>
    <w:p w:rsidR="007872D5" w:rsidRDefault="00525DF7">
      <w:pPr>
        <w:widowControl/>
        <w:spacing w:line="240" w:lineRule="auto"/>
        <w:ind w:firstLine="567"/>
        <w:rPr>
          <w:sz w:val="24"/>
          <w:szCs w:val="24"/>
        </w:rPr>
      </w:pPr>
      <w:r>
        <w:rPr>
          <w:sz w:val="24"/>
          <w:szCs w:val="24"/>
        </w:rPr>
        <w:t>Трамвайные и троллейбусные парки почти не пополняются новыми машинами. В 1995 г. получено только 10 трамваев.</w:t>
      </w:r>
    </w:p>
    <w:p w:rsidR="007872D5" w:rsidRDefault="00525DF7">
      <w:pPr>
        <w:pStyle w:val="2"/>
      </w:pPr>
      <w:r>
        <w:t>С большими трудностями идет и развитие метрополитена. В 1996 г. планируется ввод в строй действующих новой станции Сормовского направления "Куйбышевской". Для завершения строительства из государственного бюджета должно быть выделено около 50 млрд. рублей, но при нынешнем состоянии бюджета на полное его исполнение рассчитывать очень трудно.</w:t>
      </w:r>
    </w:p>
    <w:p w:rsidR="007872D5" w:rsidRDefault="00525DF7">
      <w:pPr>
        <w:widowControl/>
        <w:spacing w:line="240" w:lineRule="auto"/>
        <w:ind w:firstLine="567"/>
        <w:rPr>
          <w:sz w:val="24"/>
          <w:szCs w:val="24"/>
        </w:rPr>
      </w:pPr>
      <w:r>
        <w:rPr>
          <w:sz w:val="24"/>
          <w:szCs w:val="24"/>
        </w:rPr>
        <w:t>На протяжении 1994 г. руководство города и области вело переговоры с Международным Банком Реконструкции и Развития</w:t>
      </w:r>
      <w:r>
        <w:rPr>
          <w:b/>
          <w:bCs/>
          <w:sz w:val="24"/>
          <w:szCs w:val="24"/>
        </w:rPr>
        <w:t xml:space="preserve"> </w:t>
      </w:r>
      <w:r>
        <w:rPr>
          <w:sz w:val="24"/>
          <w:szCs w:val="24"/>
        </w:rPr>
        <w:t>(МБРР) и добилось выделения долгосрочного кредита на сумму около 15 млн. долларов на обновление городского и троллейбусного парка. Если к этому добавить и совершенствование маршрутных сетей, то город получит значительное снижение загрязнения атмосферного воздуха от автотранспорта.</w:t>
      </w:r>
    </w:p>
    <w:p w:rsidR="007872D5" w:rsidRDefault="00525DF7">
      <w:pPr>
        <w:widowControl/>
        <w:spacing w:line="240" w:lineRule="auto"/>
        <w:ind w:firstLine="567"/>
        <w:rPr>
          <w:sz w:val="24"/>
          <w:szCs w:val="24"/>
        </w:rPr>
      </w:pPr>
      <w:r>
        <w:rPr>
          <w:sz w:val="24"/>
          <w:szCs w:val="24"/>
        </w:rPr>
        <w:t>Электротранспорт, являясь минимальным загрязнителем атмосферного воздуха вредными выбросами, оказывает значительное шумовое и вибрационное воздействие на окружающую среду. И особенно сильно ощущают на себе эти виды воздействия жители домов, расположенных в непосредственной близости от трамвайных линий и метро.</w:t>
      </w:r>
    </w:p>
    <w:p w:rsidR="007872D5" w:rsidRDefault="00525DF7">
      <w:pPr>
        <w:widowControl/>
        <w:spacing w:line="240" w:lineRule="auto"/>
        <w:ind w:firstLine="567"/>
        <w:rPr>
          <w:sz w:val="24"/>
          <w:szCs w:val="24"/>
        </w:rPr>
      </w:pPr>
      <w:r>
        <w:rPr>
          <w:sz w:val="24"/>
          <w:szCs w:val="24"/>
        </w:rPr>
        <w:t>По-прежнему причиной повышенного шумового и вибрационного воздействия городского электротранспорта является износ рельсового пути на отдельных участках: из 174 км трамвайных линий 38,6 км имеют сверхпредельный износ, несоответствие по уровню и увеличенные разрывы в стыках рельсов, а также продольные и поперечные изгибы рельсовых путей, плохую подготовку (утрамбовку) щебеночной подушки рельсового полотна, просадку грунта под шпалами.</w:t>
      </w:r>
    </w:p>
    <w:p w:rsidR="007872D5" w:rsidRDefault="00525DF7">
      <w:pPr>
        <w:widowControl/>
        <w:spacing w:line="240" w:lineRule="auto"/>
        <w:ind w:firstLine="567"/>
        <w:rPr>
          <w:sz w:val="24"/>
          <w:szCs w:val="24"/>
        </w:rPr>
      </w:pPr>
      <w:r>
        <w:rPr>
          <w:sz w:val="24"/>
          <w:szCs w:val="24"/>
        </w:rPr>
        <w:t>Традиционно скудное бюджетное финансирование городского электротранспорта на протяжении последних 4-х лет приводит к тому, что из нормативного объема реконструкции и капитального ремонта трамвайных путей (18-20 км) фактически выполняется лишь 10-12 км.</w:t>
      </w:r>
    </w:p>
    <w:p w:rsidR="007872D5" w:rsidRDefault="00525DF7">
      <w:pPr>
        <w:widowControl/>
        <w:spacing w:line="240" w:lineRule="auto"/>
        <w:ind w:firstLine="567"/>
        <w:rPr>
          <w:sz w:val="24"/>
          <w:szCs w:val="24"/>
        </w:rPr>
      </w:pPr>
      <w:r>
        <w:rPr>
          <w:sz w:val="24"/>
          <w:szCs w:val="24"/>
        </w:rPr>
        <w:t>В 1996 г. планируется отремонтировать только 10,4 км. К этому надо добавить, что в настоящее время на линии работают 47 трамваев и 73 троллейбуса с истекшими сроками эксплуатации. По сравнению с 1994 г. количество таких трамваев, например, возросло в 6 раз, троллейбусов - в два с лишним раза. А это сказывается на безопасности движения и перевозок пассажиров. Так, летом 1995 г. на Похвалинском съезде из-за технической неисправности произошел сход с рельсов трамвая, повлекший за собой человеческие жертвы.</w:t>
      </w:r>
    </w:p>
    <w:p w:rsidR="007872D5" w:rsidRDefault="00525DF7">
      <w:pPr>
        <w:widowControl/>
        <w:spacing w:line="240" w:lineRule="auto"/>
        <w:ind w:firstLine="567"/>
        <w:rPr>
          <w:sz w:val="24"/>
          <w:szCs w:val="24"/>
        </w:rPr>
      </w:pPr>
      <w:r>
        <w:rPr>
          <w:sz w:val="24"/>
          <w:szCs w:val="24"/>
        </w:rPr>
        <w:t>Несмотря на все трудности, руководство трамвайно-троллейбусного предприятия старается проводить работы по повышению безопасности перевозок и снижению шумового воздействия своего транспорта: планирует производить шлифовку рельсового полотна, сварку стыков рельсов, установку 30 шумоглушителей на контактной сети трамваев и троллейбусов (на растяжках крепления контактной сети к зданиям).</w:t>
      </w:r>
    </w:p>
    <w:p w:rsidR="007872D5" w:rsidRDefault="00525DF7">
      <w:pPr>
        <w:widowControl/>
        <w:spacing w:line="240" w:lineRule="auto"/>
        <w:ind w:firstLine="567"/>
        <w:rPr>
          <w:sz w:val="24"/>
          <w:szCs w:val="24"/>
        </w:rPr>
      </w:pPr>
      <w:r>
        <w:rPr>
          <w:sz w:val="24"/>
          <w:szCs w:val="24"/>
        </w:rPr>
        <w:t>Стремительное развитие наземных видов транспорта приводит к тому, что многие улицы, особенно в старой части города, уже не вмещают его и, как следствие: заторы уличного движения, повышение загрязнения воздушной среды и уровня шумового воздействия, увеличение числа дорожно-транспортных происшествий.</w:t>
      </w:r>
    </w:p>
    <w:p w:rsidR="007872D5" w:rsidRDefault="00525DF7">
      <w:pPr>
        <w:widowControl/>
        <w:spacing w:line="240" w:lineRule="auto"/>
        <w:ind w:firstLine="567"/>
        <w:rPr>
          <w:sz w:val="24"/>
          <w:szCs w:val="24"/>
        </w:rPr>
      </w:pPr>
      <w:r>
        <w:rPr>
          <w:sz w:val="24"/>
          <w:szCs w:val="24"/>
        </w:rPr>
        <w:t>Все эти проблемы может решить метрополитен - самый экологически чистый, скоростной и комфортный вид городского транспорта. Наш метрополитен - мелкого заложения, он проходит в стесненных условиях и в ряде мест расположен ближе нормативных 40 метров от жилых и производственных зданий. В этих местах для снижения шума и вибрации в стены и перекрытия тоннелей уложен дополнительный "шумобетон", чем увеличена масса конструкций тоннельной отделки. Это сделано на перегонах "Московская -Чкаловская", "Ленинская - Заречная", "Кировская - Парк Культуры".</w:t>
      </w:r>
    </w:p>
    <w:p w:rsidR="007872D5" w:rsidRDefault="00525DF7">
      <w:pPr>
        <w:widowControl/>
        <w:spacing w:line="240" w:lineRule="auto"/>
        <w:ind w:firstLine="567"/>
        <w:rPr>
          <w:sz w:val="24"/>
          <w:szCs w:val="24"/>
        </w:rPr>
      </w:pPr>
      <w:r>
        <w:rPr>
          <w:sz w:val="24"/>
          <w:szCs w:val="24"/>
        </w:rPr>
        <w:t xml:space="preserve">Нижний Новгород расположен на берегах двух рек - Волги и Оки, имеет крупный речной порт, поэтому определенный вклад в загрязнение окружающей природной среды вносит водный транспорт. </w:t>
      </w:r>
    </w:p>
    <w:p w:rsidR="007872D5" w:rsidRDefault="007872D5">
      <w:pPr>
        <w:widowControl/>
        <w:spacing w:line="240" w:lineRule="auto"/>
        <w:ind w:firstLine="567"/>
        <w:rPr>
          <w:sz w:val="24"/>
          <w:szCs w:val="24"/>
        </w:rPr>
      </w:pPr>
    </w:p>
    <w:p w:rsidR="007872D5" w:rsidRDefault="00525DF7">
      <w:pPr>
        <w:widowControl/>
        <w:spacing w:line="240" w:lineRule="auto"/>
        <w:ind w:firstLine="567"/>
        <w:rPr>
          <w:sz w:val="24"/>
          <w:szCs w:val="24"/>
        </w:rPr>
      </w:pPr>
      <w:r>
        <w:rPr>
          <w:sz w:val="24"/>
          <w:szCs w:val="24"/>
        </w:rPr>
        <w:t>Фактов аварий, потерь грузов, загрязнения водоемов и берегов судами пароходства "Волга-Флот" не зафиксировано.</w:t>
      </w:r>
    </w:p>
    <w:p w:rsidR="007872D5" w:rsidRDefault="00525DF7">
      <w:pPr>
        <w:widowControl/>
        <w:spacing w:line="240" w:lineRule="auto"/>
        <w:ind w:firstLine="567"/>
        <w:rPr>
          <w:sz w:val="24"/>
          <w:szCs w:val="24"/>
        </w:rPr>
      </w:pPr>
      <w:r>
        <w:rPr>
          <w:sz w:val="24"/>
          <w:szCs w:val="24"/>
        </w:rPr>
        <w:t>В навигацию 1994 г. на бункеровке флота (рейдово - маневрового, транзитного, судов на подводных крыльях и др.) в границах Нижегородского рейда на р. Волге были задействованы бункеровочные станции НЕС -106 (в районе о. Мочального) и</w:t>
      </w:r>
      <w:r>
        <w:rPr>
          <w:b/>
          <w:bCs/>
          <w:sz w:val="24"/>
          <w:szCs w:val="24"/>
        </w:rPr>
        <w:t xml:space="preserve"> </w:t>
      </w:r>
      <w:r>
        <w:rPr>
          <w:sz w:val="24"/>
          <w:szCs w:val="24"/>
        </w:rPr>
        <w:t>НБС-56 (в Подновье).</w:t>
      </w:r>
    </w:p>
    <w:p w:rsidR="007872D5" w:rsidRDefault="00525DF7">
      <w:pPr>
        <w:widowControl/>
        <w:spacing w:line="240" w:lineRule="auto"/>
        <w:ind w:firstLine="567"/>
        <w:rPr>
          <w:sz w:val="24"/>
          <w:szCs w:val="24"/>
        </w:rPr>
      </w:pPr>
      <w:r>
        <w:rPr>
          <w:sz w:val="24"/>
          <w:szCs w:val="24"/>
        </w:rPr>
        <w:t>Аварий с попаданием нефтепродуктов в водоемы в границах Нижегородского управления АО "Волготанкер" не отмечено. Для предотвращения аварий разливов нефтепродуктов при грузовых операциях на причалах основных нефтебаз используются шлангующие устройства, отвечающие требованиям "Правил охраны природы при погрузке и выгрузке", а для бортовой перевалки танкеры комплектуются грузовыми шлангами, прошедшими гидравлические испытания и имеющие на них акт. На случай ликвидации последствий аварийного разлива нефтепродуктов в Нижегородском управлении имеется самоходный нефтемусоросборщик "НМС-4" и комплект боновых заграждений</w:t>
      </w:r>
    </w:p>
    <w:p w:rsidR="007872D5" w:rsidRDefault="00525DF7">
      <w:pPr>
        <w:widowControl/>
        <w:spacing w:line="240" w:lineRule="auto"/>
        <w:ind w:firstLine="567"/>
        <w:rPr>
          <w:sz w:val="24"/>
          <w:szCs w:val="24"/>
        </w:rPr>
      </w:pPr>
      <w:r>
        <w:rPr>
          <w:sz w:val="24"/>
          <w:szCs w:val="24"/>
        </w:rPr>
        <w:t>Для обслуживания транзитного и местного флота в черте города в навигацию 1995 г. работало 4 судна типа "ОС" проекта 354-К и несамоходная очистительная станция проекта Р-125, принадлежащие Нижегородскому порту.</w:t>
      </w:r>
    </w:p>
    <w:p w:rsidR="007872D5" w:rsidRDefault="00525DF7">
      <w:pPr>
        <w:widowControl/>
        <w:spacing w:line="240" w:lineRule="auto"/>
        <w:ind w:firstLine="567"/>
        <w:rPr>
          <w:sz w:val="24"/>
          <w:szCs w:val="24"/>
        </w:rPr>
      </w:pPr>
      <w:r>
        <w:rPr>
          <w:sz w:val="24"/>
          <w:szCs w:val="24"/>
        </w:rPr>
        <w:t>Сведения о количестве судовых отходов за навигации 1994-95 гг. (данные</w:t>
      </w:r>
      <w:r>
        <w:rPr>
          <w:b/>
          <w:bCs/>
          <w:sz w:val="24"/>
          <w:szCs w:val="24"/>
        </w:rPr>
        <w:t xml:space="preserve"> АООТ</w:t>
      </w:r>
      <w:r>
        <w:rPr>
          <w:sz w:val="24"/>
          <w:szCs w:val="24"/>
        </w:rPr>
        <w:t xml:space="preserve"> "Волга-Флот" и "Нижегородский порт") приведены в табл. 1.4.</w:t>
      </w:r>
    </w:p>
    <w:p w:rsidR="007872D5" w:rsidRDefault="00525DF7">
      <w:pPr>
        <w:widowControl/>
        <w:spacing w:line="240" w:lineRule="auto"/>
        <w:ind w:firstLine="567"/>
        <w:rPr>
          <w:sz w:val="24"/>
          <w:szCs w:val="24"/>
        </w:rPr>
      </w:pPr>
      <w:r>
        <w:rPr>
          <w:sz w:val="24"/>
          <w:szCs w:val="24"/>
        </w:rPr>
        <w:t>АО "Волга-Флот" ежегодно проводит следующие работы по снижению отрицательного воздействия на окружающую среду:</w:t>
      </w:r>
    </w:p>
    <w:p w:rsidR="007872D5" w:rsidRDefault="00525DF7">
      <w:pPr>
        <w:widowControl/>
        <w:spacing w:line="240" w:lineRule="auto"/>
        <w:ind w:firstLine="567"/>
        <w:rPr>
          <w:sz w:val="24"/>
          <w:szCs w:val="24"/>
        </w:rPr>
      </w:pPr>
      <w:r>
        <w:rPr>
          <w:sz w:val="24"/>
          <w:szCs w:val="24"/>
        </w:rPr>
        <w:t>- оборудовано 9 судов станциями очистки сточных и нефтесодержащих вод;</w:t>
      </w:r>
    </w:p>
    <w:p w:rsidR="007872D5" w:rsidRDefault="00525DF7">
      <w:pPr>
        <w:widowControl/>
        <w:spacing w:line="240" w:lineRule="auto"/>
        <w:ind w:firstLine="567"/>
        <w:rPr>
          <w:sz w:val="24"/>
          <w:szCs w:val="24"/>
        </w:rPr>
      </w:pPr>
      <w:r>
        <w:rPr>
          <w:sz w:val="24"/>
          <w:szCs w:val="24"/>
        </w:rPr>
        <w:t>выполнен капитальный ремонт судовых фекальных цистерн на 6 судах;</w:t>
      </w:r>
    </w:p>
    <w:p w:rsidR="007872D5" w:rsidRDefault="00525DF7">
      <w:pPr>
        <w:widowControl/>
        <w:spacing w:line="240" w:lineRule="auto"/>
        <w:ind w:firstLine="567"/>
        <w:rPr>
          <w:sz w:val="24"/>
          <w:szCs w:val="24"/>
        </w:rPr>
      </w:pPr>
      <w:r>
        <w:rPr>
          <w:sz w:val="24"/>
          <w:szCs w:val="24"/>
        </w:rPr>
        <w:t>- продолжено строительство станции зачистки судов от остатков грузов;</w:t>
      </w:r>
    </w:p>
    <w:p w:rsidR="007872D5" w:rsidRDefault="007872D5">
      <w:pPr>
        <w:widowControl/>
        <w:spacing w:line="240" w:lineRule="auto"/>
        <w:ind w:firstLine="567"/>
        <w:rPr>
          <w:sz w:val="24"/>
          <w:szCs w:val="24"/>
        </w:rPr>
      </w:pPr>
    </w:p>
    <w:p w:rsidR="007872D5" w:rsidRDefault="00525DF7">
      <w:pPr>
        <w:widowControl/>
        <w:spacing w:line="240" w:lineRule="auto"/>
        <w:ind w:firstLine="0"/>
        <w:rPr>
          <w:sz w:val="24"/>
          <w:szCs w:val="24"/>
        </w:rPr>
      </w:pPr>
      <w:r>
        <w:rPr>
          <w:sz w:val="24"/>
          <w:szCs w:val="24"/>
        </w:rPr>
        <w:t>Таблица 1.4.</w:t>
      </w:r>
    </w:p>
    <w:p w:rsidR="007872D5" w:rsidRDefault="00525DF7">
      <w:pPr>
        <w:widowControl/>
        <w:spacing w:line="240" w:lineRule="auto"/>
        <w:ind w:firstLine="0"/>
        <w:rPr>
          <w:sz w:val="24"/>
          <w:szCs w:val="24"/>
        </w:rPr>
      </w:pPr>
      <w:r>
        <w:rPr>
          <w:b/>
          <w:bCs/>
          <w:sz w:val="24"/>
          <w:szCs w:val="24"/>
        </w:rPr>
        <w:t>Количество судовых отходов, принятых на переработку по Нижегородскому порту, и динамика их образования</w:t>
      </w:r>
    </w:p>
    <w:tbl>
      <w:tblPr>
        <w:tblW w:w="0" w:type="auto"/>
        <w:tblInd w:w="-8" w:type="dxa"/>
        <w:tblLayout w:type="fixed"/>
        <w:tblCellMar>
          <w:left w:w="40" w:type="dxa"/>
          <w:right w:w="40" w:type="dxa"/>
        </w:tblCellMar>
        <w:tblLook w:val="0000" w:firstRow="0" w:lastRow="0" w:firstColumn="0" w:lastColumn="0" w:noHBand="0" w:noVBand="0"/>
      </w:tblPr>
      <w:tblGrid>
        <w:gridCol w:w="2900"/>
        <w:gridCol w:w="2340"/>
        <w:gridCol w:w="2320"/>
        <w:gridCol w:w="2180"/>
      </w:tblGrid>
      <w:tr w:rsidR="007872D5">
        <w:trPr>
          <w:cantSplit/>
          <w:trHeight w:hRule="exact" w:val="360"/>
        </w:trPr>
        <w:tc>
          <w:tcPr>
            <w:tcW w:w="2900" w:type="dxa"/>
            <w:vMerge w:val="restart"/>
            <w:tcBorders>
              <w:top w:val="single" w:sz="6" w:space="0" w:color="auto"/>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Виды отходов</w:t>
            </w:r>
          </w:p>
        </w:tc>
        <w:tc>
          <w:tcPr>
            <w:tcW w:w="6840" w:type="dxa"/>
            <w:gridSpan w:val="3"/>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Количество за навигацию, тонн</w:t>
            </w:r>
          </w:p>
        </w:tc>
      </w:tr>
      <w:tr w:rsidR="007872D5">
        <w:trPr>
          <w:cantSplit/>
          <w:trHeight w:hRule="exact" w:val="460"/>
        </w:trPr>
        <w:tc>
          <w:tcPr>
            <w:tcW w:w="2900" w:type="dxa"/>
            <w:vMerge/>
            <w:tcBorders>
              <w:top w:val="nil"/>
              <w:left w:val="single" w:sz="6" w:space="0" w:color="auto"/>
              <w:bottom w:val="single" w:sz="6" w:space="0" w:color="auto"/>
              <w:right w:val="single" w:sz="6" w:space="0" w:color="auto"/>
            </w:tcBorders>
          </w:tcPr>
          <w:p w:rsidR="007872D5" w:rsidRDefault="007872D5">
            <w:pPr>
              <w:widowControl/>
              <w:spacing w:line="240" w:lineRule="auto"/>
              <w:ind w:firstLine="0"/>
              <w:rPr>
                <w:sz w:val="24"/>
                <w:szCs w:val="24"/>
              </w:rPr>
            </w:pPr>
          </w:p>
        </w:tc>
        <w:tc>
          <w:tcPr>
            <w:tcW w:w="234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1994г.</w:t>
            </w:r>
          </w:p>
        </w:tc>
        <w:tc>
          <w:tcPr>
            <w:tcW w:w="232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1995г.</w:t>
            </w:r>
          </w:p>
        </w:tc>
        <w:tc>
          <w:tcPr>
            <w:tcW w:w="2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Рост (+), убыль(-)</w:t>
            </w:r>
          </w:p>
        </w:tc>
      </w:tr>
      <w:tr w:rsidR="007872D5">
        <w:trPr>
          <w:trHeight w:hRule="exact" w:val="460"/>
        </w:trPr>
        <w:tc>
          <w:tcPr>
            <w:tcW w:w="29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Подсланевые воды</w:t>
            </w:r>
          </w:p>
        </w:tc>
        <w:tc>
          <w:tcPr>
            <w:tcW w:w="234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6000</w:t>
            </w:r>
          </w:p>
        </w:tc>
        <w:tc>
          <w:tcPr>
            <w:tcW w:w="232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4600</w:t>
            </w:r>
          </w:p>
        </w:tc>
        <w:tc>
          <w:tcPr>
            <w:tcW w:w="2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-1400</w:t>
            </w:r>
          </w:p>
        </w:tc>
      </w:tr>
      <w:tr w:rsidR="007872D5">
        <w:trPr>
          <w:trHeight w:hRule="exact" w:val="460"/>
        </w:trPr>
        <w:tc>
          <w:tcPr>
            <w:tcW w:w="29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Хозбытовые стоки</w:t>
            </w:r>
          </w:p>
        </w:tc>
        <w:tc>
          <w:tcPr>
            <w:tcW w:w="234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15000</w:t>
            </w:r>
          </w:p>
        </w:tc>
        <w:tc>
          <w:tcPr>
            <w:tcW w:w="232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14850</w:t>
            </w:r>
          </w:p>
        </w:tc>
        <w:tc>
          <w:tcPr>
            <w:tcW w:w="2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-150</w:t>
            </w:r>
          </w:p>
        </w:tc>
      </w:tr>
      <w:tr w:rsidR="007872D5">
        <w:trPr>
          <w:trHeight w:hRule="exact" w:val="480"/>
        </w:trPr>
        <w:tc>
          <w:tcPr>
            <w:tcW w:w="290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Сухой мусор</w:t>
            </w:r>
          </w:p>
        </w:tc>
        <w:tc>
          <w:tcPr>
            <w:tcW w:w="234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420</w:t>
            </w:r>
          </w:p>
        </w:tc>
        <w:tc>
          <w:tcPr>
            <w:tcW w:w="232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244.</w:t>
            </w:r>
          </w:p>
        </w:tc>
        <w:tc>
          <w:tcPr>
            <w:tcW w:w="2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-176</w:t>
            </w:r>
          </w:p>
        </w:tc>
      </w:tr>
    </w:tbl>
    <w:p w:rsidR="007872D5" w:rsidRDefault="007872D5">
      <w:pPr>
        <w:widowControl/>
        <w:spacing w:line="240" w:lineRule="auto"/>
        <w:ind w:firstLine="567"/>
        <w:rPr>
          <w:sz w:val="24"/>
          <w:szCs w:val="24"/>
        </w:rPr>
      </w:pPr>
    </w:p>
    <w:p w:rsidR="007872D5" w:rsidRDefault="00525DF7">
      <w:pPr>
        <w:pStyle w:val="2"/>
      </w:pPr>
      <w:r>
        <w:t>- построено самоходное судно по комплексной переработке отходов для работы в Нижегородском порту;</w:t>
      </w:r>
    </w:p>
    <w:p w:rsidR="007872D5" w:rsidRDefault="00525DF7">
      <w:pPr>
        <w:widowControl/>
        <w:spacing w:line="240" w:lineRule="auto"/>
        <w:ind w:firstLine="567"/>
        <w:rPr>
          <w:sz w:val="24"/>
          <w:szCs w:val="24"/>
        </w:rPr>
      </w:pPr>
      <w:r>
        <w:rPr>
          <w:sz w:val="24"/>
          <w:szCs w:val="24"/>
        </w:rPr>
        <w:t>- теплоход "Константин Коротков" оборудован системой приготовления водо - топливной эмульсии;</w:t>
      </w:r>
    </w:p>
    <w:p w:rsidR="007872D5" w:rsidRDefault="00525DF7">
      <w:pPr>
        <w:widowControl/>
        <w:spacing w:line="240" w:lineRule="auto"/>
        <w:ind w:firstLine="567"/>
        <w:rPr>
          <w:sz w:val="24"/>
          <w:szCs w:val="24"/>
        </w:rPr>
      </w:pPr>
      <w:r>
        <w:rPr>
          <w:sz w:val="24"/>
          <w:szCs w:val="24"/>
        </w:rPr>
        <w:t>- на 5 судах типа "Волго-Дон" установлена система электронного управляющего комплекса для экономичного режима движения судна и экономии топлива.</w:t>
      </w:r>
    </w:p>
    <w:p w:rsidR="007872D5" w:rsidRDefault="00525DF7">
      <w:pPr>
        <w:widowControl/>
        <w:spacing w:line="240" w:lineRule="auto"/>
        <w:ind w:firstLine="567"/>
        <w:rPr>
          <w:sz w:val="24"/>
          <w:szCs w:val="24"/>
        </w:rPr>
      </w:pPr>
      <w:r>
        <w:rPr>
          <w:sz w:val="24"/>
          <w:szCs w:val="24"/>
        </w:rPr>
        <w:t>Выполнение этих и других мероприятий позволило исключить случаи сверхнормативного загрязнения окружающей среды и получить экономию топлива - 36,5 т. На выполнение всех мероприятий пароходством затрачено 2,4 млрд. рублей.</w:t>
      </w:r>
    </w:p>
    <w:p w:rsidR="007872D5" w:rsidRDefault="00525DF7">
      <w:pPr>
        <w:widowControl/>
        <w:spacing w:line="240" w:lineRule="auto"/>
        <w:ind w:firstLine="567"/>
        <w:rPr>
          <w:sz w:val="24"/>
          <w:szCs w:val="24"/>
        </w:rPr>
      </w:pPr>
      <w:r>
        <w:rPr>
          <w:sz w:val="24"/>
          <w:szCs w:val="24"/>
        </w:rPr>
        <w:t>Определенное влияние на чистоту водных объектов и прибрежных территорий оказывает маломерный флот, базирующийся в водо-охранных зонах рек и озер. По состоянию на 01.01.96 г. в Областной госинспекции по маломерным судам</w:t>
      </w:r>
      <w:r>
        <w:rPr>
          <w:b/>
          <w:bCs/>
          <w:sz w:val="24"/>
          <w:szCs w:val="24"/>
        </w:rPr>
        <w:t xml:space="preserve"> </w:t>
      </w:r>
      <w:r>
        <w:rPr>
          <w:sz w:val="24"/>
          <w:szCs w:val="24"/>
        </w:rPr>
        <w:t>(ОГИМС) на учете по Н. Новгороду состоит 3917 маломерных судов. Однако, уровень эксплуатации маломерных моторных судов ежегодно снижается из-за дороговизны эксплуатации, снижения рыбных запасов и по другим причинам.</w:t>
      </w:r>
    </w:p>
    <w:p w:rsidR="007872D5" w:rsidRDefault="00525DF7">
      <w:pPr>
        <w:widowControl/>
        <w:spacing w:line="240" w:lineRule="auto"/>
        <w:ind w:firstLine="567"/>
        <w:rPr>
          <w:sz w:val="24"/>
          <w:szCs w:val="24"/>
        </w:rPr>
      </w:pPr>
      <w:r>
        <w:rPr>
          <w:sz w:val="24"/>
          <w:szCs w:val="24"/>
        </w:rPr>
        <w:t>Нижний Новгород - крупный железнодорожный узел.</w:t>
      </w:r>
    </w:p>
    <w:p w:rsidR="007872D5" w:rsidRDefault="007872D5">
      <w:pPr>
        <w:widowControl/>
        <w:spacing w:line="240" w:lineRule="auto"/>
        <w:ind w:firstLine="567"/>
        <w:rPr>
          <w:sz w:val="24"/>
          <w:szCs w:val="24"/>
        </w:rPr>
      </w:pPr>
    </w:p>
    <w:p w:rsidR="007872D5" w:rsidRDefault="00525DF7">
      <w:pPr>
        <w:widowControl/>
        <w:spacing w:line="240" w:lineRule="auto"/>
        <w:ind w:firstLine="567"/>
        <w:rPr>
          <w:sz w:val="24"/>
          <w:szCs w:val="24"/>
        </w:rPr>
      </w:pPr>
      <w:r>
        <w:rPr>
          <w:sz w:val="24"/>
          <w:szCs w:val="24"/>
        </w:rPr>
        <w:t>Сведения по проследованию через ст. Горький - Московский пассажирских и грузовых поездов (данные Горьковского отделения УГЖД</w:t>
      </w:r>
      <w:r>
        <w:rPr>
          <w:b/>
          <w:bCs/>
          <w:sz w:val="24"/>
          <w:szCs w:val="24"/>
        </w:rPr>
        <w:t xml:space="preserve"> </w:t>
      </w:r>
      <w:r>
        <w:rPr>
          <w:sz w:val="24"/>
          <w:szCs w:val="24"/>
        </w:rPr>
        <w:t>МПС) приведены в табл. 1.5.</w:t>
      </w:r>
    </w:p>
    <w:p w:rsidR="007872D5" w:rsidRDefault="00525DF7">
      <w:pPr>
        <w:widowControl/>
        <w:spacing w:line="240" w:lineRule="auto"/>
        <w:ind w:firstLine="567"/>
        <w:rPr>
          <w:sz w:val="24"/>
          <w:szCs w:val="24"/>
        </w:rPr>
      </w:pPr>
      <w:r>
        <w:rPr>
          <w:sz w:val="24"/>
          <w:szCs w:val="24"/>
        </w:rPr>
        <w:t>Приведенные данные</w:t>
      </w:r>
      <w:r>
        <w:rPr>
          <w:b/>
          <w:bCs/>
          <w:sz w:val="24"/>
          <w:szCs w:val="24"/>
        </w:rPr>
        <w:t xml:space="preserve"> </w:t>
      </w:r>
      <w:r>
        <w:rPr>
          <w:sz w:val="24"/>
          <w:szCs w:val="24"/>
        </w:rPr>
        <w:t>вновь свидетельствуют об уменьшении движения поездов по отделению дороги в среднем на 5% за год. В определенной степени здесь сказываются постоянно возрастающие тарифы на перевозки пассажиров и грузов, таможенные барьеры и т.п.</w:t>
      </w:r>
    </w:p>
    <w:p w:rsidR="007872D5" w:rsidRDefault="00525DF7">
      <w:pPr>
        <w:widowControl/>
        <w:spacing w:line="240" w:lineRule="auto"/>
        <w:ind w:firstLine="0"/>
        <w:rPr>
          <w:sz w:val="24"/>
          <w:szCs w:val="24"/>
        </w:rPr>
      </w:pPr>
      <w:r>
        <w:rPr>
          <w:sz w:val="24"/>
          <w:szCs w:val="24"/>
        </w:rPr>
        <w:t xml:space="preserve">Таблица 1.5. </w:t>
      </w:r>
    </w:p>
    <w:p w:rsidR="007872D5" w:rsidRDefault="00525DF7">
      <w:pPr>
        <w:widowControl/>
        <w:spacing w:line="240" w:lineRule="auto"/>
        <w:ind w:firstLine="0"/>
        <w:rPr>
          <w:sz w:val="24"/>
          <w:szCs w:val="24"/>
        </w:rPr>
      </w:pPr>
      <w:r>
        <w:rPr>
          <w:b/>
          <w:bCs/>
          <w:sz w:val="24"/>
          <w:szCs w:val="24"/>
        </w:rPr>
        <w:t>Типы и размеры железнодорожных составов и динамика перевозок</w:t>
      </w:r>
    </w:p>
    <w:tbl>
      <w:tblPr>
        <w:tblW w:w="0" w:type="auto"/>
        <w:tblInd w:w="-8" w:type="dxa"/>
        <w:tblLayout w:type="fixed"/>
        <w:tblCellMar>
          <w:left w:w="40" w:type="dxa"/>
          <w:right w:w="40" w:type="dxa"/>
        </w:tblCellMar>
        <w:tblLook w:val="0000" w:firstRow="0" w:lastRow="0" w:firstColumn="0" w:lastColumn="0" w:noHBand="0" w:noVBand="0"/>
      </w:tblPr>
      <w:tblGrid>
        <w:gridCol w:w="1985"/>
        <w:gridCol w:w="2551"/>
        <w:gridCol w:w="1134"/>
        <w:gridCol w:w="1276"/>
        <w:gridCol w:w="2774"/>
      </w:tblGrid>
      <w:tr w:rsidR="007872D5">
        <w:trPr>
          <w:cantSplit/>
          <w:trHeight w:val="578"/>
        </w:trPr>
        <w:tc>
          <w:tcPr>
            <w:tcW w:w="1985" w:type="dxa"/>
            <w:vMerge w:val="restart"/>
            <w:tcBorders>
              <w:top w:val="single" w:sz="6" w:space="0" w:color="auto"/>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Типы поездов</w:t>
            </w:r>
          </w:p>
        </w:tc>
        <w:tc>
          <w:tcPr>
            <w:tcW w:w="2551" w:type="dxa"/>
            <w:vMerge w:val="restart"/>
            <w:tcBorders>
              <w:top w:val="single" w:sz="6" w:space="0" w:color="auto"/>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Средняя длина состава (кол-во вагонов)</w:t>
            </w:r>
          </w:p>
        </w:tc>
        <w:tc>
          <w:tcPr>
            <w:tcW w:w="5184" w:type="dxa"/>
            <w:gridSpan w:val="3"/>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Количество поездов</w:t>
            </w:r>
          </w:p>
        </w:tc>
      </w:tr>
      <w:tr w:rsidR="007872D5">
        <w:trPr>
          <w:cantSplit/>
          <w:trHeight w:val="579"/>
        </w:trPr>
        <w:tc>
          <w:tcPr>
            <w:tcW w:w="1985" w:type="dxa"/>
            <w:vMerge/>
            <w:tcBorders>
              <w:top w:val="nil"/>
              <w:left w:val="single" w:sz="6" w:space="0" w:color="auto"/>
              <w:bottom w:val="single" w:sz="6" w:space="0" w:color="auto"/>
              <w:right w:val="single" w:sz="6" w:space="0" w:color="auto"/>
            </w:tcBorders>
          </w:tcPr>
          <w:p w:rsidR="007872D5" w:rsidRDefault="007872D5">
            <w:pPr>
              <w:widowControl/>
              <w:spacing w:line="240" w:lineRule="auto"/>
              <w:ind w:firstLine="0"/>
              <w:rPr>
                <w:sz w:val="24"/>
                <w:szCs w:val="24"/>
              </w:rPr>
            </w:pPr>
          </w:p>
        </w:tc>
        <w:tc>
          <w:tcPr>
            <w:tcW w:w="2551" w:type="dxa"/>
            <w:vMerge/>
            <w:tcBorders>
              <w:top w:val="nil"/>
              <w:left w:val="single" w:sz="6" w:space="0" w:color="auto"/>
              <w:bottom w:val="single" w:sz="6" w:space="0" w:color="auto"/>
              <w:right w:val="single" w:sz="6" w:space="0" w:color="auto"/>
            </w:tcBorders>
          </w:tcPr>
          <w:p w:rsidR="007872D5" w:rsidRDefault="007872D5">
            <w:pPr>
              <w:widowControl/>
              <w:spacing w:line="240" w:lineRule="auto"/>
              <w:ind w:firstLine="0"/>
              <w:rPr>
                <w:sz w:val="24"/>
                <w:szCs w:val="24"/>
              </w:rPr>
            </w:pPr>
          </w:p>
        </w:tc>
        <w:tc>
          <w:tcPr>
            <w:tcW w:w="1134"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1994г.</w:t>
            </w:r>
          </w:p>
        </w:tc>
        <w:tc>
          <w:tcPr>
            <w:tcW w:w="1276"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1995г.</w:t>
            </w:r>
          </w:p>
        </w:tc>
        <w:tc>
          <w:tcPr>
            <w:tcW w:w="2774"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Рост(+), убыль(-)</w:t>
            </w:r>
          </w:p>
        </w:tc>
      </w:tr>
      <w:tr w:rsidR="007872D5">
        <w:trPr>
          <w:trHeight w:val="578"/>
        </w:trPr>
        <w:tc>
          <w:tcPr>
            <w:tcW w:w="1985"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Пассажирские</w:t>
            </w:r>
          </w:p>
        </w:tc>
        <w:tc>
          <w:tcPr>
            <w:tcW w:w="2551"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20</w:t>
            </w:r>
          </w:p>
        </w:tc>
        <w:tc>
          <w:tcPr>
            <w:tcW w:w="1134"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13935</w:t>
            </w:r>
          </w:p>
        </w:tc>
        <w:tc>
          <w:tcPr>
            <w:tcW w:w="1276"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13335</w:t>
            </w:r>
          </w:p>
        </w:tc>
        <w:tc>
          <w:tcPr>
            <w:tcW w:w="2774"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-600</w:t>
            </w:r>
          </w:p>
        </w:tc>
      </w:tr>
      <w:tr w:rsidR="007872D5">
        <w:trPr>
          <w:trHeight w:val="579"/>
        </w:trPr>
        <w:tc>
          <w:tcPr>
            <w:tcW w:w="1985"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Грузовые</w:t>
            </w:r>
          </w:p>
        </w:tc>
        <w:tc>
          <w:tcPr>
            <w:tcW w:w="2551"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60</w:t>
            </w:r>
          </w:p>
        </w:tc>
        <w:tc>
          <w:tcPr>
            <w:tcW w:w="1134"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64311</w:t>
            </w:r>
          </w:p>
        </w:tc>
        <w:tc>
          <w:tcPr>
            <w:tcW w:w="1276"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60561</w:t>
            </w:r>
          </w:p>
        </w:tc>
        <w:tc>
          <w:tcPr>
            <w:tcW w:w="2774"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-3750</w:t>
            </w:r>
          </w:p>
        </w:tc>
      </w:tr>
      <w:tr w:rsidR="007872D5">
        <w:trPr>
          <w:trHeight w:val="579"/>
        </w:trPr>
        <w:tc>
          <w:tcPr>
            <w:tcW w:w="1985"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Пригородные</w:t>
            </w:r>
          </w:p>
        </w:tc>
        <w:tc>
          <w:tcPr>
            <w:tcW w:w="2551"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10</w:t>
            </w:r>
          </w:p>
        </w:tc>
        <w:tc>
          <w:tcPr>
            <w:tcW w:w="1134"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65472</w:t>
            </w:r>
          </w:p>
        </w:tc>
        <w:tc>
          <w:tcPr>
            <w:tcW w:w="1276"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65354</w:t>
            </w:r>
          </w:p>
        </w:tc>
        <w:tc>
          <w:tcPr>
            <w:tcW w:w="2774"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-118</w:t>
            </w:r>
          </w:p>
        </w:tc>
      </w:tr>
    </w:tbl>
    <w:p w:rsidR="007872D5" w:rsidRDefault="007872D5">
      <w:pPr>
        <w:widowControl/>
        <w:spacing w:line="240" w:lineRule="auto"/>
        <w:ind w:firstLine="567"/>
        <w:rPr>
          <w:sz w:val="24"/>
          <w:szCs w:val="24"/>
        </w:rPr>
      </w:pPr>
    </w:p>
    <w:p w:rsidR="007872D5" w:rsidRDefault="00525DF7">
      <w:pPr>
        <w:widowControl/>
        <w:spacing w:line="240" w:lineRule="auto"/>
        <w:ind w:firstLine="567"/>
        <w:rPr>
          <w:sz w:val="24"/>
          <w:szCs w:val="24"/>
        </w:rPr>
      </w:pPr>
      <w:r>
        <w:rPr>
          <w:sz w:val="24"/>
          <w:szCs w:val="24"/>
        </w:rPr>
        <w:t>Участок Горьковского отделения железной дороги переведен на электрическую тягу и тепловозы на магистральных перевозках не эксплуатируются. Это существенно снижает уровень загрязнения атмосферного воздуха от железнодорожного транспорта. Количество дизель-поездов для перевозки пассажиров в 1995 г. снизилось по сравнению с 1994 г. на 4 единицы и составило 6 единиц (Горький-Павлово - 5 ед.; Мыза-Ротка - 1). В маневровых передвижениях по парку формирования поездов на ст. Горький-Московский и Горький-Сортировочный эксплуатируются 17 тепловозов типа ЧМЭ-3. При этом за прошедший год ими выработано 80502 локомотиво-часов, что почти на 9 тыс. машино-часов меньше, чем в 1994 году.</w:t>
      </w:r>
    </w:p>
    <w:p w:rsidR="007872D5" w:rsidRDefault="00525DF7">
      <w:pPr>
        <w:widowControl/>
        <w:spacing w:line="240" w:lineRule="auto"/>
        <w:ind w:firstLine="567"/>
        <w:rPr>
          <w:sz w:val="24"/>
          <w:szCs w:val="24"/>
        </w:rPr>
      </w:pPr>
      <w:r>
        <w:rPr>
          <w:sz w:val="24"/>
          <w:szCs w:val="24"/>
        </w:rPr>
        <w:t>На отделении дороги ведутся работы по уходу за защитными лесополосами, что способствует уменьшению шума от движения железнодорожных составов, особенно в черте города. В прошлом году эти работы выполнены на площади 234,7 га. Посажено 1,8 тысяч саженцев деревьев.</w:t>
      </w:r>
    </w:p>
    <w:p w:rsidR="007872D5" w:rsidRDefault="00525DF7">
      <w:pPr>
        <w:widowControl/>
        <w:spacing w:line="240" w:lineRule="auto"/>
        <w:ind w:firstLine="567"/>
        <w:rPr>
          <w:sz w:val="24"/>
          <w:szCs w:val="24"/>
        </w:rPr>
      </w:pPr>
      <w:r>
        <w:rPr>
          <w:sz w:val="24"/>
          <w:szCs w:val="24"/>
        </w:rPr>
        <w:t xml:space="preserve">Большое значение для Н.Новгорода имеют воздушные перевозки. Город располагает международным аэропортом с основным аэродромом, а также аэропортом местных линий. Кроме того, имеется специальный аэродром, принадлежащий Нижегородскому авиационному заводу "Сокол". </w:t>
      </w:r>
    </w:p>
    <w:p w:rsidR="007872D5" w:rsidRDefault="00525DF7">
      <w:pPr>
        <w:widowControl/>
        <w:spacing w:line="240" w:lineRule="auto"/>
        <w:ind w:firstLine="567"/>
        <w:rPr>
          <w:sz w:val="24"/>
          <w:szCs w:val="24"/>
        </w:rPr>
      </w:pPr>
      <w:r>
        <w:rPr>
          <w:sz w:val="24"/>
          <w:szCs w:val="24"/>
        </w:rPr>
        <w:t>Значительную часть перевозок в настоящее время составляют</w:t>
      </w:r>
      <w:r>
        <w:rPr>
          <w:sz w:val="24"/>
          <w:szCs w:val="24"/>
          <w:lang w:val="en-US"/>
        </w:rPr>
        <w:t>,</w:t>
      </w:r>
      <w:r>
        <w:rPr>
          <w:sz w:val="24"/>
          <w:szCs w:val="24"/>
        </w:rPr>
        <w:t xml:space="preserve"> так называемые</w:t>
      </w:r>
      <w:r>
        <w:rPr>
          <w:sz w:val="24"/>
          <w:szCs w:val="24"/>
          <w:lang w:val="en-US"/>
        </w:rPr>
        <w:t>,</w:t>
      </w:r>
      <w:r>
        <w:rPr>
          <w:sz w:val="24"/>
          <w:szCs w:val="24"/>
        </w:rPr>
        <w:t xml:space="preserve"> "челночные" и "чартерные" рейсы в государства ближнего и дальнего зарубежья.</w:t>
      </w:r>
    </w:p>
    <w:p w:rsidR="007872D5" w:rsidRDefault="007872D5">
      <w:pPr>
        <w:widowControl/>
        <w:spacing w:line="240" w:lineRule="auto"/>
        <w:ind w:firstLine="567"/>
        <w:rPr>
          <w:sz w:val="24"/>
          <w:szCs w:val="24"/>
        </w:rPr>
      </w:pPr>
    </w:p>
    <w:p w:rsidR="007872D5" w:rsidRDefault="00525DF7">
      <w:pPr>
        <w:widowControl/>
        <w:spacing w:line="240" w:lineRule="auto"/>
        <w:ind w:firstLine="0"/>
        <w:rPr>
          <w:sz w:val="24"/>
          <w:szCs w:val="24"/>
        </w:rPr>
      </w:pPr>
      <w:r>
        <w:rPr>
          <w:sz w:val="24"/>
          <w:szCs w:val="24"/>
        </w:rPr>
        <w:t>Таблица1.6.</w:t>
      </w:r>
    </w:p>
    <w:p w:rsidR="007872D5" w:rsidRDefault="00525DF7">
      <w:pPr>
        <w:widowControl/>
        <w:spacing w:line="240" w:lineRule="auto"/>
        <w:ind w:firstLine="0"/>
        <w:rPr>
          <w:b/>
          <w:bCs/>
          <w:sz w:val="24"/>
          <w:szCs w:val="24"/>
        </w:rPr>
      </w:pPr>
      <w:r>
        <w:rPr>
          <w:b/>
          <w:bCs/>
          <w:sz w:val="24"/>
          <w:szCs w:val="24"/>
        </w:rPr>
        <w:t>Виды авиационных топлив</w:t>
      </w:r>
      <w:r>
        <w:rPr>
          <w:b/>
          <w:bCs/>
          <w:sz w:val="24"/>
          <w:szCs w:val="24"/>
          <w:lang w:val="en-US"/>
        </w:rPr>
        <w:t>,</w:t>
      </w:r>
      <w:r>
        <w:rPr>
          <w:b/>
          <w:bCs/>
          <w:sz w:val="24"/>
          <w:szCs w:val="24"/>
        </w:rPr>
        <w:t xml:space="preserve"> используемых воздушными судами</w:t>
      </w:r>
      <w:r>
        <w:rPr>
          <w:b/>
          <w:bCs/>
          <w:sz w:val="24"/>
          <w:szCs w:val="24"/>
          <w:lang w:val="en-US"/>
        </w:rPr>
        <w:t>,</w:t>
      </w:r>
      <w:r>
        <w:rPr>
          <w:b/>
          <w:bCs/>
          <w:sz w:val="24"/>
          <w:szCs w:val="24"/>
        </w:rPr>
        <w:t xml:space="preserve"> и динамика их расхода (на режимах посадка-руление-взлёт).</w:t>
      </w:r>
    </w:p>
    <w:tbl>
      <w:tblPr>
        <w:tblW w:w="0" w:type="auto"/>
        <w:tblInd w:w="-8" w:type="dxa"/>
        <w:tblLayout w:type="fixed"/>
        <w:tblCellMar>
          <w:left w:w="40" w:type="dxa"/>
          <w:right w:w="40" w:type="dxa"/>
        </w:tblCellMar>
        <w:tblLook w:val="0000" w:firstRow="0" w:lastRow="0" w:firstColumn="0" w:lastColumn="0" w:noHBand="0" w:noVBand="0"/>
      </w:tblPr>
      <w:tblGrid>
        <w:gridCol w:w="3640"/>
        <w:gridCol w:w="2160"/>
        <w:gridCol w:w="2180"/>
        <w:gridCol w:w="1760"/>
      </w:tblGrid>
      <w:tr w:rsidR="007872D5">
        <w:trPr>
          <w:cantSplit/>
          <w:trHeight w:hRule="exact" w:val="380"/>
        </w:trPr>
        <w:tc>
          <w:tcPr>
            <w:tcW w:w="3640" w:type="dxa"/>
            <w:vMerge w:val="restart"/>
            <w:tcBorders>
              <w:top w:val="single" w:sz="6" w:space="0" w:color="auto"/>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Вид топлива</w:t>
            </w:r>
          </w:p>
        </w:tc>
        <w:tc>
          <w:tcPr>
            <w:tcW w:w="6100" w:type="dxa"/>
            <w:gridSpan w:val="3"/>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Расход топлива, тыс. тонн</w:t>
            </w:r>
          </w:p>
        </w:tc>
      </w:tr>
      <w:tr w:rsidR="007872D5">
        <w:trPr>
          <w:cantSplit/>
          <w:trHeight w:hRule="exact" w:val="735"/>
        </w:trPr>
        <w:tc>
          <w:tcPr>
            <w:tcW w:w="3640" w:type="dxa"/>
            <w:vMerge/>
            <w:tcBorders>
              <w:top w:val="nil"/>
              <w:left w:val="single" w:sz="6" w:space="0" w:color="auto"/>
              <w:bottom w:val="single" w:sz="6" w:space="0" w:color="auto"/>
              <w:right w:val="single" w:sz="6" w:space="0" w:color="auto"/>
            </w:tcBorders>
          </w:tcPr>
          <w:p w:rsidR="007872D5" w:rsidRDefault="007872D5">
            <w:pPr>
              <w:widowControl/>
              <w:spacing w:line="240" w:lineRule="auto"/>
              <w:ind w:firstLine="0"/>
              <w:rPr>
                <w:sz w:val="24"/>
                <w:szCs w:val="24"/>
              </w:rPr>
            </w:pPr>
          </w:p>
        </w:tc>
        <w:tc>
          <w:tcPr>
            <w:tcW w:w="216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1994г.</w:t>
            </w:r>
          </w:p>
        </w:tc>
        <w:tc>
          <w:tcPr>
            <w:tcW w:w="218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1995г.</w:t>
            </w:r>
          </w:p>
        </w:tc>
        <w:tc>
          <w:tcPr>
            <w:tcW w:w="1760"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Рост(+), убыль (-)</w:t>
            </w:r>
          </w:p>
        </w:tc>
      </w:tr>
      <w:tr w:rsidR="007872D5">
        <w:trPr>
          <w:trHeight w:hRule="exact" w:val="460"/>
        </w:trPr>
        <w:tc>
          <w:tcPr>
            <w:tcW w:w="3640" w:type="dxa"/>
            <w:tcBorders>
              <w:top w:val="single" w:sz="6" w:space="0" w:color="auto"/>
              <w:left w:val="single" w:sz="6" w:space="0" w:color="auto"/>
              <w:bottom w:val="nil"/>
              <w:right w:val="single" w:sz="6" w:space="0" w:color="auto"/>
            </w:tcBorders>
          </w:tcPr>
          <w:p w:rsidR="007872D5" w:rsidRDefault="00525DF7">
            <w:pPr>
              <w:pStyle w:val="1"/>
            </w:pPr>
            <w:r>
              <w:t>Авиакеросин ТС-1</w:t>
            </w:r>
          </w:p>
        </w:tc>
        <w:tc>
          <w:tcPr>
            <w:tcW w:w="2160" w:type="dxa"/>
            <w:tcBorders>
              <w:top w:val="single" w:sz="6" w:space="0" w:color="auto"/>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53,0</w:t>
            </w:r>
          </w:p>
        </w:tc>
        <w:tc>
          <w:tcPr>
            <w:tcW w:w="2180" w:type="dxa"/>
            <w:tcBorders>
              <w:top w:val="single" w:sz="6" w:space="0" w:color="auto"/>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33,87</w:t>
            </w:r>
          </w:p>
        </w:tc>
        <w:tc>
          <w:tcPr>
            <w:tcW w:w="1760" w:type="dxa"/>
            <w:tcBorders>
              <w:top w:val="single" w:sz="6" w:space="0" w:color="auto"/>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-19,13</w:t>
            </w:r>
          </w:p>
        </w:tc>
      </w:tr>
      <w:tr w:rsidR="007872D5">
        <w:trPr>
          <w:trHeight w:hRule="exact" w:val="420"/>
        </w:trPr>
        <w:tc>
          <w:tcPr>
            <w:tcW w:w="3640" w:type="dxa"/>
            <w:tcBorders>
              <w:top w:val="nil"/>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Авиабензин Б-91</w:t>
            </w:r>
          </w:p>
        </w:tc>
        <w:tc>
          <w:tcPr>
            <w:tcW w:w="2160" w:type="dxa"/>
            <w:tcBorders>
              <w:top w:val="nil"/>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0,3</w:t>
            </w:r>
          </w:p>
        </w:tc>
        <w:tc>
          <w:tcPr>
            <w:tcW w:w="2180" w:type="dxa"/>
            <w:tcBorders>
              <w:top w:val="nil"/>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0,05</w:t>
            </w:r>
          </w:p>
        </w:tc>
        <w:tc>
          <w:tcPr>
            <w:tcW w:w="1760" w:type="dxa"/>
            <w:tcBorders>
              <w:top w:val="nil"/>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-0,25</w:t>
            </w:r>
          </w:p>
        </w:tc>
      </w:tr>
    </w:tbl>
    <w:p w:rsidR="007872D5" w:rsidRDefault="007872D5">
      <w:pPr>
        <w:widowControl/>
        <w:spacing w:line="240" w:lineRule="auto"/>
        <w:ind w:firstLine="567"/>
        <w:rPr>
          <w:sz w:val="24"/>
          <w:szCs w:val="24"/>
        </w:rPr>
      </w:pPr>
    </w:p>
    <w:p w:rsidR="007872D5" w:rsidRDefault="00525DF7">
      <w:pPr>
        <w:widowControl/>
        <w:spacing w:line="240" w:lineRule="auto"/>
        <w:ind w:firstLine="567"/>
        <w:rPr>
          <w:sz w:val="24"/>
          <w:szCs w:val="24"/>
        </w:rPr>
      </w:pPr>
      <w:r>
        <w:rPr>
          <w:sz w:val="24"/>
          <w:szCs w:val="24"/>
        </w:rPr>
        <w:t>Использование морально устаревших самолетов приводит к повышенному расходу топлива по сравнению с зарубежными аналогами, а на обновление парка самолетов совершенно нет средств.</w:t>
      </w:r>
    </w:p>
    <w:p w:rsidR="007872D5" w:rsidRDefault="00525DF7">
      <w:pPr>
        <w:widowControl/>
        <w:spacing w:line="240" w:lineRule="auto"/>
        <w:ind w:firstLine="567"/>
        <w:rPr>
          <w:sz w:val="24"/>
          <w:szCs w:val="24"/>
        </w:rPr>
      </w:pPr>
      <w:r>
        <w:rPr>
          <w:sz w:val="24"/>
          <w:szCs w:val="24"/>
        </w:rPr>
        <w:t>Кроме загрязнения атмосферного воздуха, авиатранспорт оказывает значительное шумовое воздействие на окружающую природную среду. В зону шумового дискомфорта попадает часть Автозаводского, Приокского, Канавинского, Московского и Сормовского районов.</w:t>
      </w:r>
    </w:p>
    <w:p w:rsidR="007872D5" w:rsidRDefault="00525DF7">
      <w:pPr>
        <w:widowControl/>
        <w:spacing w:line="240" w:lineRule="auto"/>
        <w:ind w:firstLine="567"/>
        <w:rPr>
          <w:sz w:val="24"/>
          <w:szCs w:val="24"/>
        </w:rPr>
      </w:pPr>
      <w:r>
        <w:rPr>
          <w:sz w:val="24"/>
          <w:szCs w:val="24"/>
        </w:rPr>
        <w:t>Используемые аэропортом средства аэронавигации производят электромагнитное излучение. Наибольшую мощность излучения имеет обзорный радиолокатор, расположенный на территории аэропорта. Радиус его защитной зоны составляет 2854 метра при мощности излучения на границе 15 МКВт/см</w:t>
      </w:r>
      <w:r>
        <w:rPr>
          <w:sz w:val="24"/>
          <w:szCs w:val="24"/>
          <w:vertAlign w:val="superscript"/>
        </w:rPr>
        <w:t>2</w:t>
      </w:r>
      <w:r>
        <w:rPr>
          <w:sz w:val="24"/>
          <w:szCs w:val="24"/>
        </w:rPr>
        <w:t>. В 1996 г. данный локатор будет выведен из эксплуатации.</w:t>
      </w:r>
    </w:p>
    <w:p w:rsidR="007872D5" w:rsidRDefault="00525DF7">
      <w:pPr>
        <w:widowControl/>
        <w:spacing w:line="240" w:lineRule="auto"/>
        <w:ind w:firstLine="567"/>
        <w:rPr>
          <w:sz w:val="24"/>
          <w:szCs w:val="24"/>
        </w:rPr>
      </w:pPr>
      <w:r>
        <w:rPr>
          <w:sz w:val="24"/>
          <w:szCs w:val="24"/>
        </w:rPr>
        <w:t xml:space="preserve"> Загрязнение окружающей природной среды в городе зависит от массы и качества сожженного на его территории топлива. Реализация бензина и дизельного топлива производится через автозаправочные станции</w:t>
      </w:r>
      <w:r>
        <w:rPr>
          <w:b/>
          <w:bCs/>
          <w:sz w:val="24"/>
          <w:szCs w:val="24"/>
        </w:rPr>
        <w:t xml:space="preserve"> </w:t>
      </w:r>
      <w:r>
        <w:rPr>
          <w:sz w:val="24"/>
          <w:szCs w:val="24"/>
        </w:rPr>
        <w:t>(АЭС) АО "Н.Новгород - Нефтепродукт", других владельцев, а также на топливных заправках промышленных предприятий (ТЗПП). В качестве моторного топлива автотранспорт использует сжатый природный и сжиженный нефтяной газы.</w:t>
      </w:r>
    </w:p>
    <w:p w:rsidR="007872D5" w:rsidRDefault="00525DF7">
      <w:pPr>
        <w:widowControl/>
        <w:spacing w:line="240" w:lineRule="auto"/>
        <w:ind w:firstLine="567"/>
        <w:rPr>
          <w:sz w:val="24"/>
          <w:szCs w:val="24"/>
        </w:rPr>
      </w:pPr>
      <w:r>
        <w:rPr>
          <w:sz w:val="24"/>
          <w:szCs w:val="24"/>
        </w:rPr>
        <w:t>Сведения о количестве и качестве моторных топлив, использованных городским транспортом в 1994-95 гг. (данные</w:t>
      </w:r>
      <w:r>
        <w:rPr>
          <w:b/>
          <w:bCs/>
          <w:sz w:val="24"/>
          <w:szCs w:val="24"/>
        </w:rPr>
        <w:t xml:space="preserve"> </w:t>
      </w:r>
      <w:r>
        <w:rPr>
          <w:sz w:val="24"/>
          <w:szCs w:val="24"/>
        </w:rPr>
        <w:t>АО "Н.Новгород - Нефтепродукт",</w:t>
      </w:r>
      <w:r>
        <w:rPr>
          <w:b/>
          <w:bCs/>
          <w:sz w:val="24"/>
          <w:szCs w:val="24"/>
        </w:rPr>
        <w:t xml:space="preserve"> </w:t>
      </w:r>
      <w:r>
        <w:rPr>
          <w:sz w:val="24"/>
          <w:szCs w:val="24"/>
        </w:rPr>
        <w:t>АО "НОРСИ"</w:t>
      </w:r>
      <w:r>
        <w:rPr>
          <w:b/>
          <w:bCs/>
          <w:sz w:val="24"/>
          <w:szCs w:val="24"/>
        </w:rPr>
        <w:t>,</w:t>
      </w:r>
      <w:r>
        <w:rPr>
          <w:sz w:val="24"/>
          <w:szCs w:val="24"/>
        </w:rPr>
        <w:t xml:space="preserve"> ДП "Волготрансгаз" и</w:t>
      </w:r>
      <w:r>
        <w:rPr>
          <w:b/>
          <w:bCs/>
          <w:sz w:val="24"/>
          <w:szCs w:val="24"/>
        </w:rPr>
        <w:t xml:space="preserve"> АООТ</w:t>
      </w:r>
      <w:r>
        <w:rPr>
          <w:sz w:val="24"/>
          <w:szCs w:val="24"/>
        </w:rPr>
        <w:t xml:space="preserve"> "Нижегородоблгаз"), приведены в табл. 1.7.</w:t>
      </w:r>
    </w:p>
    <w:p w:rsidR="007872D5" w:rsidRDefault="00525DF7">
      <w:pPr>
        <w:widowControl/>
        <w:spacing w:line="240" w:lineRule="auto"/>
        <w:ind w:firstLine="0"/>
        <w:rPr>
          <w:sz w:val="24"/>
          <w:szCs w:val="24"/>
        </w:rPr>
      </w:pPr>
      <w:r>
        <w:rPr>
          <w:sz w:val="24"/>
          <w:szCs w:val="24"/>
        </w:rPr>
        <w:t>Таблица 1.7.</w:t>
      </w:r>
    </w:p>
    <w:tbl>
      <w:tblPr>
        <w:tblW w:w="0" w:type="auto"/>
        <w:tblInd w:w="-8" w:type="dxa"/>
        <w:tblLayout w:type="fixed"/>
        <w:tblCellMar>
          <w:left w:w="40" w:type="dxa"/>
          <w:right w:w="40" w:type="dxa"/>
        </w:tblCellMar>
        <w:tblLook w:val="0000" w:firstRow="0" w:lastRow="0" w:firstColumn="0" w:lastColumn="0" w:noHBand="0" w:noVBand="0"/>
      </w:tblPr>
      <w:tblGrid>
        <w:gridCol w:w="3402"/>
        <w:gridCol w:w="993"/>
        <w:gridCol w:w="1842"/>
        <w:gridCol w:w="3523"/>
      </w:tblGrid>
      <w:tr w:rsidR="007872D5">
        <w:trPr>
          <w:cantSplit/>
          <w:trHeight w:val="501"/>
        </w:trPr>
        <w:tc>
          <w:tcPr>
            <w:tcW w:w="3402" w:type="dxa"/>
            <w:vMerge w:val="restart"/>
            <w:tcBorders>
              <w:top w:val="single" w:sz="6" w:space="0" w:color="auto"/>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Вид топлива.</w:t>
            </w:r>
          </w:p>
        </w:tc>
        <w:tc>
          <w:tcPr>
            <w:tcW w:w="6358" w:type="dxa"/>
            <w:gridSpan w:val="3"/>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Потребление топлива, тыс. тонн</w:t>
            </w:r>
          </w:p>
        </w:tc>
      </w:tr>
      <w:tr w:rsidR="007872D5">
        <w:trPr>
          <w:cantSplit/>
          <w:trHeight w:val="501"/>
        </w:trPr>
        <w:tc>
          <w:tcPr>
            <w:tcW w:w="3402" w:type="dxa"/>
            <w:vMerge/>
            <w:tcBorders>
              <w:top w:val="nil"/>
              <w:left w:val="single" w:sz="6" w:space="0" w:color="auto"/>
              <w:bottom w:val="single" w:sz="6" w:space="0" w:color="auto"/>
              <w:right w:val="single" w:sz="6" w:space="0" w:color="auto"/>
            </w:tcBorders>
          </w:tcPr>
          <w:p w:rsidR="007872D5" w:rsidRDefault="007872D5">
            <w:pPr>
              <w:widowControl/>
              <w:spacing w:line="240" w:lineRule="auto"/>
              <w:ind w:firstLine="0"/>
              <w:rPr>
                <w:sz w:val="24"/>
                <w:szCs w:val="24"/>
              </w:rPr>
            </w:pPr>
          </w:p>
        </w:tc>
        <w:tc>
          <w:tcPr>
            <w:tcW w:w="993"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1994г.</w:t>
            </w:r>
          </w:p>
        </w:tc>
        <w:tc>
          <w:tcPr>
            <w:tcW w:w="1842"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1995г.</w:t>
            </w:r>
          </w:p>
        </w:tc>
        <w:tc>
          <w:tcPr>
            <w:tcW w:w="3523" w:type="dxa"/>
            <w:tcBorders>
              <w:top w:val="single" w:sz="6" w:space="0" w:color="auto"/>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Рост(+), убыль (-)</w:t>
            </w:r>
          </w:p>
        </w:tc>
      </w:tr>
      <w:tr w:rsidR="007872D5">
        <w:trPr>
          <w:trHeight w:val="502"/>
        </w:trPr>
        <w:tc>
          <w:tcPr>
            <w:tcW w:w="3402" w:type="dxa"/>
            <w:tcBorders>
              <w:top w:val="single" w:sz="6" w:space="0" w:color="auto"/>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Автобензин, всего,</w:t>
            </w:r>
          </w:p>
        </w:tc>
        <w:tc>
          <w:tcPr>
            <w:tcW w:w="993" w:type="dxa"/>
            <w:tcBorders>
              <w:top w:val="single" w:sz="6" w:space="0" w:color="auto"/>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191,7</w:t>
            </w:r>
          </w:p>
        </w:tc>
        <w:tc>
          <w:tcPr>
            <w:tcW w:w="1842" w:type="dxa"/>
            <w:tcBorders>
              <w:top w:val="single" w:sz="6" w:space="0" w:color="auto"/>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186,0</w:t>
            </w:r>
          </w:p>
        </w:tc>
        <w:tc>
          <w:tcPr>
            <w:tcW w:w="3523" w:type="dxa"/>
            <w:tcBorders>
              <w:top w:val="single" w:sz="6" w:space="0" w:color="auto"/>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-5,7</w:t>
            </w:r>
          </w:p>
        </w:tc>
      </w:tr>
      <w:tr w:rsidR="007872D5">
        <w:trPr>
          <w:trHeight w:val="501"/>
        </w:trPr>
        <w:tc>
          <w:tcPr>
            <w:tcW w:w="3402"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в том числе:</w:t>
            </w:r>
          </w:p>
        </w:tc>
        <w:tc>
          <w:tcPr>
            <w:tcW w:w="993" w:type="dxa"/>
            <w:tcBorders>
              <w:top w:val="nil"/>
              <w:left w:val="single" w:sz="6" w:space="0" w:color="auto"/>
              <w:bottom w:val="nil"/>
              <w:right w:val="single" w:sz="6" w:space="0" w:color="auto"/>
            </w:tcBorders>
          </w:tcPr>
          <w:p w:rsidR="007872D5" w:rsidRDefault="007872D5">
            <w:pPr>
              <w:widowControl/>
              <w:spacing w:line="240" w:lineRule="auto"/>
              <w:ind w:firstLine="0"/>
              <w:rPr>
                <w:sz w:val="24"/>
                <w:szCs w:val="24"/>
              </w:rPr>
            </w:pPr>
          </w:p>
        </w:tc>
        <w:tc>
          <w:tcPr>
            <w:tcW w:w="1842" w:type="dxa"/>
            <w:tcBorders>
              <w:top w:val="nil"/>
              <w:left w:val="single" w:sz="6" w:space="0" w:color="auto"/>
              <w:bottom w:val="nil"/>
              <w:right w:val="single" w:sz="6" w:space="0" w:color="auto"/>
            </w:tcBorders>
          </w:tcPr>
          <w:p w:rsidR="007872D5" w:rsidRDefault="007872D5">
            <w:pPr>
              <w:widowControl/>
              <w:spacing w:line="240" w:lineRule="auto"/>
              <w:ind w:firstLine="0"/>
              <w:rPr>
                <w:sz w:val="24"/>
                <w:szCs w:val="24"/>
              </w:rPr>
            </w:pPr>
          </w:p>
        </w:tc>
        <w:tc>
          <w:tcPr>
            <w:tcW w:w="3523" w:type="dxa"/>
            <w:tcBorders>
              <w:top w:val="nil"/>
              <w:left w:val="single" w:sz="6" w:space="0" w:color="auto"/>
              <w:bottom w:val="nil"/>
              <w:right w:val="single" w:sz="6" w:space="0" w:color="auto"/>
            </w:tcBorders>
          </w:tcPr>
          <w:p w:rsidR="007872D5" w:rsidRDefault="007872D5">
            <w:pPr>
              <w:widowControl/>
              <w:spacing w:line="240" w:lineRule="auto"/>
              <w:ind w:firstLine="0"/>
              <w:rPr>
                <w:sz w:val="24"/>
                <w:szCs w:val="24"/>
              </w:rPr>
            </w:pPr>
          </w:p>
        </w:tc>
      </w:tr>
      <w:tr w:rsidR="007872D5">
        <w:trPr>
          <w:trHeight w:val="502"/>
        </w:trPr>
        <w:tc>
          <w:tcPr>
            <w:tcW w:w="3402"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АИ-95</w:t>
            </w:r>
          </w:p>
        </w:tc>
        <w:tc>
          <w:tcPr>
            <w:tcW w:w="993"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2,7</w:t>
            </w:r>
          </w:p>
        </w:tc>
        <w:tc>
          <w:tcPr>
            <w:tcW w:w="1842"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3,0</w:t>
            </w:r>
          </w:p>
        </w:tc>
        <w:tc>
          <w:tcPr>
            <w:tcW w:w="3523"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+0,3</w:t>
            </w:r>
          </w:p>
        </w:tc>
      </w:tr>
      <w:tr w:rsidR="007872D5">
        <w:trPr>
          <w:trHeight w:val="501"/>
        </w:trPr>
        <w:tc>
          <w:tcPr>
            <w:tcW w:w="3402"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АИ-92 (неэтилированный)</w:t>
            </w:r>
          </w:p>
        </w:tc>
        <w:tc>
          <w:tcPr>
            <w:tcW w:w="993"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49,3</w:t>
            </w:r>
          </w:p>
        </w:tc>
        <w:tc>
          <w:tcPr>
            <w:tcW w:w="1842"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46,1</w:t>
            </w:r>
          </w:p>
        </w:tc>
        <w:tc>
          <w:tcPr>
            <w:tcW w:w="3523"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-3,2</w:t>
            </w:r>
          </w:p>
        </w:tc>
      </w:tr>
      <w:tr w:rsidR="007872D5">
        <w:trPr>
          <w:trHeight w:val="502"/>
        </w:trPr>
        <w:tc>
          <w:tcPr>
            <w:tcW w:w="3402"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А-72; А-76 (неэтилированный)</w:t>
            </w:r>
          </w:p>
        </w:tc>
        <w:tc>
          <w:tcPr>
            <w:tcW w:w="993"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70,6</w:t>
            </w:r>
          </w:p>
        </w:tc>
        <w:tc>
          <w:tcPr>
            <w:tcW w:w="1842"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121,2</w:t>
            </w:r>
          </w:p>
        </w:tc>
        <w:tc>
          <w:tcPr>
            <w:tcW w:w="3523"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+50,6</w:t>
            </w:r>
          </w:p>
        </w:tc>
      </w:tr>
      <w:tr w:rsidR="007872D5">
        <w:trPr>
          <w:trHeight w:val="501"/>
        </w:trPr>
        <w:tc>
          <w:tcPr>
            <w:tcW w:w="3402"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А-76 (этилированный)</w:t>
            </w:r>
          </w:p>
        </w:tc>
        <w:tc>
          <w:tcPr>
            <w:tcW w:w="993"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71,8</w:t>
            </w:r>
          </w:p>
        </w:tc>
        <w:tc>
          <w:tcPr>
            <w:tcW w:w="1842"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15,7</w:t>
            </w:r>
          </w:p>
        </w:tc>
        <w:tc>
          <w:tcPr>
            <w:tcW w:w="3523"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-56,1</w:t>
            </w:r>
          </w:p>
        </w:tc>
      </w:tr>
      <w:tr w:rsidR="007872D5">
        <w:trPr>
          <w:trHeight w:val="502"/>
        </w:trPr>
        <w:tc>
          <w:tcPr>
            <w:tcW w:w="3402"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Дизельное топливо</w:t>
            </w:r>
          </w:p>
        </w:tc>
        <w:tc>
          <w:tcPr>
            <w:tcW w:w="993"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81,6</w:t>
            </w:r>
          </w:p>
        </w:tc>
        <w:tc>
          <w:tcPr>
            <w:tcW w:w="1842"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66,3</w:t>
            </w:r>
          </w:p>
        </w:tc>
        <w:tc>
          <w:tcPr>
            <w:tcW w:w="3523"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-15,3</w:t>
            </w:r>
          </w:p>
        </w:tc>
      </w:tr>
      <w:tr w:rsidR="007872D5">
        <w:trPr>
          <w:trHeight w:val="501"/>
        </w:trPr>
        <w:tc>
          <w:tcPr>
            <w:tcW w:w="3402"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Газ: пропан-бутан (СНГ)</w:t>
            </w:r>
          </w:p>
        </w:tc>
        <w:tc>
          <w:tcPr>
            <w:tcW w:w="993"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0,9</w:t>
            </w:r>
          </w:p>
        </w:tc>
        <w:tc>
          <w:tcPr>
            <w:tcW w:w="1842"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0,5</w:t>
            </w:r>
          </w:p>
        </w:tc>
        <w:tc>
          <w:tcPr>
            <w:tcW w:w="3523" w:type="dxa"/>
            <w:tcBorders>
              <w:top w:val="nil"/>
              <w:left w:val="single" w:sz="6" w:space="0" w:color="auto"/>
              <w:bottom w:val="nil"/>
              <w:right w:val="single" w:sz="6" w:space="0" w:color="auto"/>
            </w:tcBorders>
          </w:tcPr>
          <w:p w:rsidR="007872D5" w:rsidRDefault="00525DF7">
            <w:pPr>
              <w:widowControl/>
              <w:spacing w:line="240" w:lineRule="auto"/>
              <w:ind w:firstLine="0"/>
              <w:rPr>
                <w:sz w:val="24"/>
                <w:szCs w:val="24"/>
              </w:rPr>
            </w:pPr>
            <w:r>
              <w:rPr>
                <w:sz w:val="24"/>
                <w:szCs w:val="24"/>
              </w:rPr>
              <w:t>-0,4</w:t>
            </w:r>
          </w:p>
        </w:tc>
      </w:tr>
      <w:tr w:rsidR="007872D5">
        <w:trPr>
          <w:trHeight w:val="502"/>
        </w:trPr>
        <w:tc>
          <w:tcPr>
            <w:tcW w:w="3402" w:type="dxa"/>
            <w:tcBorders>
              <w:top w:val="nil"/>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метан (СПГ) (млн. м</w:t>
            </w:r>
            <w:r>
              <w:rPr>
                <w:sz w:val="24"/>
                <w:szCs w:val="24"/>
                <w:vertAlign w:val="superscript"/>
              </w:rPr>
              <w:t>3</w:t>
            </w:r>
            <w:r>
              <w:rPr>
                <w:sz w:val="24"/>
                <w:szCs w:val="24"/>
              </w:rPr>
              <w:t>)</w:t>
            </w:r>
          </w:p>
        </w:tc>
        <w:tc>
          <w:tcPr>
            <w:tcW w:w="993" w:type="dxa"/>
            <w:tcBorders>
              <w:top w:val="nil"/>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3,6</w:t>
            </w:r>
          </w:p>
        </w:tc>
        <w:tc>
          <w:tcPr>
            <w:tcW w:w="1842" w:type="dxa"/>
            <w:tcBorders>
              <w:top w:val="nil"/>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2,12</w:t>
            </w:r>
          </w:p>
        </w:tc>
        <w:tc>
          <w:tcPr>
            <w:tcW w:w="3523" w:type="dxa"/>
            <w:tcBorders>
              <w:top w:val="nil"/>
              <w:left w:val="single" w:sz="6" w:space="0" w:color="auto"/>
              <w:bottom w:val="single" w:sz="6" w:space="0" w:color="auto"/>
              <w:right w:val="single" w:sz="6" w:space="0" w:color="auto"/>
            </w:tcBorders>
          </w:tcPr>
          <w:p w:rsidR="007872D5" w:rsidRDefault="00525DF7">
            <w:pPr>
              <w:widowControl/>
              <w:spacing w:line="240" w:lineRule="auto"/>
              <w:ind w:firstLine="0"/>
              <w:rPr>
                <w:sz w:val="24"/>
                <w:szCs w:val="24"/>
              </w:rPr>
            </w:pPr>
            <w:r>
              <w:rPr>
                <w:sz w:val="24"/>
                <w:szCs w:val="24"/>
              </w:rPr>
              <w:t>-1,48</w:t>
            </w:r>
          </w:p>
        </w:tc>
      </w:tr>
    </w:tbl>
    <w:p w:rsidR="007872D5" w:rsidRDefault="007872D5">
      <w:pPr>
        <w:widowControl/>
        <w:spacing w:line="240" w:lineRule="auto"/>
        <w:ind w:firstLine="567"/>
        <w:rPr>
          <w:sz w:val="24"/>
          <w:szCs w:val="24"/>
        </w:rPr>
      </w:pPr>
    </w:p>
    <w:p w:rsidR="007872D5" w:rsidRDefault="00525DF7">
      <w:pPr>
        <w:widowControl/>
        <w:spacing w:line="240" w:lineRule="auto"/>
        <w:ind w:firstLine="567"/>
        <w:rPr>
          <w:sz w:val="24"/>
          <w:szCs w:val="24"/>
        </w:rPr>
      </w:pPr>
      <w:r>
        <w:rPr>
          <w:sz w:val="24"/>
          <w:szCs w:val="24"/>
        </w:rPr>
        <w:t xml:space="preserve">Кроме этого в город поставлялись различные автомасла, керосин, печное топливо, мазут и т.д. </w:t>
      </w:r>
    </w:p>
    <w:p w:rsidR="007872D5" w:rsidRDefault="00525DF7">
      <w:pPr>
        <w:widowControl/>
        <w:spacing w:line="240" w:lineRule="auto"/>
        <w:ind w:firstLine="567"/>
        <w:rPr>
          <w:sz w:val="24"/>
          <w:szCs w:val="24"/>
        </w:rPr>
      </w:pPr>
      <w:r>
        <w:rPr>
          <w:sz w:val="24"/>
          <w:szCs w:val="24"/>
        </w:rPr>
        <w:t>Одной из главных задач отдела контроля транспорта Нижегородгоркомприроды в последние годы был перевод автотранспорта на неэтилированный бензин. В 1994 году была разработана соответствующая программа и в 1995 году началось ее осуществление. Вышло Постановление губернатора области и мэра города о запрещении использования этилированного бензина на территории Н.Новгорода через</w:t>
      </w:r>
      <w:r>
        <w:rPr>
          <w:b/>
          <w:bCs/>
          <w:sz w:val="24"/>
          <w:szCs w:val="24"/>
        </w:rPr>
        <w:t xml:space="preserve"> </w:t>
      </w:r>
      <w:r>
        <w:rPr>
          <w:sz w:val="24"/>
          <w:szCs w:val="24"/>
        </w:rPr>
        <w:t>АЗС всех форм собственности. В результате выбросы соединений свинца от автотранспорта в 1995 году в городе снизились на 17,2 тонны, и в окружающую среду уже не попадет это количество загрязнений 1-го класса опасности, обладающих канцерогенными и мутагенными свойствами. Однако, ряд предприятий</w:t>
      </w:r>
      <w:r>
        <w:rPr>
          <w:b/>
          <w:bCs/>
          <w:sz w:val="24"/>
          <w:szCs w:val="24"/>
        </w:rPr>
        <w:t xml:space="preserve"> (ОАО</w:t>
      </w:r>
      <w:r>
        <w:rPr>
          <w:sz w:val="24"/>
          <w:szCs w:val="24"/>
        </w:rPr>
        <w:t xml:space="preserve"> ГАЗ, АО "Нижегородский авиазавод "Сокол", управление Горьковской железной дороги, АО "Завод Красное Сормово",</w:t>
      </w:r>
      <w:r>
        <w:rPr>
          <w:b/>
          <w:bCs/>
          <w:sz w:val="24"/>
          <w:szCs w:val="24"/>
        </w:rPr>
        <w:t xml:space="preserve"> АООТ</w:t>
      </w:r>
      <w:r>
        <w:rPr>
          <w:sz w:val="24"/>
          <w:szCs w:val="24"/>
        </w:rPr>
        <w:t xml:space="preserve"> "Этна",</w:t>
      </w:r>
      <w:r>
        <w:rPr>
          <w:b/>
          <w:bCs/>
          <w:sz w:val="24"/>
          <w:szCs w:val="24"/>
        </w:rPr>
        <w:t xml:space="preserve"> ДСП</w:t>
      </w:r>
      <w:r>
        <w:rPr>
          <w:sz w:val="24"/>
          <w:szCs w:val="24"/>
        </w:rPr>
        <w:t xml:space="preserve"> "Автострада" и др.) по прямым связям, по бартеру, в счет платежей за поставленную продукцию, по другим причинам получили для использования этилированный бензин. Всем им будет предъявлен штраф по возмещению нанесенного окружающей природной среде вреда.</w:t>
      </w:r>
    </w:p>
    <w:p w:rsidR="007872D5" w:rsidRDefault="00525DF7">
      <w:pPr>
        <w:widowControl/>
        <w:spacing w:line="240" w:lineRule="auto"/>
        <w:ind w:firstLine="567"/>
        <w:rPr>
          <w:sz w:val="24"/>
          <w:szCs w:val="24"/>
        </w:rPr>
      </w:pPr>
      <w:r>
        <w:rPr>
          <w:sz w:val="24"/>
          <w:szCs w:val="24"/>
        </w:rPr>
        <w:t>Одним из путей снижения загрязнения окружающей среды от транспорта является организация сбора отработанных смазочных материалов. В соответствии с правилами использования смазочных материалов и других нефтепродуктов все предприятия и организации независимо от форм собственности должны производить сбор отработанных нефтепродуктов и их сдачу для регенерации. Если раньше, не сдав на нефтебазу "отработку", предприятие не могло получить новые масла и смазки, то сейчас, с развитием предпринимательства, любые масла продаются повсюду свободно: в кооперативных ларьках, магазинах, а то и просто на автомагистралях, - и продавцов совершенно не интересует, куда покупатель будет сливать старое масло. В результате оно сливается на землю, просачиваясь и загрязняя родники, с ливневыми стоками попадает в водоемы. Особенно плохо обстоит дело со сбором отработанных нефтепродуктов в гаражных кооперативах, а их в городе свыше 250, на платных автостоянках, в частном секторе.</w:t>
      </w:r>
    </w:p>
    <w:p w:rsidR="007872D5" w:rsidRDefault="00525DF7">
      <w:pPr>
        <w:widowControl/>
        <w:spacing w:line="240" w:lineRule="auto"/>
        <w:ind w:firstLine="567"/>
        <w:rPr>
          <w:sz w:val="24"/>
          <w:szCs w:val="24"/>
        </w:rPr>
      </w:pPr>
      <w:r>
        <w:rPr>
          <w:sz w:val="24"/>
          <w:szCs w:val="24"/>
        </w:rPr>
        <w:t>Для упорядочения сбора и использования отработанных нефтепродуктов (а из 1000 кг "отработки" после регенерации получается около 800 кг товарных масел), снижения отрицательного воздействия на окружающую природную среду и наведения чистоты и порядка в городе отделом контроля транспорта комитета подготовлено и главой администрации г. Н. Новгорода подписано распоряжение № 828-р от 12.04.95 г. "О мерах по сбору отработанных нефтепродуктов". Этим распоряжением руководителям всех предприятий, организаций, гаражных кооперативов, владельцам автостоянок предписано до 01.06.95 г. организовать сбор и сдачу на регенерацию отработанных нефтепродуктов, а объединению "Н.Новгород - Нефтепродукт" на базе Сормовской нефтебазы организовать пункты их приема.</w:t>
      </w:r>
    </w:p>
    <w:p w:rsidR="007872D5" w:rsidRDefault="00525DF7">
      <w:pPr>
        <w:widowControl/>
        <w:spacing w:line="240" w:lineRule="auto"/>
        <w:ind w:firstLine="567"/>
        <w:rPr>
          <w:sz w:val="24"/>
          <w:szCs w:val="24"/>
        </w:rPr>
      </w:pPr>
      <w:r>
        <w:rPr>
          <w:sz w:val="24"/>
          <w:szCs w:val="24"/>
        </w:rPr>
        <w:t>Справка: за 1995 г. в Н. Новгороде реализовано около 790 т масел и смазочных материалов. Это значит, что примерно такое же количество старых масел было заменено и часть из них попала на рельеф, загрязнив окружающую природную среду. Для помощи мелким организациям и гаражным кооперативам в сдаче отработанных масел при Сормовской нефтебазе создано специальное предприятие, которое по заявкам откачивает собранные нефтепродукты и собственным транспортом отвозит их на переработку.</w:t>
      </w:r>
    </w:p>
    <w:p w:rsidR="007872D5" w:rsidRDefault="00525DF7">
      <w:pPr>
        <w:widowControl/>
        <w:spacing w:line="240" w:lineRule="auto"/>
        <w:ind w:firstLine="567"/>
        <w:rPr>
          <w:sz w:val="24"/>
          <w:szCs w:val="24"/>
        </w:rPr>
      </w:pPr>
      <w:r>
        <w:rPr>
          <w:sz w:val="24"/>
          <w:szCs w:val="24"/>
        </w:rPr>
        <w:t>Другое направление деятельности по снижению вредного воздействия транспорта - это расширение использования альтернативных видов моторных топлив, в частности, сжатого природного газа (СПГ) - наиболее экологически чистого вида топлива. Разработана региональная программа по развитию автомобильного транспорта на природном газе в г. Н. Новгороде и начальный этап ее реализации - это перевод на СПГ технологического транспорта, осуществляющего внутригородские перевозки. Первое из них - АООТ "Хлебавтосервис" в 1995 году произвело переоборудование 16 бензиновых автомобилей, доставляющих в магазины города хлеб. На эти цели из Внебюджетного экологического фонда г. Н.Новгорода автопредприятию был выделен льготный кредит. Срок окупаемости затрат на переоборудование за счет значительной разницы в стоимости бензина и сжатого природного газа (в 2 раза дешевле) составил 4 месяца, в дальнейшем эксплуатация газобаллонных автомобилей стала приносить прибыль, и АООТ "Хлебавтосервис" смогло досрочно вернуть полученный кредит. Подобная практика будет продолжена: ряд предприятий уже подали заявки, и в будущем году планируется переоборудовать около 100 грузовых бензиновых автомобилей. Но переоборудование автомобилей - это лишь часть программы. Важно обеспечить необходимое и своевременное техническое обслуживание и ремонт газобаллонной аппаратуры, освидетельствование автомобильных газовых баллонов. Иначе эксплуатация газобаллонных автомобилей на газе станет затруднительной.</w:t>
      </w:r>
    </w:p>
    <w:p w:rsidR="007872D5" w:rsidRDefault="00525DF7">
      <w:pPr>
        <w:widowControl/>
        <w:spacing w:line="240" w:lineRule="auto"/>
        <w:ind w:firstLine="567"/>
        <w:rPr>
          <w:sz w:val="24"/>
          <w:szCs w:val="24"/>
        </w:rPr>
      </w:pPr>
      <w:r>
        <w:rPr>
          <w:sz w:val="24"/>
          <w:szCs w:val="24"/>
        </w:rPr>
        <w:t>Для решения этого вопроса и в соответствии с комплексной программой в г. Н. Новгороде будет создан специализированный центр по ремонту и обслуживанию ГБУ, техническому освидетельствовании автомобильных газовых баллонов. Помещения для размещения "Центра ГБА" выделило</w:t>
      </w:r>
      <w:r>
        <w:rPr>
          <w:b/>
          <w:bCs/>
          <w:sz w:val="24"/>
          <w:szCs w:val="24"/>
        </w:rPr>
        <w:t xml:space="preserve"> АООТ</w:t>
      </w:r>
      <w:r>
        <w:rPr>
          <w:sz w:val="24"/>
          <w:szCs w:val="24"/>
        </w:rPr>
        <w:t xml:space="preserve"> "Хлебавтосервис". Кроме этого, необходимо развивать сеть передвижных газовых заправщиков (ПАГЗ), создавать малогабаритные АГ ИКС, многотопливные</w:t>
      </w:r>
      <w:r>
        <w:rPr>
          <w:b/>
          <w:bCs/>
          <w:sz w:val="24"/>
          <w:szCs w:val="24"/>
        </w:rPr>
        <w:t xml:space="preserve"> АЭС.</w:t>
      </w:r>
      <w:r>
        <w:rPr>
          <w:sz w:val="24"/>
          <w:szCs w:val="24"/>
        </w:rPr>
        <w:t xml:space="preserve"> Осуществление этой программы даст возможность снизить загрязнение атмосферного воздуха каждым автомобилем, работающим на сжатом природном газе, по сравнению с бензиновым:</w:t>
      </w:r>
    </w:p>
    <w:p w:rsidR="007872D5" w:rsidRDefault="00525DF7">
      <w:pPr>
        <w:widowControl/>
        <w:spacing w:line="240" w:lineRule="auto"/>
        <w:ind w:firstLine="567"/>
        <w:rPr>
          <w:sz w:val="24"/>
          <w:szCs w:val="24"/>
        </w:rPr>
      </w:pPr>
      <w:r>
        <w:rPr>
          <w:sz w:val="24"/>
          <w:szCs w:val="24"/>
        </w:rPr>
        <w:t>- по оксидам углерода - примерно в 5 раз;</w:t>
      </w:r>
    </w:p>
    <w:p w:rsidR="007872D5" w:rsidRDefault="00525DF7">
      <w:pPr>
        <w:widowControl/>
        <w:spacing w:line="240" w:lineRule="auto"/>
        <w:ind w:firstLine="567"/>
        <w:rPr>
          <w:sz w:val="24"/>
          <w:szCs w:val="24"/>
        </w:rPr>
      </w:pPr>
      <w:r>
        <w:rPr>
          <w:sz w:val="24"/>
          <w:szCs w:val="24"/>
        </w:rPr>
        <w:t>- по оксидам азота - в 2 раза;</w:t>
      </w:r>
    </w:p>
    <w:p w:rsidR="007872D5" w:rsidRDefault="00525DF7">
      <w:pPr>
        <w:widowControl/>
        <w:spacing w:line="240" w:lineRule="auto"/>
        <w:ind w:firstLine="567"/>
        <w:rPr>
          <w:sz w:val="24"/>
          <w:szCs w:val="24"/>
        </w:rPr>
      </w:pPr>
      <w:r>
        <w:rPr>
          <w:sz w:val="24"/>
          <w:szCs w:val="24"/>
        </w:rPr>
        <w:t>- по углеводородам (не считая метана) - в 5 раз;</w:t>
      </w:r>
    </w:p>
    <w:p w:rsidR="007872D5" w:rsidRDefault="00525DF7">
      <w:pPr>
        <w:widowControl/>
        <w:spacing w:line="240" w:lineRule="auto"/>
        <w:ind w:firstLine="567"/>
        <w:rPr>
          <w:sz w:val="24"/>
          <w:szCs w:val="24"/>
        </w:rPr>
      </w:pPr>
      <w:r>
        <w:rPr>
          <w:sz w:val="24"/>
          <w:szCs w:val="24"/>
        </w:rPr>
        <w:t>- по канцерогенным веществам - в 100 раз.</w:t>
      </w:r>
    </w:p>
    <w:p w:rsidR="007872D5" w:rsidRDefault="00525DF7">
      <w:pPr>
        <w:widowControl/>
        <w:spacing w:line="240" w:lineRule="auto"/>
        <w:ind w:firstLine="567"/>
        <w:rPr>
          <w:sz w:val="24"/>
          <w:szCs w:val="24"/>
        </w:rPr>
      </w:pPr>
      <w:r>
        <w:rPr>
          <w:sz w:val="24"/>
          <w:szCs w:val="24"/>
        </w:rPr>
        <w:t>Кроме этого, сокращается потребность региона в бензине.</w:t>
      </w:r>
    </w:p>
    <w:p w:rsidR="007872D5" w:rsidRDefault="00525DF7">
      <w:pPr>
        <w:widowControl/>
        <w:spacing w:line="240" w:lineRule="auto"/>
        <w:ind w:firstLine="567"/>
        <w:rPr>
          <w:sz w:val="24"/>
          <w:szCs w:val="24"/>
        </w:rPr>
      </w:pPr>
      <w:r>
        <w:rPr>
          <w:sz w:val="24"/>
          <w:szCs w:val="24"/>
        </w:rPr>
        <w:t>В 1995 г. была продолжена работа по использованию на транспорте средств энергоресурсо-сбережения</w:t>
      </w:r>
      <w:r>
        <w:rPr>
          <w:b/>
          <w:bCs/>
          <w:sz w:val="24"/>
          <w:szCs w:val="24"/>
        </w:rPr>
        <w:t xml:space="preserve"> </w:t>
      </w:r>
      <w:r>
        <w:rPr>
          <w:sz w:val="24"/>
          <w:szCs w:val="24"/>
        </w:rPr>
        <w:t>(ЭРС). Это различные покрытия, присадки к маслам и топливам, устройства, повышающие компрессию двигателя, уменьшающие выработку трущихся поверхностей деталей, улучшающие качество топливной смеси, технологии и прочее, позволяющие улучшить экологическую обстановку в городе от воздействия транспорта, снизить энергоресурсо-потребление. Свыше 30 автопредприятий и организаций при эксплуатации своего транспорта использовали такие препараты, как комплекс антифрикционных противоизносных покрытий "Аспект-Модификатор" (АМ), восстановители металлических поверхностей</w:t>
      </w:r>
      <w:r>
        <w:rPr>
          <w:b/>
          <w:bCs/>
          <w:sz w:val="24"/>
          <w:szCs w:val="24"/>
        </w:rPr>
        <w:t xml:space="preserve"> </w:t>
      </w:r>
      <w:r>
        <w:rPr>
          <w:sz w:val="24"/>
          <w:szCs w:val="24"/>
        </w:rPr>
        <w:t>"РиМЕТ" для двигателя, трансмиссии и ходовой части, устройства интенсификации смесеобразования</w:t>
      </w:r>
      <w:r>
        <w:rPr>
          <w:b/>
          <w:bCs/>
          <w:sz w:val="24"/>
          <w:szCs w:val="24"/>
        </w:rPr>
        <w:t xml:space="preserve"> </w:t>
      </w:r>
      <w:r>
        <w:rPr>
          <w:sz w:val="24"/>
          <w:szCs w:val="24"/>
        </w:rPr>
        <w:t>(УИС) для снижения токсичности отработавших газов и другие. Большую помощь предприятиям в использовании указанных средств оказывало ГП "Нижегородавтотранс" и фирма "Нижегородтранссервис", имеющие опыт применения различных средств защиты окружающей среды и энергоресурсосбережения на транспорте. По решению Нижегородгоркомприроды средства ЭРС предоставлялись природопользователям в счет их платы за загрязнение окружающей среды от транспорта.</w:t>
      </w:r>
    </w:p>
    <w:p w:rsidR="007872D5" w:rsidRDefault="00525DF7">
      <w:pPr>
        <w:widowControl/>
        <w:spacing w:line="240" w:lineRule="auto"/>
        <w:ind w:firstLine="567"/>
        <w:rPr>
          <w:sz w:val="24"/>
          <w:szCs w:val="24"/>
        </w:rPr>
      </w:pPr>
      <w:r>
        <w:rPr>
          <w:sz w:val="24"/>
          <w:szCs w:val="24"/>
        </w:rPr>
        <w:t>Большой проблемой для транспортников была утилизация изношенной авторезины с металлокордом. В течение 1995 г. в г. Кстово на шиноремонтном заводе осуществлялись монтаж и наладка установки по переработке такой авторезины. С ее пуском проблемы утилизации шин с металлокордом для Н. Новгорода будут решены.</w:t>
      </w:r>
    </w:p>
    <w:p w:rsidR="007872D5" w:rsidRDefault="00525DF7">
      <w:pPr>
        <w:widowControl/>
        <w:spacing w:line="240" w:lineRule="auto"/>
        <w:ind w:firstLine="567"/>
        <w:rPr>
          <w:b/>
          <w:bCs/>
          <w:sz w:val="24"/>
          <w:szCs w:val="24"/>
        </w:rPr>
      </w:pPr>
      <w:r>
        <w:rPr>
          <w:b/>
          <w:bCs/>
          <w:sz w:val="24"/>
          <w:szCs w:val="24"/>
        </w:rPr>
        <w:t>3. Сброс загрязняющих веществ.</w:t>
      </w:r>
    </w:p>
    <w:p w:rsidR="007872D5" w:rsidRDefault="007872D5">
      <w:pPr>
        <w:widowControl/>
        <w:spacing w:line="240" w:lineRule="auto"/>
        <w:ind w:firstLine="567"/>
        <w:rPr>
          <w:b/>
          <w:bCs/>
          <w:sz w:val="24"/>
          <w:szCs w:val="24"/>
        </w:rPr>
      </w:pPr>
    </w:p>
    <w:p w:rsidR="007872D5" w:rsidRDefault="00525DF7">
      <w:pPr>
        <w:widowControl/>
        <w:spacing w:line="240" w:lineRule="auto"/>
        <w:ind w:firstLine="567"/>
        <w:rPr>
          <w:sz w:val="24"/>
          <w:szCs w:val="24"/>
        </w:rPr>
      </w:pPr>
      <w:r>
        <w:rPr>
          <w:sz w:val="24"/>
          <w:szCs w:val="24"/>
        </w:rPr>
        <w:t>Важнейшей причиной неудовлетворительного экологического состояния рек Волги и Оки и внутренних водоемов в черте города является мощное антропогенное загрязнение промышленными стоками. Недостаточная обеспеченность очистными сооружениями предприятий, низкий технологический уровень очистки сточных вод, слабая производственная дисциплина и низкий уровень эксплуатации имеющихся очистных сооружений приводит к поступлению в водоемы от проминдустрии города огромного количества загрязнений.</w:t>
      </w:r>
    </w:p>
    <w:p w:rsidR="007872D5" w:rsidRDefault="00525DF7">
      <w:pPr>
        <w:widowControl/>
        <w:spacing w:line="240" w:lineRule="auto"/>
        <w:ind w:firstLine="567"/>
        <w:rPr>
          <w:sz w:val="24"/>
          <w:szCs w:val="24"/>
        </w:rPr>
      </w:pPr>
      <w:r>
        <w:rPr>
          <w:sz w:val="24"/>
          <w:szCs w:val="24"/>
        </w:rPr>
        <w:t>Так, в 1995 году от 58 предприятий города, имеющих сброс производственных и ливневых стоков в водоемы города, поступило около 5,4 т солей тяжелых металлов; 4,8 т алюминия;160,0 т железа; 380,0 т нефтепродуктов; около 4,0 тыс. т взвешенных веществ; 1,4 тыс. т сульфатов; 1,0 тыс. т хлоридов. Для более наглядного сравнения - это почти 4 железнодорожных шестидесятитонных вагона ежемесячно, и это на протяжении всего года и ранее предшествующих десятилетий. Следует отметить, что по сравнению с 1994 произошло уменьшение массы сброса по следующим ингредиентам: по алюминию на 7 т, по железу на 95 т, по сульфатам на 85 т, по хлоридам на 123 т, по солям тяжелых металлов на 4 т, несмотря на то, что в результате инспекционной работы, выявлено еще 16 предприятий, имеющих сброс в открытые водоемы. Это объясняется продолжающимся спадом производства и тем, что в 1995 году комитет приступил к работам по ликвидации сбросов предприятиями города в открытые водоемы и опломбированию имеющихся аварийных выпусков. В 1995 г. прекращен сброс ливневых стоков в р. Борзовку и далее в р.</w:t>
      </w:r>
      <w:r>
        <w:rPr>
          <w:b/>
          <w:bCs/>
          <w:sz w:val="24"/>
          <w:szCs w:val="24"/>
        </w:rPr>
        <w:t xml:space="preserve"> Оку</w:t>
      </w:r>
      <w:r>
        <w:rPr>
          <w:sz w:val="24"/>
          <w:szCs w:val="24"/>
        </w:rPr>
        <w:t xml:space="preserve"> с таких предприятий как "Завод штампов и прессформ”</w:t>
      </w:r>
      <w:r>
        <w:rPr>
          <w:b/>
          <w:bCs/>
          <w:sz w:val="24"/>
          <w:szCs w:val="24"/>
        </w:rPr>
        <w:t xml:space="preserve"> ОАО</w:t>
      </w:r>
      <w:r>
        <w:rPr>
          <w:sz w:val="24"/>
          <w:szCs w:val="24"/>
        </w:rPr>
        <w:t xml:space="preserve"> ГАЗ и "Завод коробок скоростей"</w:t>
      </w:r>
      <w:r>
        <w:rPr>
          <w:b/>
          <w:bCs/>
          <w:sz w:val="24"/>
          <w:szCs w:val="24"/>
        </w:rPr>
        <w:t xml:space="preserve"> ОАО</w:t>
      </w:r>
      <w:r>
        <w:rPr>
          <w:sz w:val="24"/>
          <w:szCs w:val="24"/>
        </w:rPr>
        <w:t xml:space="preserve"> ГАЗ, ликвидирован сброс в р. Оку</w:t>
      </w:r>
    </w:p>
    <w:p w:rsidR="007872D5" w:rsidRDefault="00525DF7">
      <w:pPr>
        <w:widowControl/>
        <w:spacing w:line="240" w:lineRule="auto"/>
        <w:ind w:firstLine="567"/>
        <w:rPr>
          <w:sz w:val="24"/>
          <w:szCs w:val="24"/>
        </w:rPr>
      </w:pPr>
      <w:r>
        <w:rPr>
          <w:sz w:val="24"/>
          <w:szCs w:val="24"/>
        </w:rPr>
        <w:t>производственных стоков из технологического бассейна завода "Новая сосна"</w:t>
      </w:r>
      <w:r>
        <w:rPr>
          <w:b/>
          <w:bCs/>
          <w:sz w:val="24"/>
          <w:szCs w:val="24"/>
        </w:rPr>
        <w:t xml:space="preserve"> ОАО</w:t>
      </w:r>
      <w:r>
        <w:rPr>
          <w:sz w:val="24"/>
          <w:szCs w:val="24"/>
        </w:rPr>
        <w:t xml:space="preserve"> ГАЗ. При этом в водоемы не поступило 75 тыс. куб. м /год стоков, содержащих 26,8 т загрязняющих веществ, в том числе : взвешенных веществ - 2,5 т, нефтепродуктов - 1 т, железа - 0,7 т, солеи тяжелых металлов - 0,023 т. Проведена работа по прекращению сброса промывных вод с фильтровальной станции водопровода "Малиновая гряда", ведутся строительно- монтажные работы по ликвидации сброса на "Ново-Сормовской" водопроводной станции и проектные работы на "Слудинской" водопроводной станции. Опломбированы аварийные выпуски на поселковой</w:t>
      </w:r>
      <w:r>
        <w:rPr>
          <w:b/>
          <w:bCs/>
          <w:sz w:val="24"/>
          <w:szCs w:val="24"/>
        </w:rPr>
        <w:t xml:space="preserve"> КНС</w:t>
      </w:r>
      <w:r>
        <w:rPr>
          <w:sz w:val="24"/>
          <w:szCs w:val="24"/>
        </w:rPr>
        <w:t xml:space="preserve"> и КНС - 4 АО "Этна", КНС "Кавказ" и</w:t>
      </w:r>
      <w:r>
        <w:rPr>
          <w:b/>
          <w:bCs/>
          <w:sz w:val="24"/>
          <w:szCs w:val="24"/>
        </w:rPr>
        <w:t xml:space="preserve"> КНС</w:t>
      </w:r>
      <w:r>
        <w:rPr>
          <w:sz w:val="24"/>
          <w:szCs w:val="24"/>
        </w:rPr>
        <w:t xml:space="preserve"> - 14 МП "Водоканал".</w:t>
      </w:r>
    </w:p>
    <w:p w:rsidR="007872D5" w:rsidRDefault="00525DF7">
      <w:pPr>
        <w:widowControl/>
        <w:spacing w:line="240" w:lineRule="auto"/>
        <w:ind w:firstLine="567"/>
        <w:rPr>
          <w:sz w:val="24"/>
          <w:szCs w:val="24"/>
        </w:rPr>
      </w:pPr>
      <w:r>
        <w:rPr>
          <w:sz w:val="24"/>
          <w:szCs w:val="24"/>
        </w:rPr>
        <w:t xml:space="preserve">Крайне экологически неблагополучная обстановка продолжает оставаться на р.Ржавке. </w:t>
      </w:r>
      <w:r>
        <w:rPr>
          <w:b/>
          <w:bCs/>
          <w:sz w:val="24"/>
          <w:szCs w:val="24"/>
        </w:rPr>
        <w:t>ОАО</w:t>
      </w:r>
      <w:r>
        <w:rPr>
          <w:sz w:val="24"/>
          <w:szCs w:val="24"/>
        </w:rPr>
        <w:t xml:space="preserve"> "Этна" является основным поставщиком загрязнений. С производственными сточными водами предприятия в 1995 году было сброшено 49 т солей тяжелых металлов и железа, что составляет 1/3 часть сброса промышленных предприятий города в целом.</w:t>
      </w:r>
    </w:p>
    <w:p w:rsidR="007872D5" w:rsidRDefault="00525DF7">
      <w:pPr>
        <w:widowControl/>
        <w:spacing w:line="240" w:lineRule="auto"/>
        <w:ind w:firstLine="567"/>
        <w:rPr>
          <w:sz w:val="24"/>
          <w:szCs w:val="24"/>
        </w:rPr>
      </w:pPr>
      <w:r>
        <w:rPr>
          <w:sz w:val="24"/>
          <w:szCs w:val="24"/>
        </w:rPr>
        <w:t>Количество взвешенных веществ в ливневых водах значительно выше, чем в постоянных водотоках, поэтому при равной концентрации металлов во взвесях с ливневыми потоками мигрирует значительно большая масса металлов. При осаждении взвесей на механических геохимических барьерах происходит накопление металлов в донных отложениях. С высокой степенью достоверности можно предсказать наличие мощного слоя техногенных донных отложений с аномальными содержаниями ряда тяжелых металлов в руслах малых рек города.</w:t>
      </w:r>
    </w:p>
    <w:p w:rsidR="007872D5" w:rsidRDefault="00525DF7">
      <w:pPr>
        <w:widowControl/>
        <w:spacing w:line="240" w:lineRule="auto"/>
        <w:ind w:firstLine="567"/>
        <w:rPr>
          <w:sz w:val="24"/>
          <w:szCs w:val="24"/>
        </w:rPr>
      </w:pPr>
      <w:r>
        <w:rPr>
          <w:sz w:val="24"/>
          <w:szCs w:val="24"/>
        </w:rPr>
        <w:t>Несомненно, что в загрязнении поверхностного стока значительно влияние выпадений из атмосферы. Данные по приносу вещества с атмосферной пылью и его поступлению в водотоки со взвесью в стоке талых вод имеют близкий порядок. Но далеко не все загрязнения, выпадающие из атмосферы, смываются поверхностным стоком, что свидетельствует о значительной роли неатмосферных источников в поставке техногенных загрязнений в ливневом стоке.</w:t>
      </w:r>
    </w:p>
    <w:p w:rsidR="007872D5" w:rsidRDefault="00525DF7">
      <w:pPr>
        <w:widowControl/>
        <w:spacing w:line="240" w:lineRule="auto"/>
        <w:ind w:firstLine="567"/>
        <w:rPr>
          <w:sz w:val="24"/>
          <w:szCs w:val="24"/>
        </w:rPr>
      </w:pPr>
      <w:r>
        <w:rPr>
          <w:sz w:val="24"/>
          <w:szCs w:val="24"/>
        </w:rPr>
        <w:t>Поверхностный сток является крупным поставщиком загрязняющих веществ за счет смыва верхней части почвенного покрова, атмосферных выпадении, продуктов разрушения строительных сооружений, автодорог, размыва свалок и т.д. Разбрасывание в зимнее время на дорогах города поваренной соли приводит к накоплению в снеге хлоридов и солей натрия. Эти соединения при таянии снега с поверхностным стоком поступают в городские водоемы.</w:t>
      </w:r>
    </w:p>
    <w:p w:rsidR="007872D5" w:rsidRDefault="00525DF7">
      <w:pPr>
        <w:widowControl/>
        <w:spacing w:line="240" w:lineRule="auto"/>
        <w:ind w:firstLine="567"/>
        <w:rPr>
          <w:sz w:val="24"/>
          <w:szCs w:val="24"/>
        </w:rPr>
      </w:pPr>
      <w:r>
        <w:rPr>
          <w:sz w:val="24"/>
          <w:szCs w:val="24"/>
        </w:rPr>
        <w:t>С промышленными стоками в канализационную систему попадают нефтепродукты, фенолы, минеральные и органические взвеси, хлориды, сульфаты, нитраты, аммиак, тяжелые металлы, группа сложных органоминеральных химических соединении. Широкая ассоциация тяжелых металлов в сточных водах характерна не только для традиционно "грязных" производств (например, гальванические участки), где эти элементы используются в технологическом цикле, но даже для пищевой и легкой промышленности.</w:t>
      </w:r>
    </w:p>
    <w:p w:rsidR="007872D5" w:rsidRDefault="00525DF7">
      <w:pPr>
        <w:widowControl/>
        <w:spacing w:line="240" w:lineRule="auto"/>
        <w:ind w:firstLine="567"/>
        <w:rPr>
          <w:sz w:val="24"/>
          <w:szCs w:val="24"/>
        </w:rPr>
      </w:pPr>
      <w:r>
        <w:rPr>
          <w:sz w:val="24"/>
          <w:szCs w:val="24"/>
        </w:rPr>
        <w:t>Загрязнение сферы обитания человека ионами цветных и тяжелых металлов является острейшей экологической проблемой г. Н. Новгорода, обладающего развитой промышленностью.. Этот вид загрязнении, вызывающий интенсивное разрушение генофонда и целый спектр патологий (в том числе онкологических), вышел по степени опасности на первое место, оставив позади такие специфические загрязнения, как радионуклиды и пестициды.</w:t>
      </w:r>
    </w:p>
    <w:p w:rsidR="007872D5" w:rsidRDefault="00525DF7">
      <w:pPr>
        <w:widowControl/>
        <w:spacing w:line="240" w:lineRule="auto"/>
        <w:ind w:firstLine="567"/>
        <w:rPr>
          <w:sz w:val="24"/>
          <w:szCs w:val="24"/>
        </w:rPr>
      </w:pPr>
      <w:r>
        <w:rPr>
          <w:sz w:val="24"/>
          <w:szCs w:val="24"/>
        </w:rPr>
        <w:t>Вызывает тревогу состояние очистных сооружений завода "Нормаль". Пятисуточный мониторинг качества стоков завода показал объективную картину уровня загрязнений. По таким показателям, как цинк, концентрация достигла 19,9 мг/л, кадмий - до 1,2 мг/л, что показывает "транзитный" характер прохождения стоков через очистные сооружения. На основании этого завод поставлен на жесткий контроль со всеми вытекающими последствиями. Аналогичная ситуация наблюдалась весной на "Масложиркомбинате" и привела к взысканию сверхнормативной платы на сумму 392 млн. рублей.</w:t>
      </w:r>
    </w:p>
    <w:p w:rsidR="007872D5" w:rsidRDefault="00525DF7">
      <w:pPr>
        <w:widowControl/>
        <w:spacing w:line="240" w:lineRule="auto"/>
        <w:ind w:firstLine="567"/>
        <w:rPr>
          <w:sz w:val="24"/>
          <w:szCs w:val="24"/>
        </w:rPr>
      </w:pPr>
      <w:r>
        <w:rPr>
          <w:sz w:val="24"/>
          <w:szCs w:val="24"/>
        </w:rPr>
        <w:t>Неблагополучная обстановка обнаружена на заводских очистных сооружениях акционерного общества "ГАЗ", веденных в эксплуатацию в 1975 году и предназначенных для механической очистки стоков завода от взвешенных веществ и нефтепродуктов. Проект очистных сооружений был разработан в 1972 году институтом "Сантехпроект" и предусматривал очистку стоков на песколовках и нефтеотделителях. Технология любого вида очистки заключается не только в извлечении загрязняющих веществ из стоков, но и в дальнейшем их обезвоживании с целью захоронения на специально оборудованном полигоне. Проект обезвоживания на иловых картах осадка, образующегося при очистке стоков, выполнен проектным управлением</w:t>
      </w:r>
      <w:r>
        <w:rPr>
          <w:b/>
          <w:bCs/>
          <w:sz w:val="24"/>
          <w:szCs w:val="24"/>
        </w:rPr>
        <w:t xml:space="preserve"> ОАО ГАЗ.</w:t>
      </w:r>
    </w:p>
    <w:p w:rsidR="007872D5" w:rsidRDefault="00525DF7">
      <w:pPr>
        <w:widowControl/>
        <w:spacing w:line="240" w:lineRule="auto"/>
        <w:ind w:firstLine="567"/>
        <w:rPr>
          <w:sz w:val="24"/>
          <w:szCs w:val="24"/>
        </w:rPr>
      </w:pPr>
      <w:r>
        <w:rPr>
          <w:sz w:val="24"/>
          <w:szCs w:val="24"/>
        </w:rPr>
        <w:t>Отчет по объему осадкообразования за 1995 год, представленный заводом, вызвал сомнение и потребовал вмешательства инспекционной службы отдела контроля за состоянием поверхностных и подземных вод Нижегородгоркомприроды. В результате выявлены как эксплуатационные нарушения в части механической очистки стоков, заключающиеся в отсутствии сбора нефтепродуктов и размывании образующегося осадка, так и неправильно принятые решения при проектировании иловых карт. Вследствие чего уловленные при очистке стоков загрязнения, в конечном счете, поступают с переполненной иловой карты в канализационные сети. При этом теряется изначальное предназначение механической очистки и образуется свыше 40 млн. м3/год загрязненных стоков. Комитет вынужден в 1996 г. принять кардинальные меры по устранению фактов нарушения и пересмотру условий природопользования завода.</w:t>
      </w:r>
    </w:p>
    <w:p w:rsidR="007872D5" w:rsidRDefault="007872D5">
      <w:pPr>
        <w:widowControl/>
        <w:spacing w:line="240" w:lineRule="auto"/>
        <w:ind w:firstLine="567"/>
        <w:rPr>
          <w:sz w:val="24"/>
          <w:szCs w:val="24"/>
        </w:rPr>
      </w:pPr>
    </w:p>
    <w:p w:rsidR="007872D5" w:rsidRDefault="00525DF7">
      <w:pPr>
        <w:widowControl/>
        <w:spacing w:line="240" w:lineRule="auto"/>
        <w:ind w:firstLine="567"/>
        <w:rPr>
          <w:sz w:val="24"/>
          <w:szCs w:val="24"/>
        </w:rPr>
      </w:pPr>
      <w:r>
        <w:rPr>
          <w:b/>
          <w:bCs/>
          <w:sz w:val="24"/>
          <w:szCs w:val="24"/>
        </w:rPr>
        <w:t>Таким образом</w:t>
      </w:r>
      <w:r>
        <w:rPr>
          <w:sz w:val="24"/>
          <w:szCs w:val="24"/>
          <w:lang w:val="en-US"/>
        </w:rPr>
        <w:t>,</w:t>
      </w:r>
      <w:r>
        <w:rPr>
          <w:sz w:val="24"/>
          <w:szCs w:val="24"/>
        </w:rPr>
        <w:t xml:space="preserve"> существует очень много нерешённых проблем для оздоровления экологической ситуации города</w:t>
      </w:r>
      <w:r>
        <w:rPr>
          <w:sz w:val="24"/>
          <w:szCs w:val="24"/>
          <w:lang w:val="en-US"/>
        </w:rPr>
        <w:t xml:space="preserve">, </w:t>
      </w:r>
      <w:r>
        <w:rPr>
          <w:sz w:val="24"/>
          <w:szCs w:val="24"/>
        </w:rPr>
        <w:t>но стоит отметить</w:t>
      </w:r>
      <w:r>
        <w:rPr>
          <w:sz w:val="24"/>
          <w:szCs w:val="24"/>
          <w:lang w:val="en-US"/>
        </w:rPr>
        <w:t>,</w:t>
      </w:r>
      <w:r>
        <w:rPr>
          <w:sz w:val="24"/>
          <w:szCs w:val="24"/>
        </w:rPr>
        <w:t xml:space="preserve"> что “лёд тронулся”. Действует спецвзвод при УГАИ УВД по борьбе с правонарушениями в области экологии</w:t>
      </w:r>
      <w:r>
        <w:rPr>
          <w:sz w:val="24"/>
          <w:szCs w:val="24"/>
          <w:lang w:val="en-US"/>
        </w:rPr>
        <w:t>,</w:t>
      </w:r>
      <w:r>
        <w:rPr>
          <w:sz w:val="24"/>
          <w:szCs w:val="24"/>
        </w:rPr>
        <w:t xml:space="preserve"> проводятся операции “Чистый воздух”</w:t>
      </w:r>
      <w:r>
        <w:rPr>
          <w:sz w:val="24"/>
          <w:szCs w:val="24"/>
          <w:lang w:val="en-US"/>
        </w:rPr>
        <w:t>,</w:t>
      </w:r>
      <w:r>
        <w:rPr>
          <w:sz w:val="24"/>
          <w:szCs w:val="24"/>
        </w:rPr>
        <w:t xml:space="preserve"> “Чистая вода”</w:t>
      </w:r>
      <w:r>
        <w:rPr>
          <w:sz w:val="24"/>
          <w:szCs w:val="24"/>
          <w:lang w:val="en-US"/>
        </w:rPr>
        <w:t>,</w:t>
      </w:r>
      <w:r>
        <w:rPr>
          <w:sz w:val="24"/>
          <w:szCs w:val="24"/>
        </w:rPr>
        <w:t xml:space="preserve"> “Автостоянка”</w:t>
      </w:r>
      <w:r>
        <w:rPr>
          <w:sz w:val="24"/>
          <w:szCs w:val="24"/>
          <w:lang w:val="en-US"/>
        </w:rPr>
        <w:t xml:space="preserve"> (состояние территории,</w:t>
      </w:r>
      <w:r>
        <w:rPr>
          <w:sz w:val="24"/>
          <w:szCs w:val="24"/>
        </w:rPr>
        <w:t xml:space="preserve"> сбор отработанных нефтепродуктов) и др. Хочется надеяться</w:t>
      </w:r>
      <w:r>
        <w:rPr>
          <w:sz w:val="24"/>
          <w:szCs w:val="24"/>
          <w:lang w:val="en-US"/>
        </w:rPr>
        <w:t>,</w:t>
      </w:r>
      <w:r>
        <w:rPr>
          <w:sz w:val="24"/>
          <w:szCs w:val="24"/>
        </w:rPr>
        <w:t xml:space="preserve"> что всё это приведёт к оздоровлению экологической обстановки в таком крупном центре как Нижний Новгород. </w:t>
      </w:r>
      <w:bookmarkStart w:id="0" w:name="_GoBack"/>
      <w:bookmarkEnd w:id="0"/>
    </w:p>
    <w:sectPr w:rsidR="007872D5">
      <w:footerReference w:type="default" r:id="rId7"/>
      <w:type w:val="continuous"/>
      <w:pgSz w:w="11900" w:h="16820"/>
      <w:pgMar w:top="1134" w:right="843" w:bottom="1134" w:left="1134" w:header="709" w:footer="709" w:gutter="0"/>
      <w:cols w:space="60"/>
      <w:noEndnote/>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872D5" w:rsidRDefault="00525DF7">
      <w:pPr>
        <w:spacing w:line="240" w:lineRule="auto"/>
      </w:pPr>
      <w:r>
        <w:separator/>
      </w:r>
    </w:p>
  </w:endnote>
  <w:endnote w:type="continuationSeparator" w:id="0">
    <w:p w:rsidR="007872D5" w:rsidRDefault="00525DF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872D5" w:rsidRDefault="007872D5">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872D5" w:rsidRDefault="00525DF7">
      <w:pPr>
        <w:spacing w:line="240" w:lineRule="auto"/>
      </w:pPr>
      <w:r>
        <w:separator/>
      </w:r>
    </w:p>
  </w:footnote>
  <w:footnote w:type="continuationSeparator" w:id="0">
    <w:p w:rsidR="007872D5" w:rsidRDefault="00525DF7">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4EB41677"/>
    <w:multiLevelType w:val="singleLevel"/>
    <w:tmpl w:val="056C77A6"/>
    <w:lvl w:ilvl="0">
      <w:numFmt w:val="bullet"/>
      <w:lvlText w:val="—"/>
      <w:lvlJc w:val="left"/>
      <w:pPr>
        <w:tabs>
          <w:tab w:val="num" w:pos="935"/>
        </w:tabs>
        <w:ind w:left="935" w:hanging="555"/>
      </w:pPr>
      <w:rPr>
        <w:rFonts w:hint="default"/>
      </w:rPr>
    </w:lvl>
  </w:abstractNum>
  <w:abstractNum w:abstractNumId="1">
    <w:nsid w:val="66E078B1"/>
    <w:multiLevelType w:val="multilevel"/>
    <w:tmpl w:val="C0E48988"/>
    <w:lvl w:ilvl="0">
      <w:start w:val="1"/>
      <w:numFmt w:val="decimal"/>
      <w:lvlText w:val="%1."/>
      <w:lvlJc w:val="left"/>
      <w:pPr>
        <w:tabs>
          <w:tab w:val="num" w:pos="360"/>
        </w:tabs>
        <w:ind w:left="360" w:hanging="360"/>
      </w:pPr>
      <w:rPr>
        <w:rFonts w:hint="default"/>
      </w:rPr>
    </w:lvl>
    <w:lvl w:ilvl="1">
      <w:start w:val="1"/>
      <w:numFmt w:val="decimal"/>
      <w:isLgl/>
      <w:lvlText w:val="%1.%2."/>
      <w:lvlJc w:val="left"/>
      <w:pPr>
        <w:tabs>
          <w:tab w:val="num" w:pos="1080"/>
        </w:tabs>
        <w:ind w:left="1080" w:hanging="72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2160"/>
        </w:tabs>
        <w:ind w:left="2160" w:hanging="1080"/>
      </w:pPr>
      <w:rPr>
        <w:rFonts w:hint="default"/>
      </w:rPr>
    </w:lvl>
    <w:lvl w:ilvl="4">
      <w:start w:val="1"/>
      <w:numFmt w:val="decimal"/>
      <w:isLgl/>
      <w:lvlText w:val="%1.%2.%3.%4.%5."/>
      <w:lvlJc w:val="left"/>
      <w:pPr>
        <w:tabs>
          <w:tab w:val="num" w:pos="2880"/>
        </w:tabs>
        <w:ind w:left="2880" w:hanging="1440"/>
      </w:pPr>
      <w:rPr>
        <w:rFonts w:hint="default"/>
      </w:rPr>
    </w:lvl>
    <w:lvl w:ilvl="5">
      <w:start w:val="1"/>
      <w:numFmt w:val="decimal"/>
      <w:isLgl/>
      <w:lvlText w:val="%1.%2.%3.%4.%5.%6."/>
      <w:lvlJc w:val="left"/>
      <w:pPr>
        <w:tabs>
          <w:tab w:val="num" w:pos="3240"/>
        </w:tabs>
        <w:ind w:left="3240" w:hanging="1440"/>
      </w:pPr>
      <w:rPr>
        <w:rFonts w:hint="default"/>
      </w:rPr>
    </w:lvl>
    <w:lvl w:ilvl="6">
      <w:start w:val="1"/>
      <w:numFmt w:val="decimal"/>
      <w:isLgl/>
      <w:lvlText w:val="%1.%2.%3.%4.%5.%6.%7."/>
      <w:lvlJc w:val="left"/>
      <w:pPr>
        <w:tabs>
          <w:tab w:val="num" w:pos="3960"/>
        </w:tabs>
        <w:ind w:left="3960" w:hanging="1800"/>
      </w:pPr>
      <w:rPr>
        <w:rFonts w:hint="default"/>
      </w:rPr>
    </w:lvl>
    <w:lvl w:ilvl="7">
      <w:start w:val="1"/>
      <w:numFmt w:val="decimal"/>
      <w:isLgl/>
      <w:lvlText w:val="%1.%2.%3.%4.%5.%6.%7.%8."/>
      <w:lvlJc w:val="left"/>
      <w:pPr>
        <w:tabs>
          <w:tab w:val="num" w:pos="4680"/>
        </w:tabs>
        <w:ind w:left="4680" w:hanging="2160"/>
      </w:pPr>
      <w:rPr>
        <w:rFonts w:hint="default"/>
      </w:rPr>
    </w:lvl>
    <w:lvl w:ilvl="8">
      <w:start w:val="1"/>
      <w:numFmt w:val="decimal"/>
      <w:isLgl/>
      <w:lvlText w:val="%1.%2.%3.%4.%5.%6.%7.%8.%9."/>
      <w:lvlJc w:val="left"/>
      <w:pPr>
        <w:tabs>
          <w:tab w:val="num" w:pos="5040"/>
        </w:tabs>
        <w:ind w:left="5040" w:hanging="2160"/>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bordersDoNotSurroundHeader/>
  <w:bordersDoNotSurroundFooter/>
  <w:revisionView w:markup="0"/>
  <w:doNotTrackMoves/>
  <w:doNotTrackFormatting/>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25DF7"/>
    <w:rsid w:val="004C5153"/>
    <w:rsid w:val="00525DF7"/>
    <w:rsid w:val="007872D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B607F957-FB9C-4B75-9007-AE3AC911BE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ru-RU" w:eastAsia="ru-RU" w:bidi="ar-SA"/>
      </w:rPr>
    </w:rPrDefault>
    <w:pPrDefault>
      <w:pPr>
        <w:spacing w:after="160" w:line="259" w:lineRule="auto"/>
      </w:pPr>
    </w:pPrDefault>
  </w:docDefaults>
  <w:latentStyles w:defLockedState="0" w:defUIPriority="99" w:defSemiHidden="0" w:defUnhideWhenUsed="0" w:defQFormat="0" w:count="371">
    <w:lsdException w:name="Normal"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lsdException w:name="footer" w:semiHidden="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uiPriority w:val="99"/>
    <w:qFormat/>
    <w:pPr>
      <w:widowControl w:val="0"/>
      <w:autoSpaceDE w:val="0"/>
      <w:autoSpaceDN w:val="0"/>
      <w:spacing w:after="0" w:line="440" w:lineRule="auto"/>
      <w:ind w:firstLine="380"/>
      <w:jc w:val="both"/>
    </w:pPr>
    <w:rPr>
      <w:rFonts w:ascii="Times New Roman" w:hAnsi="Times New Roman" w:cs="Times New Roman"/>
      <w:sz w:val="20"/>
      <w:szCs w:val="20"/>
    </w:rPr>
  </w:style>
  <w:style w:type="paragraph" w:styleId="1">
    <w:name w:val="heading 1"/>
    <w:basedOn w:val="a"/>
    <w:next w:val="a"/>
    <w:link w:val="10"/>
    <w:uiPriority w:val="99"/>
    <w:qFormat/>
    <w:pPr>
      <w:keepNext/>
      <w:widowControl/>
      <w:spacing w:line="240" w:lineRule="auto"/>
      <w:ind w:firstLine="0"/>
      <w:outlineLvl w:val="0"/>
    </w:pPr>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rPr>
  </w:style>
  <w:style w:type="paragraph" w:customStyle="1" w:styleId="FR1">
    <w:name w:val="FR1"/>
    <w:uiPriority w:val="99"/>
    <w:pPr>
      <w:widowControl w:val="0"/>
      <w:autoSpaceDE w:val="0"/>
      <w:autoSpaceDN w:val="0"/>
      <w:spacing w:after="0" w:line="240" w:lineRule="auto"/>
      <w:ind w:left="4360"/>
    </w:pPr>
    <w:rPr>
      <w:rFonts w:ascii="Times New Roman" w:hAnsi="Times New Roman" w:cs="Times New Roman"/>
      <w:b/>
      <w:bCs/>
      <w:sz w:val="28"/>
      <w:szCs w:val="28"/>
    </w:rPr>
  </w:style>
  <w:style w:type="paragraph" w:styleId="a3">
    <w:name w:val="footer"/>
    <w:basedOn w:val="a"/>
    <w:link w:val="a4"/>
    <w:uiPriority w:val="99"/>
    <w:pPr>
      <w:widowControl/>
      <w:tabs>
        <w:tab w:val="center" w:pos="4153"/>
        <w:tab w:val="right" w:pos="8306"/>
      </w:tabs>
      <w:spacing w:line="240" w:lineRule="auto"/>
      <w:ind w:firstLine="0"/>
      <w:jc w:val="left"/>
    </w:pPr>
  </w:style>
  <w:style w:type="character" w:customStyle="1" w:styleId="a4">
    <w:name w:val="Нижний колонтитул Знак"/>
    <w:basedOn w:val="a0"/>
    <w:link w:val="a3"/>
    <w:uiPriority w:val="99"/>
    <w:semiHidden/>
    <w:rPr>
      <w:rFonts w:ascii="Times New Roman" w:hAnsi="Times New Roman" w:cs="Times New Roman"/>
      <w:sz w:val="20"/>
      <w:szCs w:val="20"/>
    </w:rPr>
  </w:style>
  <w:style w:type="character" w:styleId="a5">
    <w:name w:val="page number"/>
    <w:basedOn w:val="a0"/>
    <w:uiPriority w:val="99"/>
  </w:style>
  <w:style w:type="paragraph" w:styleId="2">
    <w:name w:val="Body Text 2"/>
    <w:basedOn w:val="a"/>
    <w:link w:val="20"/>
    <w:uiPriority w:val="99"/>
    <w:pPr>
      <w:widowControl/>
      <w:spacing w:line="240" w:lineRule="auto"/>
      <w:ind w:firstLine="567"/>
    </w:pPr>
    <w:rPr>
      <w:sz w:val="24"/>
      <w:szCs w:val="24"/>
    </w:rPr>
  </w:style>
  <w:style w:type="character" w:customStyle="1" w:styleId="20">
    <w:name w:val="Основной текст 2 Знак"/>
    <w:basedOn w:val="a0"/>
    <w:link w:val="2"/>
    <w:uiPriority w:val="99"/>
    <w:semiHidden/>
    <w:rPr>
      <w:rFonts w:ascii="Times New Roman" w:hAnsi="Times New Roman" w:cs="Times New Roman"/>
      <w:sz w:val="20"/>
      <w:szCs w:val="20"/>
    </w:rPr>
  </w:style>
  <w:style w:type="paragraph" w:styleId="a6">
    <w:name w:val="Title"/>
    <w:basedOn w:val="a"/>
    <w:link w:val="a7"/>
    <w:uiPriority w:val="99"/>
    <w:qFormat/>
    <w:pPr>
      <w:widowControl/>
      <w:spacing w:line="240" w:lineRule="auto"/>
      <w:ind w:firstLine="567"/>
      <w:jc w:val="center"/>
    </w:pPr>
    <w:rPr>
      <w:b/>
      <w:bCs/>
      <w:sz w:val="28"/>
      <w:szCs w:val="28"/>
    </w:rPr>
  </w:style>
  <w:style w:type="character" w:customStyle="1" w:styleId="a7">
    <w:name w:val="Название Знак"/>
    <w:basedOn w:val="a0"/>
    <w:link w:val="a6"/>
    <w:uiPriority w:val="10"/>
    <w:rPr>
      <w:rFonts w:asciiTheme="majorHAnsi" w:eastAsiaTheme="majorEastAsia" w:hAnsiTheme="majorHAnsi" w:cstheme="majorBidi"/>
      <w:b/>
      <w:bCs/>
      <w:kern w:val="28"/>
      <w:sz w:val="32"/>
      <w:szCs w:val="32"/>
    </w:rPr>
  </w:style>
  <w:style w:type="paragraph" w:styleId="a8">
    <w:name w:val="header"/>
    <w:basedOn w:val="a"/>
    <w:link w:val="a9"/>
    <w:uiPriority w:val="99"/>
    <w:pPr>
      <w:widowControl/>
      <w:tabs>
        <w:tab w:val="center" w:pos="4153"/>
        <w:tab w:val="right" w:pos="8306"/>
      </w:tabs>
      <w:spacing w:line="240" w:lineRule="auto"/>
      <w:ind w:firstLine="0"/>
      <w:jc w:val="left"/>
    </w:pPr>
  </w:style>
  <w:style w:type="character" w:customStyle="1" w:styleId="a9">
    <w:name w:val="Верхний колонтитул Знак"/>
    <w:basedOn w:val="a0"/>
    <w:link w:val="a8"/>
    <w:uiPriority w:val="99"/>
    <w:semiHidden/>
    <w:rPr>
      <w:rFonts w:ascii="Times New Roman" w:hAnsi="Times New Roman"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6144</Words>
  <Characters>35026</Characters>
  <Application>Microsoft Office Word</Application>
  <DocSecurity>0</DocSecurity>
  <Lines>291</Lines>
  <Paragraphs>82</Paragraphs>
  <ScaleCrop>false</ScaleCrop>
  <Company>ТОО "РИАН-Нижний"</Company>
  <LinksUpToDate>false</LinksUpToDate>
  <CharactersWithSpaces>41088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Н</dc:title>
  <dc:subject/>
  <dc:creator>Тумаков Николай Евгеньевич</dc:creator>
  <cp:keywords/>
  <dc:description/>
  <cp:lastModifiedBy>admin</cp:lastModifiedBy>
  <cp:revision>2</cp:revision>
  <dcterms:created xsi:type="dcterms:W3CDTF">2014-02-19T10:43:00Z</dcterms:created>
  <dcterms:modified xsi:type="dcterms:W3CDTF">2014-02-19T10:43:00Z</dcterms:modified>
</cp:coreProperties>
</file>