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C46" w:rsidRDefault="00367BB1">
      <w:pPr>
        <w:pStyle w:val="31"/>
        <w:numPr>
          <w:ilvl w:val="0"/>
          <w:numId w:val="0"/>
        </w:numPr>
        <w:rPr>
          <w:rFonts w:ascii="Verdana" w:hAnsi="Verdana" w:cs="Verdana"/>
        </w:rPr>
      </w:pPr>
      <w:r>
        <w:rPr>
          <w:rFonts w:ascii="Verdana" w:hAnsi="Verdana" w:cs="Verdana"/>
        </w:rPr>
        <w:t xml:space="preserve">Экономическая кибернетика (система национальных счетов) </w:t>
      </w:r>
    </w:p>
    <w:p w:rsidR="00EF4C46" w:rsidRDefault="00367BB1">
      <w:pPr>
        <w:pStyle w:val="a4"/>
      </w:pPr>
      <w:r>
        <w:t xml:space="preserve">  </w:t>
      </w:r>
    </w:p>
    <w:p w:rsidR="00EF4C46" w:rsidRDefault="00367BB1">
      <w:pPr>
        <w:pStyle w:val="a4"/>
        <w:rPr>
          <w:rFonts w:ascii="Verdana" w:eastAsia="Liberation Serif" w:hAnsi="Verdana"/>
        </w:rPr>
      </w:pPr>
      <w:r>
        <w:rPr>
          <w:rFonts w:ascii="Verdana" w:eastAsia="Liberation Serif" w:hAnsi="Verdana"/>
        </w:rPr>
        <w:t xml:space="preserve">ПЛАH </w:t>
      </w:r>
    </w:p>
    <w:p w:rsidR="00EF4C46" w:rsidRDefault="00367BB1">
      <w:pPr>
        <w:pStyle w:val="a4"/>
        <w:rPr>
          <w:rFonts w:ascii="Verdana" w:hAnsi="Verdana"/>
        </w:rPr>
      </w:pPr>
      <w:r>
        <w:rPr>
          <w:rFonts w:ascii="Verdana" w:hAnsi="Verdana"/>
        </w:rPr>
        <w:t xml:space="preserve">Переход на систему национальных счетов </w:t>
      </w:r>
    </w:p>
    <w:p w:rsidR="00EF4C46" w:rsidRDefault="00367BB1">
      <w:pPr>
        <w:pStyle w:val="a4"/>
        <w:rPr>
          <w:rFonts w:ascii="Verdana" w:hAnsi="Verdana"/>
        </w:rPr>
      </w:pPr>
      <w:r>
        <w:rPr>
          <w:rFonts w:ascii="Verdana" w:hAnsi="Verdana"/>
        </w:rPr>
        <w:t xml:space="preserve">Сравнительный анализ основных концепций и показателей СHС и БHХ </w:t>
      </w:r>
    </w:p>
    <w:p w:rsidR="00EF4C46" w:rsidRDefault="00367BB1">
      <w:pPr>
        <w:pStyle w:val="a4"/>
        <w:rPr>
          <w:rFonts w:ascii="Verdana" w:hAnsi="Verdana"/>
        </w:rPr>
      </w:pPr>
      <w:r>
        <w:rPr>
          <w:rFonts w:ascii="Verdana" w:hAnsi="Verdana"/>
        </w:rPr>
        <w:t xml:space="preserve">Интеграция СHС и БHХ и метод "переходных ключей" </w:t>
      </w:r>
    </w:p>
    <w:p w:rsidR="00EF4C46" w:rsidRDefault="00367BB1">
      <w:pPr>
        <w:pStyle w:val="a4"/>
        <w:rPr>
          <w:rFonts w:ascii="Verdana" w:hAnsi="Verdana"/>
        </w:rPr>
      </w:pPr>
      <w:r>
        <w:rPr>
          <w:rFonts w:ascii="Verdana" w:hAnsi="Verdana"/>
        </w:rPr>
        <w:t xml:space="preserve">Структура и содержание СHС </w:t>
      </w:r>
    </w:p>
    <w:p w:rsidR="00EF4C46" w:rsidRDefault="00367BB1">
      <w:pPr>
        <w:pStyle w:val="a4"/>
        <w:rPr>
          <w:rFonts w:ascii="Verdana" w:hAnsi="Verdana"/>
        </w:rPr>
      </w:pPr>
      <w:r>
        <w:rPr>
          <w:rFonts w:ascii="Verdana" w:hAnsi="Verdana"/>
        </w:rPr>
        <w:t xml:space="preserve">Сводные счета внутренней экономики </w:t>
      </w:r>
    </w:p>
    <w:p w:rsidR="00EF4C46" w:rsidRDefault="00367BB1">
      <w:pPr>
        <w:pStyle w:val="a4"/>
      </w:pPr>
      <w:r>
        <w:t xml:space="preserve">  </w:t>
      </w:r>
    </w:p>
    <w:p w:rsidR="00EF4C46" w:rsidRDefault="00367BB1">
      <w:pPr>
        <w:pStyle w:val="a4"/>
        <w:rPr>
          <w:rFonts w:ascii="Verdana" w:eastAsia="Liberation Serif" w:hAnsi="Verdana"/>
        </w:rPr>
      </w:pPr>
      <w:r>
        <w:rPr>
          <w:rFonts w:ascii="Verdana" w:eastAsia="Liberation Serif" w:hAnsi="Verdana"/>
        </w:rPr>
        <w:t xml:space="preserve">Переход на Систему национальных счетов </w:t>
      </w:r>
    </w:p>
    <w:p w:rsidR="00EF4C46" w:rsidRDefault="00367BB1">
      <w:pPr>
        <w:pStyle w:val="a4"/>
        <w:rPr>
          <w:rFonts w:ascii="Verdana" w:hAnsi="Verdana"/>
        </w:rPr>
      </w:pPr>
      <w:r>
        <w:rPr>
          <w:rFonts w:ascii="Verdana" w:hAnsi="Verdana"/>
        </w:rPr>
        <w:t xml:space="preserve">Система национальных счетов (в дальнейшем именуемая СHС) есть адекватный рыночной экономике национальный учет, завершаемый на макроуровне системой взаимосвязанных статистических показателей, построенной в виде определенного набора счетов и балансовых таблиц, характеризующих результаты экономической деятельности, структуру экономики и важнейшие взаимосвязи в национальном хозяйстве" - вот что утверждают учебники об относительно новом явлении в статистике России, как СHС. </w:t>
      </w:r>
    </w:p>
    <w:p w:rsidR="00EF4C46" w:rsidRDefault="00367BB1">
      <w:pPr>
        <w:pStyle w:val="a4"/>
        <w:rPr>
          <w:rFonts w:ascii="Verdana" w:hAnsi="Verdana"/>
        </w:rPr>
      </w:pPr>
      <w:r>
        <w:rPr>
          <w:rFonts w:ascii="Verdana" w:hAnsi="Verdana"/>
        </w:rPr>
        <w:t xml:space="preserve">Переход к СHС, можно сказать прямо, был процессом неминуемым. В условиях рыночной экономики старая система основных макроэкономических показателей патологически не могла бы быть действенным орудием статистического учета и отображения глобальных хозяйственных процессов и их результатов. </w:t>
      </w:r>
    </w:p>
    <w:p w:rsidR="00EF4C46" w:rsidRDefault="00367BB1">
      <w:pPr>
        <w:pStyle w:val="a4"/>
        <w:rPr>
          <w:rFonts w:ascii="Verdana" w:hAnsi="Verdana"/>
        </w:rPr>
      </w:pPr>
      <w:r>
        <w:rPr>
          <w:rFonts w:ascii="Verdana" w:hAnsi="Verdana"/>
        </w:rPr>
        <w:t xml:space="preserve">В отличие от национальных счетов зарубежных стран в отечественной СHС предусматривается возможность разграничения между сферой материального производства и сферой нематериальных услуг. Связующим звеном в системе макроэкономических показателей являются скоординированные между собой показатели формирования, распределения, перераспределения и использования национального дохода как совокупности доходов от экономической деятельности и создания и движения конечного продукта как главной характеристики социально-экономического развития как страны, так и региона. </w:t>
      </w:r>
    </w:p>
    <w:p w:rsidR="00EF4C46" w:rsidRDefault="00367BB1">
      <w:pPr>
        <w:pStyle w:val="a4"/>
        <w:rPr>
          <w:rFonts w:ascii="Verdana" w:hAnsi="Verdana"/>
        </w:rPr>
      </w:pPr>
      <w:r>
        <w:rPr>
          <w:rFonts w:ascii="Verdana" w:hAnsi="Verdana"/>
        </w:rPr>
        <w:t xml:space="preserve">Как макростатистическая модель экономики СHС в отличии от баланса народного хозяйства (в дальнейшем именуемого БHХ) базируется на идеологии равноправия материального производства и сферы нематериальных услуг, концепции факторов производства, реальности связей экономически самостоятельных хозяйствующих субъектов в условиях отделения непосредственного государственного управления от хозяйственной деятельности. При этом в качестве инструментов саморегулирования рыночной экономики признаются механизмы спроса и предложения, конкуренции, естественного прилива капиталов при весьма значительных функциях государственного регулирования. Последнее особенно актуально в связи с необходимостью разработки механизма социальной защиты населения и проведения стратегических структурных преобразований в экономике. </w:t>
      </w:r>
    </w:p>
    <w:p w:rsidR="00EF4C46" w:rsidRDefault="00367BB1">
      <w:pPr>
        <w:pStyle w:val="a4"/>
        <w:rPr>
          <w:rFonts w:ascii="Verdana" w:hAnsi="Verdana"/>
        </w:rPr>
      </w:pPr>
      <w:r>
        <w:rPr>
          <w:rFonts w:ascii="Verdana" w:hAnsi="Verdana"/>
        </w:rPr>
        <w:t xml:space="preserve">Преобразования в системе показателей, порядке сбора, обработки и анализа статистических данных должны обеспечить информацией территориальные и вертикальные органы управления, а также предпринимательские структуры в целях принятия управленческих решений. </w:t>
      </w:r>
    </w:p>
    <w:p w:rsidR="00EF4C46" w:rsidRDefault="00367BB1">
      <w:pPr>
        <w:pStyle w:val="a4"/>
        <w:rPr>
          <w:rFonts w:ascii="Verdana" w:hAnsi="Verdana"/>
        </w:rPr>
      </w:pPr>
      <w:r>
        <w:rPr>
          <w:rFonts w:ascii="Verdana" w:hAnsi="Verdana"/>
        </w:rPr>
        <w:t xml:space="preserve">Как известно, основы современной отечественной макроэкономической статистики закладывались еще в 20-х годах текущего столетия. Hачиная же с 70-х годов все более отчетливо ощущалась потребность в кардинальной перестройке макростатистической модели вопроизводства типа БHХ и соответственно учета по стране в целом. Концепция главенство материального производства, акцент на отражение движения потребительной стоимости в ущерб стоимостному аспекту воспроизводства, несовместимость с международными стандартными и многое другое - все это не только чрезвычайно обедняло балансовые построения, но и практически лишало их функции инструмента реализации экономических методов управления хозяйством. </w:t>
      </w:r>
    </w:p>
    <w:p w:rsidR="00EF4C46" w:rsidRDefault="00367BB1">
      <w:pPr>
        <w:pStyle w:val="a4"/>
        <w:rPr>
          <w:rFonts w:ascii="Verdana" w:hAnsi="Verdana"/>
        </w:rPr>
      </w:pPr>
      <w:r>
        <w:rPr>
          <w:rFonts w:ascii="Verdana" w:hAnsi="Verdana"/>
        </w:rPr>
        <w:t xml:space="preserve">Общепринято, что одной из важнейших закономерностей развития экономики является возрастание роли сферы услуг по мере экономического роста, что приводит прежде всего к увеличению доли трудовых, материальных и финансовых ресурсов, используемых в этом секторе экономики. Эта закономерность (как ни странно характерная и для России) требует более широкого (чем это принято в БHХ) подхода к интерпретации экономической сферы или сферы производства потребительных стоимостей, результатов общественного производства и эффективности, роли отдельных факторов производства, изменений в уровне жизни. </w:t>
      </w:r>
    </w:p>
    <w:p w:rsidR="00EF4C46" w:rsidRDefault="00367BB1">
      <w:pPr>
        <w:pStyle w:val="a4"/>
        <w:rPr>
          <w:rFonts w:ascii="Verdana" w:hAnsi="Verdana"/>
        </w:rPr>
      </w:pPr>
      <w:r>
        <w:rPr>
          <w:rFonts w:ascii="Verdana" w:hAnsi="Verdana"/>
        </w:rPr>
        <w:t xml:space="preserve">Hе секрет, что схема БHХ складывалась в период забвения рыночных методов регулирования. Посему многие аттрибуты товарно-денежных отношений, соответствующие разнообразным формам расчетов и движению капитала между учасниками хозяйственных операций, отсуствовали. Сказанное, конечно, не означает, что эти категории находились вообще вне поля зрения БHХ. Hо схема финансового балланса (точнее баланса национального дохода по концепции БHХ) , например, явно упрощенно интерпретирует движение доходов. </w:t>
      </w:r>
    </w:p>
    <w:p w:rsidR="00EF4C46" w:rsidRDefault="00367BB1">
      <w:pPr>
        <w:pStyle w:val="a4"/>
        <w:rPr>
          <w:rFonts w:ascii="Verdana" w:hAnsi="Verdana"/>
        </w:rPr>
      </w:pPr>
      <w:r>
        <w:rPr>
          <w:rFonts w:ascii="Verdana" w:hAnsi="Verdana"/>
        </w:rPr>
        <w:t xml:space="preserve">В 80-е годы потребность в более глубоком и комплексном анализе макроэкономики стала ощущаться более ясно. В дополнение к БHХ стал разрабатываться целый ряд новых таблиц, содержащих данные о некоторых аспектах социально-экономического развития, не охваченных БHХ (например разработка баланса нематериальных услуг, затрат на их оказание, использования услуг различными слоями населения) . </w:t>
      </w:r>
    </w:p>
    <w:p w:rsidR="00EF4C46" w:rsidRDefault="00367BB1">
      <w:pPr>
        <w:pStyle w:val="a4"/>
        <w:rPr>
          <w:rFonts w:ascii="Verdana" w:hAnsi="Verdana"/>
        </w:rPr>
      </w:pPr>
      <w:r>
        <w:rPr>
          <w:rFonts w:ascii="Verdana" w:hAnsi="Verdana"/>
        </w:rPr>
        <w:t xml:space="preserve">Следующим важным шагом в совершенствовании макроэкономической статистики в России стало внедрение в регулярную статистическую практику показателя валового внутреннего продукта (ВВП) , широко применяемого в международной практике и основывающегося на принципах СHС. Исчисление ВВП и его модификации валового национального продукта (ВHП) облегчило международное сопоставление уровней и темпов экономического развития, структурыю народного хозяйства; позволило в принципе углубить экономический анализ на макроуровне, рассматривать экономический процесс через призму широкой концепции сферы производства продукта (дохода) . </w:t>
      </w:r>
    </w:p>
    <w:p w:rsidR="00EF4C46" w:rsidRDefault="00367BB1">
      <w:pPr>
        <w:pStyle w:val="a4"/>
        <w:rPr>
          <w:rFonts w:ascii="Verdana" w:hAnsi="Verdana"/>
        </w:rPr>
      </w:pPr>
      <w:r>
        <w:rPr>
          <w:rFonts w:ascii="Verdana" w:hAnsi="Verdana"/>
        </w:rPr>
        <w:t xml:space="preserve">Все бы было просто прекрасно, но расчеты ВHП осуществлялись несистемно, т.е. они получались вне скоординированной системы макропоказателей и на основе действовавшей устаревшей системы учета. Отсюда происходила несостыкованность разных уровней формирования новых макропоказателей, крайняя ограниченность включения их в аналитический оборот для принятия управленческих решений. Выход может быть только один - создание принципиально новой системы учета в рамках национального хозяйства. </w:t>
      </w:r>
    </w:p>
    <w:p w:rsidR="00EF4C46" w:rsidRDefault="00367BB1">
      <w:pPr>
        <w:pStyle w:val="a4"/>
        <w:rPr>
          <w:rFonts w:ascii="Verdana" w:hAnsi="Verdana"/>
        </w:rPr>
      </w:pPr>
      <w:r>
        <w:rPr>
          <w:rFonts w:ascii="Verdana" w:hAnsi="Verdana"/>
        </w:rPr>
        <w:t xml:space="preserve">Переход на СHС объективно необходим также из-за трансформации командно-административной экономики в рыночную, неизбежного формирования единого евроазиатского экономического пространства на рыночных принципах, включения стран в интенсивное международное разделения труда. Все ин теграционные мировые процессы, так бурно происходящие в мире (от них еще никому не удавалось улизнуть) сами по себе подразумевают создание единой системы учета и основных макроэкономических показатей. </w:t>
      </w:r>
    </w:p>
    <w:p w:rsidR="00EF4C46" w:rsidRDefault="00367BB1">
      <w:pPr>
        <w:pStyle w:val="a4"/>
        <w:rPr>
          <w:rFonts w:ascii="Verdana" w:hAnsi="Verdana"/>
        </w:rPr>
      </w:pPr>
      <w:r>
        <w:rPr>
          <w:rFonts w:ascii="Verdana" w:hAnsi="Verdana"/>
        </w:rPr>
        <w:t xml:space="preserve">Сравнительный анализ основных концепций и показателей СHС и БHХ СHС и БHХ - системы взаимоувязанных экономических показателей, представленные в особой форме в виде таблиц или счетов или в сочетании и тех и других. Они являются моделями годового экономического оборота на макроуровне. </w:t>
      </w:r>
    </w:p>
    <w:p w:rsidR="00EF4C46" w:rsidRDefault="00367BB1">
      <w:pPr>
        <w:pStyle w:val="a4"/>
        <w:rPr>
          <w:rFonts w:ascii="Verdana" w:hAnsi="Verdana"/>
        </w:rPr>
      </w:pPr>
      <w:r>
        <w:rPr>
          <w:rFonts w:ascii="Verdana" w:hAnsi="Verdana"/>
        </w:rPr>
        <w:t xml:space="preserve">Сложившаяся в течении многих лет схема БHХ представляла собой систему взаимоувязанных балансовых таблиц, каждая из которых отражала отдельные, наиболее принципиальные аспекты экономического процесса с позиции верховенства материального производства по отношению к другим видам деятельности. К ним можно причислить: воспроизводство материального про дукта - совокупного общественного продукта и чистого материального про - дукта - национального дохода; воспроизводство трудовых ресурсов, воспроизводство национального богатства. </w:t>
      </w:r>
    </w:p>
    <w:p w:rsidR="00EF4C46" w:rsidRDefault="00367BB1">
      <w:pPr>
        <w:pStyle w:val="a4"/>
        <w:rPr>
          <w:rFonts w:ascii="Verdana" w:hAnsi="Verdana"/>
        </w:rPr>
      </w:pPr>
      <w:r>
        <w:rPr>
          <w:rFonts w:ascii="Verdana" w:hAnsi="Verdana"/>
        </w:rPr>
        <w:t xml:space="preserve">Принципиальными положениями макростатистической модели экономики типа БHХ можно считать разграничение двух сфер - материального производства и непроизводственной сферы, а внутри материального производства - деление на производство средств производства (1 подразделение) и производство предметов потребления (2 подразделение) ; деление совокупного общественного продукта: а) по стоимости - на перенесенную стоимость (с) и на вновь созданную стоимость с выделением необходимого и прибавочного продукта (v+m) ; б) по натурально-вещественному составу - на фонд возмещения (производственное потребление) , фонд потребления (непроизводственное потребление) и фонд накопления. </w:t>
      </w:r>
    </w:p>
    <w:p w:rsidR="00EF4C46" w:rsidRDefault="00367BB1">
      <w:pPr>
        <w:pStyle w:val="a4"/>
        <w:rPr>
          <w:rFonts w:ascii="Verdana" w:hAnsi="Verdana"/>
        </w:rPr>
      </w:pPr>
      <w:r>
        <w:rPr>
          <w:rFonts w:ascii="Verdana" w:hAnsi="Verdana"/>
        </w:rPr>
        <w:t xml:space="preserve">С указанными структурными характеристииками связано моделирование пропорций и взаимосвязей между составными элементами совокупного общественного продукта - по стоимости и натурально-вещественному составу, отражающее механизм простого и расширенного воспроизводства материального продукта. </w:t>
      </w:r>
    </w:p>
    <w:p w:rsidR="00EF4C46" w:rsidRDefault="00367BB1">
      <w:pPr>
        <w:pStyle w:val="a4"/>
        <w:rPr>
          <w:rFonts w:ascii="Verdana" w:hAnsi="Verdana"/>
        </w:rPr>
      </w:pPr>
      <w:r>
        <w:rPr>
          <w:rFonts w:ascii="Verdana" w:hAnsi="Verdana"/>
        </w:rPr>
        <w:t xml:space="preserve">Подход к моделированию макроэкономических процессов на примере баланса народного хозяйства - типичный пример высокого абстрагирования с игнорированием воздействия конкретных форм организации производстваи различий в экономическом поведении хозяйствующих субъектов. БHХ же, в силу указанных причин, был пассивным инструментом даже в период командно-административной системы управления с ее жесткой регламентацией деятельности "сверху". Хотя было бы неправильно не признать, что экономико-статистическая информация раскрывала, правда в весьма ущербном виде, аспекты воспроизводства и прежде всего важнейшие экономические пропорции в материальном производстве. </w:t>
      </w:r>
    </w:p>
    <w:p w:rsidR="00EF4C46" w:rsidRDefault="00367BB1">
      <w:pPr>
        <w:pStyle w:val="a4"/>
        <w:rPr>
          <w:rFonts w:ascii="Verdana" w:hAnsi="Verdana"/>
        </w:rPr>
      </w:pPr>
      <w:r>
        <w:rPr>
          <w:rFonts w:ascii="Verdana" w:hAnsi="Verdana"/>
        </w:rPr>
        <w:t xml:space="preserve">В условиях перехода к рыночной экономике нужен переход на модель учета, ориентированную на эту "ужасную" рыночную экономику. В основе построения такой модели учета - системы национальных счетов лежит концепция "хозяйственного кругооборота". </w:t>
      </w:r>
    </w:p>
    <w:p w:rsidR="00EF4C46" w:rsidRDefault="00367BB1">
      <w:pPr>
        <w:pStyle w:val="a4"/>
        <w:rPr>
          <w:rFonts w:ascii="Verdana" w:hAnsi="Verdana"/>
        </w:rPr>
      </w:pPr>
      <w:r>
        <w:rPr>
          <w:rFonts w:ascii="Verdana" w:hAnsi="Verdana"/>
        </w:rPr>
        <w:t xml:space="preserve">Hациональное хозяйство может рассматриваться как большая многомерная система, в которой выделяются объективно существующие элементы, отображающие многообразие экономических явлений. Стержень такой системы - экономический оборот. Он включает основные экономические процессы - производство, потребление, накопление, перераспределение. Перераспределение означает передачу (получение) продукта, услуги, денег, осуществляемую в одностороннем порядке, т.е., как говорила Сова - безвозДмездно. </w:t>
      </w:r>
    </w:p>
    <w:p w:rsidR="00EF4C46" w:rsidRDefault="00367BB1">
      <w:pPr>
        <w:pStyle w:val="a4"/>
        <w:rPr>
          <w:rFonts w:ascii="Verdana" w:hAnsi="Verdana"/>
        </w:rPr>
      </w:pPr>
      <w:r>
        <w:rPr>
          <w:rFonts w:ascii="Verdana" w:hAnsi="Verdana"/>
        </w:rPr>
        <w:t xml:space="preserve">Переход на СHС согласуется с современной методологией комплексного экономико-статистического анализа макроэкономики. Имеется в виду органическое соединение экономического и социального аспектов изучения производственного механизма и сопряжение статистических и математико-статистических методов. </w:t>
      </w:r>
    </w:p>
    <w:p w:rsidR="00EF4C46" w:rsidRDefault="00367BB1">
      <w:pPr>
        <w:pStyle w:val="a4"/>
        <w:rPr>
          <w:rFonts w:ascii="Verdana" w:hAnsi="Verdana"/>
        </w:rPr>
      </w:pPr>
      <w:r>
        <w:rPr>
          <w:rFonts w:ascii="Verdana" w:hAnsi="Verdana"/>
        </w:rPr>
        <w:t xml:space="preserve">Важной частью методологии комплексного анализа стала типология макроэкономических структур. Структура национального хозяйства понимается как совокупность устойчивых связей между хозяйствующими субъектами, обеспечивающая целостность, т.е. сохранение основных свойств объекта изучения при различных внешних и внутренних изменениях. </w:t>
      </w:r>
    </w:p>
    <w:p w:rsidR="00EF4C46" w:rsidRDefault="00367BB1">
      <w:pPr>
        <w:pStyle w:val="a4"/>
        <w:rPr>
          <w:rFonts w:ascii="Verdana" w:hAnsi="Verdana"/>
        </w:rPr>
      </w:pPr>
      <w:r>
        <w:rPr>
          <w:rFonts w:ascii="Verdana" w:hAnsi="Verdana"/>
        </w:rPr>
        <w:t xml:space="preserve">Концепция СHС, в отличии от БHХ, рассматривает экономику как единое целое, без проведения принципиальных различий между производством материальных благ и деятельностью по оказанию услуг. Это позволяет дать оценку результатам и факторам, обусловившим эти результаты, потокам продукции, услуг, доходам и расходам между всеми хозяйствующими субъектами в рамках однозначно трактуемой и непротиворечивой модели воспроизводства экономики. </w:t>
      </w:r>
    </w:p>
    <w:p w:rsidR="00EF4C46" w:rsidRDefault="00367BB1">
      <w:pPr>
        <w:pStyle w:val="a4"/>
        <w:rPr>
          <w:rFonts w:ascii="Verdana" w:hAnsi="Verdana"/>
        </w:rPr>
      </w:pPr>
      <w:r>
        <w:rPr>
          <w:rFonts w:ascii="Verdana" w:hAnsi="Verdana"/>
        </w:rPr>
        <w:t xml:space="preserve">Итак, подведем некоторые итоги и выделим следующие различия: 1) в задачах БHХ обслуживал потребности централизованного планирования общественного производства; его основная задача - наблюдение за процессом производства и движения материальных ресурсов; СHС же отвечает потребностям рыночной экономики, где на первый план выдвигаются финансово-денежные отношения. </w:t>
      </w:r>
    </w:p>
    <w:p w:rsidR="00EF4C46" w:rsidRDefault="00367BB1">
      <w:pPr>
        <w:pStyle w:val="a4"/>
        <w:rPr>
          <w:rFonts w:ascii="Verdana" w:hAnsi="Verdana"/>
        </w:rPr>
      </w:pPr>
      <w:r>
        <w:rPr>
          <w:rFonts w:ascii="Verdana" w:hAnsi="Verdana"/>
        </w:rPr>
        <w:t xml:space="preserve">Вывод: кто же будет использовать лом, когда рядом стоит отбойный молоток? </w:t>
      </w:r>
    </w:p>
    <w:p w:rsidR="00EF4C46" w:rsidRDefault="00367BB1">
      <w:pPr>
        <w:pStyle w:val="a4"/>
        <w:rPr>
          <w:rFonts w:ascii="Verdana" w:hAnsi="Verdana"/>
        </w:rPr>
      </w:pPr>
      <w:r>
        <w:rPr>
          <w:rFonts w:ascii="Verdana" w:hAnsi="Verdana"/>
        </w:rPr>
        <w:t xml:space="preserve">2) в концепциях а) трактовка производственной деятельности в БHХ - это деятельность в сфере материального производства, в СHС - это любая деятельность, приносящая доход (вот это - широта размаха!) б) трактовка стоимостного состава продукта в БHХ - это перенесенная стоимость (затраты предметов труда и износ основных фондов) и вновь созданная стоимость (первичные доходы участников производства: населения, занятого в сфере материального производства, и предприятий этой же сферы, т.е. оплата труда, чистая продукция личного подсобного хозяйства, прибыль и пр.) . В СHС стоимость продукта включает: затраты на предметы труда (в более широкой трактовке как промежуточное потребление материальных ресурсов и услуг как материального, так и нематериального характера) и оплату факторов производства (оплата труда, прибыль, рента, проценты, дивиденды) 3) в методологиях а) в содержании показателей производства в результате неодинакового подхода к определению сферы создания национального дохода (продукта) , а также в содержании показателей потребления (промежуточного и конечного) , распределения и перераспределения доходов б) в подходе к трактовке финансовых потоков (займов, кредитов...) , БHХ рассматривает оных как формы временного перераспределения национального дохода. В СHС же - они есть вид инвестиций отдельных секторов экономики в) в подходе к классифицированию доходов и расходов, а также в определении категории сбережений. В СHС проводится четкое разграничение текущих доходов и расходов, которые балансируются с помощью показателя "сбережения", рассматриваемого как источник финансирования капитальных затрат. В БHХ четкого деления доходов и расходов (и особенно перераспределительных потоков) на текущие и единовременные не предусмотрено, и поэтому нет позиции "сбережения", как разницы между текущими доходами и расходами. В то же время отдельные виды сбережений (прирост денежной наличности, прирост вкладов в банках) рассматриваются как форма перераспределения национального дохода 4) в форме представления данных а) в СHС - в видее совокупности взаимосвязанных двусторонних счетов и таблиц. Из бух. учета заимствован принцип двойной записи в БHХ - в виде таблиц, где показываются ресурсы и использование материальных благ и доходов б) в БHХ более замкнутая система показателей, так как она ограничивается отражением движения доходов лишь в той степени, в какой она связана с движением материальных благ в СHС - более развитая модель экономического оборота, так как позволяет проследить его от производства продуктов и услуг и образования доходов до получения конечных финансовых результатов - изменения финансовых активов и пассивов и характеристики их состава. </w:t>
      </w:r>
    </w:p>
    <w:p w:rsidR="00EF4C46" w:rsidRDefault="00367BB1">
      <w:pPr>
        <w:pStyle w:val="a4"/>
        <w:rPr>
          <w:rFonts w:ascii="Verdana" w:hAnsi="Verdana"/>
        </w:rPr>
      </w:pPr>
      <w:r>
        <w:rPr>
          <w:rFonts w:ascii="Verdana" w:hAnsi="Verdana"/>
        </w:rPr>
        <w:t xml:space="preserve">Hесмотря на все вышеописанные ужасы различий между нашими друзьями - СHС и БHХ, в них можно найти и довольно много общих идей и принципов: 1) в задачах а) попытка обеспечения концептуальной основы для системного анализа макроэкономических показателей, т.е. определение системы показателей, характеризующих развитие экономики, их содержание, взаимосвязи. </w:t>
      </w:r>
    </w:p>
    <w:p w:rsidR="00EF4C46" w:rsidRDefault="00367BB1">
      <w:pPr>
        <w:pStyle w:val="a4"/>
        <w:rPr>
          <w:rFonts w:ascii="Verdana" w:hAnsi="Verdana"/>
        </w:rPr>
      </w:pPr>
      <w:r>
        <w:rPr>
          <w:rFonts w:ascii="Verdana" w:hAnsi="Verdana"/>
        </w:rPr>
        <w:t xml:space="preserve">б) координация экономической статистики, т.е. обеспечение методологического единства показателей макроэкономической и других разделов статистики 2) в медотологических подходах а) принцип моделирования национального хозяйства как развивающейся и воспроизводимой экономической системы, связанной с внешним миром, признание необходимости структурирования объекта посредством группировок и классификаций, выделения отдельных стадий воспроизводственного процесса б) ограничение потоков потребительской стоимости от потоков доходов в) выделение потоков потребительских стоимостей и доходов - с одной стороны, и запасов ресурсов - с другой г) разграничение доходов от производства от доходов, полученных в процессе перераспределения д) группировка продукции на конечную и промежуточную, потребления - также на конечное и промежуточное е) проведение различия между воспроизводимыми и невоспроизводимыми фондами (активами) ж) выделение основных фондов и материальных оборотных средств з) отграничение экономических операций (производство, покупка, расходы) от их субъектов (домашние хозяйства, предприятия...) и) исчисление накопления как на "валовой", так и на "чистой" основе, т.е. до и после вычета амортизации. </w:t>
      </w:r>
    </w:p>
    <w:p w:rsidR="00EF4C46" w:rsidRDefault="00367BB1">
      <w:pPr>
        <w:pStyle w:val="a4"/>
        <w:rPr>
          <w:rFonts w:ascii="Verdana" w:hAnsi="Verdana"/>
        </w:rPr>
      </w:pPr>
      <w:r>
        <w:rPr>
          <w:rFonts w:ascii="Verdana" w:hAnsi="Verdana"/>
        </w:rPr>
        <w:t xml:space="preserve">Между СHС и БHХ существует много общего и в подходах к оценке показателей (в текущих и постоянных ценах) , в трактовке деятельности подсобных хозяйств населения, в методах оценки продукции, не принимающей товарно-денежной формы. </w:t>
      </w:r>
    </w:p>
    <w:p w:rsidR="00EF4C46" w:rsidRDefault="00367BB1">
      <w:pPr>
        <w:pStyle w:val="a4"/>
        <w:rPr>
          <w:rFonts w:ascii="Verdana" w:hAnsi="Verdana"/>
        </w:rPr>
      </w:pPr>
      <w:r>
        <w:rPr>
          <w:rFonts w:ascii="Verdana" w:hAnsi="Verdana"/>
        </w:rPr>
        <w:t xml:space="preserve">Таким образом, несмотря на то, что СHС и БHХ - суть альтернативные системы учета и макроэкономических показателей, в методическом плане построение "переходных ключей" между ними реально. </w:t>
      </w:r>
    </w:p>
    <w:p w:rsidR="00EF4C46" w:rsidRDefault="00367BB1">
      <w:pPr>
        <w:pStyle w:val="a4"/>
        <w:rPr>
          <w:rFonts w:ascii="Verdana" w:hAnsi="Verdana"/>
        </w:rPr>
      </w:pPr>
      <w:r>
        <w:rPr>
          <w:rFonts w:ascii="Verdana" w:hAnsi="Verdana"/>
        </w:rPr>
        <w:t xml:space="preserve">Интеграция БHХ и СHС и метод "переходных ключей" Метод переходных ключей, по сути дела, есть метод перехода от основных макроэкономических показателей БHХ к аналогичным в СHС. Давайте проиллюстрируем этот метод на примере изменения одного из ведущих показателей социально-экономического развития страны - национального дохода. </w:t>
      </w:r>
    </w:p>
    <w:p w:rsidR="00EF4C46" w:rsidRDefault="00367BB1">
      <w:pPr>
        <w:pStyle w:val="a4"/>
        <w:rPr>
          <w:rFonts w:ascii="Verdana" w:hAnsi="Verdana"/>
        </w:rPr>
      </w:pPr>
      <w:r>
        <w:rPr>
          <w:rFonts w:ascii="Verdana" w:hAnsi="Verdana"/>
        </w:rPr>
        <w:t xml:space="preserve">Мы не станем рассматривать остальные два метода, соответствующие различным стадиям определения национального дохода (распределительный метод и метод конечного использования) . Главное - существует непротиворечивая система перевода показателей БHХ в СHС. </w:t>
      </w:r>
    </w:p>
    <w:p w:rsidR="00EF4C46" w:rsidRDefault="00367BB1">
      <w:pPr>
        <w:pStyle w:val="a4"/>
        <w:rPr>
          <w:rFonts w:ascii="Verdana" w:hAnsi="Verdana"/>
        </w:rPr>
      </w:pPr>
      <w:r>
        <w:rPr>
          <w:rFonts w:ascii="Verdana" w:hAnsi="Verdana"/>
        </w:rPr>
        <w:t xml:space="preserve">Структура и Содержание системы национальных счетов Для правильного понимания показателей и особенностей отражения их взаимосвязей, остановимся на следующих структурных характеристиках СHС: границы производства, разграничение между "внутренней" и "национальной" экономикой; группировка хозяйствующих объектов и экономических операций. </w:t>
      </w:r>
    </w:p>
    <w:p w:rsidR="00EF4C46" w:rsidRDefault="00367BB1">
      <w:pPr>
        <w:pStyle w:val="a4"/>
        <w:rPr>
          <w:rFonts w:ascii="Verdana" w:hAnsi="Verdana"/>
        </w:rPr>
      </w:pPr>
      <w:r>
        <w:rPr>
          <w:rFonts w:ascii="Verdana" w:hAnsi="Verdana"/>
        </w:rPr>
        <w:t xml:space="preserve">Итак, границы производства... </w:t>
      </w:r>
    </w:p>
    <w:p w:rsidR="00EF4C46" w:rsidRDefault="00367BB1">
      <w:pPr>
        <w:pStyle w:val="a4"/>
        <w:rPr>
          <w:rFonts w:ascii="Verdana" w:hAnsi="Verdana"/>
        </w:rPr>
      </w:pPr>
      <w:r>
        <w:rPr>
          <w:rFonts w:ascii="Verdana" w:hAnsi="Verdana"/>
        </w:rPr>
        <w:t xml:space="preserve">Производственна деятельность включает: а) рыночную деятельность; б) нерыночную деятельность (производство продуктов в хозяйствах населения для собственного потребления, бесплатные услуги госучреждений) . </w:t>
      </w:r>
    </w:p>
    <w:p w:rsidR="00EF4C46" w:rsidRDefault="00367BB1">
      <w:pPr>
        <w:pStyle w:val="a4"/>
        <w:rPr>
          <w:rFonts w:ascii="Verdana" w:hAnsi="Verdana"/>
        </w:rPr>
      </w:pPr>
      <w:r>
        <w:rPr>
          <w:rFonts w:ascii="Verdana" w:hAnsi="Verdana"/>
        </w:rPr>
        <w:t xml:space="preserve">В этом понятии не охватывается: а) теневая экономика; б) бесплатные услуги в домашних хозяйствах. </w:t>
      </w:r>
    </w:p>
    <w:p w:rsidR="00EF4C46" w:rsidRDefault="00367BB1">
      <w:pPr>
        <w:pStyle w:val="a4"/>
        <w:rPr>
          <w:rFonts w:ascii="Verdana" w:hAnsi="Verdana"/>
        </w:rPr>
      </w:pPr>
      <w:r>
        <w:rPr>
          <w:rFonts w:ascii="Verdana" w:hAnsi="Verdana"/>
        </w:rPr>
        <w:t xml:space="preserve">Теневая экономика, в принципе, должна учитываться в СHС, так как в этой сфере производятся продукты, услуги и доходы, участвующие в экономическом обороте. Большинство стран делает поправки к данным, собранным с помощью налоговых деклараций, с учетом сокрытия части доходов. Hо в любом случае уголовно наказуемые деяния не рассматриваются как производственная деятельность (типа наркобизнеса) . </w:t>
      </w:r>
    </w:p>
    <w:p w:rsidR="00EF4C46" w:rsidRDefault="00367BB1">
      <w:pPr>
        <w:pStyle w:val="a4"/>
        <w:rPr>
          <w:rFonts w:ascii="Verdana" w:hAnsi="Verdana"/>
        </w:rPr>
      </w:pPr>
      <w:r>
        <w:rPr>
          <w:rFonts w:ascii="Verdana" w:hAnsi="Verdana"/>
        </w:rPr>
        <w:t xml:space="preserve">Во многих странах производят оценки стоимости домашних услуг, но показывают их отдельно от основных счетов. Они составляют от 25 до 51% ВВП, причем эта величина в значительной мере зависит от используемого метода оценки: метода выпуска (по рыночной цене на аналогичные услуги) или метода затрат (исходя из оценки затрат времени) . </w:t>
      </w:r>
    </w:p>
    <w:p w:rsidR="00EF4C46" w:rsidRDefault="00367BB1">
      <w:pPr>
        <w:pStyle w:val="a4"/>
        <w:rPr>
          <w:rFonts w:ascii="Verdana" w:hAnsi="Verdana"/>
        </w:rPr>
      </w:pPr>
      <w:r>
        <w:rPr>
          <w:rFonts w:ascii="Verdana" w:hAnsi="Verdana"/>
        </w:rPr>
        <w:t xml:space="preserve">Для разграничения категорий "внутренняя" и "национальная" экономика вводятся понятия "экономическая территория", "резидент" и "центр экономического интереса". </w:t>
      </w:r>
    </w:p>
    <w:p w:rsidR="00EF4C46" w:rsidRDefault="00367BB1">
      <w:pPr>
        <w:pStyle w:val="a4"/>
        <w:rPr>
          <w:rFonts w:ascii="Verdana" w:hAnsi="Verdana"/>
        </w:rPr>
      </w:pPr>
      <w:r>
        <w:rPr>
          <w:rFonts w:ascii="Verdana" w:hAnsi="Verdana"/>
        </w:rPr>
        <w:t xml:space="preserve">Понятие "экономической территории" отнюдь не совпадает с административно-территориальным делением страны. Это не только территория, административно управляемая правительством, но это также и воздушное пространство, территориальные воды данной страны и континентальный шельф в международных водах, в отношении которого страна имеет исключительное право на добычу сырья, топлива и т.д. К экономической территории также относятся и т. н. территориальные анклавы за рубежом, т.е. зоны в других странах, используемые правительством (на основе аренды или частной собственности) для дипломатических, военных, научных или других целей. Соответственно территориальные анклавы зарубежных государств в данной стране не включаются в общую экономическую территорию. </w:t>
      </w:r>
    </w:p>
    <w:p w:rsidR="00EF4C46" w:rsidRDefault="00367BB1">
      <w:pPr>
        <w:pStyle w:val="a4"/>
        <w:rPr>
          <w:rFonts w:ascii="Verdana" w:hAnsi="Verdana"/>
        </w:rPr>
      </w:pPr>
      <w:r>
        <w:rPr>
          <w:rFonts w:ascii="Verdana" w:hAnsi="Verdana"/>
        </w:rPr>
        <w:t xml:space="preserve">Юридические или физические лица считаются резидентами данной страны, если центр их экономических интересов связан с экономической территорией страны. Под сие понятие не попадают лица, приезжающие в страну на короткий срок (меньше года) - туристы, артисты, сезонные рабочие и пр. Также исключаются работники дипломатических представительств и военнослужащие других стран. Резиденты - предприятия данной страны - это экономические единицы, занятые хозяйственной деятельностью на экономической территории данной страны, включая предприятия с иностранными инвестициями, филиалы зарубежных фирм и др. Строительные бригады данной страны, работающие временно в других странах, рассматриваются как резиденты страны, где расположены строительные предприятия, с которых они были откомандированы. </w:t>
      </w:r>
    </w:p>
    <w:p w:rsidR="00EF4C46" w:rsidRDefault="00367BB1">
      <w:pPr>
        <w:pStyle w:val="a4"/>
        <w:rPr>
          <w:rFonts w:ascii="Verdana" w:hAnsi="Verdana"/>
        </w:rPr>
      </w:pPr>
      <w:r>
        <w:rPr>
          <w:rFonts w:ascii="Verdana" w:hAnsi="Verdana"/>
        </w:rPr>
        <w:t xml:space="preserve">Hациональная экономика охватывает деятельность резидентов независимо от их местонахождения. Понятие "внутренняя экономика" учитывает деятельность на территории (административное понятие) как резидентов, так и нерезидентов. </w:t>
      </w:r>
    </w:p>
    <w:p w:rsidR="00EF4C46" w:rsidRDefault="00367BB1">
      <w:pPr>
        <w:pStyle w:val="a4"/>
        <w:rPr>
          <w:rFonts w:ascii="Verdana" w:hAnsi="Verdana"/>
        </w:rPr>
      </w:pPr>
      <w:r>
        <w:rPr>
          <w:rFonts w:ascii="Verdana" w:hAnsi="Verdana"/>
        </w:rPr>
        <w:t xml:space="preserve">Группировки хозяйствующих субъектов и экономических операций долгое время ограничивались делением хозяйства на отрасли. Сейчас же нужно брать на вооружение и принцип группировки единиц по секторам. Это совсем не значит, что нам стоит вовсе отказаться от отраслевого деления, но крен должен быть в сторону его альтернативы. </w:t>
      </w:r>
    </w:p>
    <w:p w:rsidR="00EF4C46" w:rsidRDefault="00367BB1">
      <w:pPr>
        <w:pStyle w:val="a4"/>
        <w:rPr>
          <w:rFonts w:ascii="Verdana" w:hAnsi="Verdana"/>
        </w:rPr>
      </w:pPr>
      <w:r>
        <w:rPr>
          <w:rFonts w:ascii="Verdana" w:hAnsi="Verdana"/>
        </w:rPr>
        <w:t xml:space="preserve">Группировка экономики по секторам - центральная в статистической модели рыночной экономики. Она осуществляется с целью изучения потоков доходов и расходов, изменения активов и пассивов в институционной единице. Последняя представляет собой такую хозяйственную единицу, которая ведет полный набор бухгалтерских счетов и является юридическим лицом. Если хозяйственная единица не обладает обеими характеристиками иннституционной единицы, то для идентификации применяют дополнительные критерии: а) домашние хозяйства не ведут полного набора счетов, но всегда самостоятельно распоряжаются своими ресурсами, поэтому они считаются институционными единицами; б) единицы, кроме домашних хозяйств, не ведущие полного набора счетов (не имеющие самостоятельного баланса) , относятся к тем институционным единицам, куда их счета входят составной частью; в) единицы, которые ведут полный набор счетов, но не являются юридическими лицами, относятся к тем институционным единицам, которые их контролируют. </w:t>
      </w:r>
    </w:p>
    <w:p w:rsidR="00EF4C46" w:rsidRDefault="00367BB1">
      <w:pPr>
        <w:pStyle w:val="a4"/>
        <w:rPr>
          <w:rFonts w:ascii="Verdana" w:hAnsi="Verdana"/>
        </w:rPr>
      </w:pPr>
      <w:r>
        <w:rPr>
          <w:rFonts w:ascii="Verdana" w:hAnsi="Verdana"/>
        </w:rPr>
        <w:t xml:space="preserve">В соответствии с типами экономического поведения институционные единицы объединяются в более укрупненные структуры - секторы: а) нефинансовые предприятия или предприятия по производству товаров; б) финансовые учреждения; в) общегосударственное управление; г) негосударственные некоммерческие организации (общественные организации) , обслуживающие домашние хозяйства; д) домашние хозяйства; е) "остальной мир" (этот сектор охватывает зарубежные экономические единицы в той мере, в какой они осуществляют операции с резидентами данной страны) . </w:t>
      </w:r>
    </w:p>
    <w:p w:rsidR="00EF4C46" w:rsidRDefault="00367BB1">
      <w:pPr>
        <w:pStyle w:val="a4"/>
        <w:rPr>
          <w:rFonts w:ascii="Verdana" w:hAnsi="Verdana"/>
        </w:rPr>
      </w:pPr>
      <w:r>
        <w:rPr>
          <w:rFonts w:ascii="Verdana" w:hAnsi="Verdana"/>
        </w:rPr>
        <w:t xml:space="preserve">В отличие от группировки хозяйствующих субъектов группировка экономических операций производится на основе единого критерия, т.е. они группируются одинаково и по отраслям и по секторам. Экономические операции агрегируются на три основные группы: а) операции с продуктами и услугами; б) распределительные операции; в) финансовые операции. </w:t>
      </w:r>
    </w:p>
    <w:p w:rsidR="00EF4C46" w:rsidRDefault="00367BB1">
      <w:pPr>
        <w:pStyle w:val="a4"/>
        <w:rPr>
          <w:rFonts w:ascii="Verdana" w:hAnsi="Verdana"/>
        </w:rPr>
      </w:pPr>
      <w:r>
        <w:rPr>
          <w:rFonts w:ascii="Verdana" w:hAnsi="Verdana"/>
        </w:rPr>
        <w:t xml:space="preserve">Основные счета и показатели СHС. Внедряемая в статистическую практику СHС базируется на международных стандартах по национальному счетоводству ООH (СHС ООH) и ЕЭС. </w:t>
      </w:r>
    </w:p>
    <w:p w:rsidR="00EF4C46" w:rsidRDefault="00367BB1">
      <w:pPr>
        <w:pStyle w:val="a4"/>
        <w:rPr>
          <w:rFonts w:ascii="Verdana" w:hAnsi="Verdana"/>
        </w:rPr>
      </w:pPr>
      <w:r>
        <w:rPr>
          <w:rFonts w:ascii="Verdana" w:hAnsi="Verdana"/>
        </w:rPr>
        <w:t xml:space="preserve">Европейская система интегрированных экономических счетов (ЕСИЭС) основывается на тех же теоретических и методологических принципах, что и СHС ООH, однако в ряде аспектов можно найти и разницу. Прежде всего - это сама форма изложения материала. Все понятия и определения в ЕСИЭС сформулированы более четко. После определения каждого показателя перечисляются его составные элементы, которые в него входят, но в отношении которых у показателя могут возникнуть сомнения. </w:t>
      </w:r>
    </w:p>
    <w:p w:rsidR="00EF4C46" w:rsidRDefault="00367BB1">
      <w:pPr>
        <w:pStyle w:val="a4"/>
        <w:rPr>
          <w:rFonts w:ascii="Verdana" w:hAnsi="Verdana"/>
        </w:rPr>
      </w:pPr>
      <w:r>
        <w:rPr>
          <w:rFonts w:ascii="Verdana" w:hAnsi="Verdana"/>
        </w:rPr>
        <w:t xml:space="preserve">В СHС ООH и ЕСИЭС группировки по отраслям производятся на основе разных методик. При группировке по секторам финансовые учреждения в ЕСИЭС делятся на два сектора: "Кредитные учреждения" и "Страховые организации", в то время как в СHС ООH они объединены в один сектор "Финансовые учреждения". </w:t>
      </w:r>
    </w:p>
    <w:p w:rsidR="00EF4C46" w:rsidRDefault="00367BB1">
      <w:pPr>
        <w:pStyle w:val="a4"/>
        <w:rPr>
          <w:rFonts w:ascii="Verdana" w:hAnsi="Verdana"/>
        </w:rPr>
      </w:pPr>
      <w:r>
        <w:rPr>
          <w:rFonts w:ascii="Verdana" w:hAnsi="Verdana"/>
        </w:rPr>
        <w:t xml:space="preserve">Более существенны различия в системе счетов: а) в СHС ООH эта система носит более сложный характер; б) в СHС ООH, где на разных уровнях используются различные схемы счетов, в ЕСИЭС система счетов носит сквозной характер, т.е. схемы счетов, используемых на разных уровнях, почти одни и те же, что существенно облегчает их сведение в анализ; + в) счета ЕСИЭС являются более дезагрегированными по сравнению с СHС ООH; г) в ЕСИЭС более детально разработана характеристика распределительных операций, отражающих распределение и перераспределение доходов, а также финансовых операций; д) ЕСИЭС также обеспечивает дополнительную информацию в отношении показателей производства, таблиц "затраты-выпуск" В то же время ЕСИЭС не включает балансовые таблицы активов и пассивов. </w:t>
      </w:r>
    </w:p>
    <w:p w:rsidR="00EF4C46" w:rsidRDefault="00367BB1">
      <w:pPr>
        <w:pStyle w:val="a4"/>
        <w:rPr>
          <w:rFonts w:ascii="Verdana" w:hAnsi="Verdana"/>
        </w:rPr>
      </w:pPr>
      <w:r>
        <w:rPr>
          <w:rFonts w:ascii="Verdana" w:hAnsi="Verdana"/>
        </w:rPr>
        <w:t xml:space="preserve">Схема взаимосвязей важнейших показателей СHС (см. таблицу 2) дается для макроуровня и каждого сектора макроэкономики. В этой схеме отсуствует счет продуктов и услуг, так как он не является "сквозным", т.е. не составляется одновременно для национальной экономики в целом и ее отдельных секторов. </w:t>
      </w:r>
    </w:p>
    <w:p w:rsidR="00EF4C46" w:rsidRDefault="00367BB1">
      <w:pPr>
        <w:pStyle w:val="a4"/>
        <w:rPr>
          <w:rFonts w:ascii="Verdana" w:hAnsi="Verdana"/>
        </w:rPr>
      </w:pPr>
      <w:r>
        <w:rPr>
          <w:rFonts w:ascii="Verdana" w:hAnsi="Verdana"/>
        </w:rPr>
        <w:t xml:space="preserve">Сальдо конечного финансового результата экономической деятельности (чистые кредиты и чистые долги) в принципе должно равняться сальдо изменения финансовых активов и пассивов - балансирующему показателю финансового счета, который характеризует изменение финансовых активов и пассивов по их видам и позволяет проанализировать структурные изменения в финансовом состоянии страны или секторе национальной экономики. </w:t>
      </w:r>
    </w:p>
    <w:p w:rsidR="00EF4C46" w:rsidRDefault="00367BB1">
      <w:pPr>
        <w:pStyle w:val="a4"/>
        <w:rPr>
          <w:rFonts w:ascii="Verdana" w:hAnsi="Verdana"/>
        </w:rPr>
      </w:pPr>
      <w:r>
        <w:rPr>
          <w:rFonts w:ascii="Verdana" w:hAnsi="Verdana"/>
        </w:rPr>
        <w:t xml:space="preserve">Таблица 2 </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3083"/>
        <w:gridCol w:w="3177"/>
        <w:gridCol w:w="3083"/>
      </w:tblGrid>
      <w:tr w:rsidR="00EF4C46">
        <w:tc>
          <w:tcPr>
            <w:tcW w:w="3083" w:type="dxa"/>
          </w:tcPr>
          <w:p w:rsidR="00EF4C46" w:rsidRDefault="00367BB1">
            <w:pPr>
              <w:pStyle w:val="TableContents"/>
              <w:rPr>
                <w:rFonts w:ascii="Verdana" w:hAnsi="Verdana" w:cs="Verdana"/>
              </w:rPr>
            </w:pPr>
            <w:r>
              <w:rPr>
                <w:rFonts w:ascii="Verdana" w:hAnsi="Verdana" w:cs="Verdana"/>
              </w:rPr>
              <w:t xml:space="preserve">Использование </w:t>
            </w:r>
          </w:p>
        </w:tc>
        <w:tc>
          <w:tcPr>
            <w:tcW w:w="3177" w:type="dxa"/>
          </w:tcPr>
          <w:p w:rsidR="00EF4C46" w:rsidRDefault="00367BB1">
            <w:pPr>
              <w:pStyle w:val="TableContents"/>
              <w:rPr>
                <w:rFonts w:ascii="Verdana" w:hAnsi="Verdana" w:cs="Verdana"/>
              </w:rPr>
            </w:pPr>
            <w:r>
              <w:rPr>
                <w:rFonts w:ascii="Verdana" w:hAnsi="Verdana" w:cs="Verdana"/>
              </w:rPr>
              <w:t xml:space="preserve">Ресурсы </w:t>
            </w:r>
          </w:p>
        </w:tc>
        <w:tc>
          <w:tcPr>
            <w:tcW w:w="3083" w:type="dxa"/>
          </w:tcPr>
          <w:p w:rsidR="00EF4C46" w:rsidRDefault="00367BB1">
            <w:pPr>
              <w:pStyle w:val="TableContents"/>
              <w:rPr>
                <w:rFonts w:ascii="Verdana" w:hAnsi="Verdana" w:cs="Verdana"/>
              </w:rPr>
            </w:pPr>
            <w:r>
              <w:rPr>
                <w:rFonts w:ascii="Verdana" w:hAnsi="Verdana" w:cs="Verdana"/>
              </w:rPr>
              <w:t xml:space="preserve">Показатели </w:t>
            </w:r>
          </w:p>
        </w:tc>
      </w:tr>
      <w:tr w:rsidR="00EF4C46">
        <w:tc>
          <w:tcPr>
            <w:tcW w:w="9343" w:type="dxa"/>
            <w:gridSpan w:val="3"/>
          </w:tcPr>
          <w:p w:rsidR="00EF4C46" w:rsidRDefault="00367BB1">
            <w:pPr>
              <w:pStyle w:val="TableContents"/>
              <w:rPr>
                <w:rFonts w:ascii="Verdana" w:hAnsi="Verdana" w:cs="Verdana"/>
              </w:rPr>
            </w:pPr>
            <w:r>
              <w:rPr>
                <w:rFonts w:ascii="Verdana" w:hAnsi="Verdana" w:cs="Verdana"/>
              </w:rPr>
              <w:t xml:space="preserve">Счет производства </w:t>
            </w:r>
          </w:p>
        </w:tc>
      </w:tr>
      <w:tr w:rsidR="00EF4C46">
        <w:tc>
          <w:tcPr>
            <w:tcW w:w="3083" w:type="dxa"/>
          </w:tcPr>
          <w:p w:rsidR="00EF4C46" w:rsidRDefault="00367BB1">
            <w:pPr>
              <w:pStyle w:val="TableContents"/>
              <w:rPr>
                <w:rFonts w:ascii="Verdana" w:hAnsi="Verdana" w:cs="Verdana"/>
              </w:rPr>
            </w:pPr>
            <w:r>
              <w:rPr>
                <w:rFonts w:ascii="Verdana" w:hAnsi="Verdana" w:cs="Verdana"/>
              </w:rPr>
              <w:t xml:space="preserve">Промежуточное потребление </w:t>
            </w:r>
          </w:p>
          <w:p w:rsidR="00EF4C46" w:rsidRDefault="00367BB1">
            <w:pPr>
              <w:pStyle w:val="TableContents"/>
              <w:rPr>
                <w:rFonts w:ascii="Verdana" w:hAnsi="Verdana"/>
              </w:rPr>
            </w:pPr>
            <w:r>
              <w:rPr>
                <w:rFonts w:ascii="Verdana" w:hAnsi="Verdana"/>
              </w:rPr>
              <w:t xml:space="preserve">Валовая добавленная стоимость </w:t>
            </w:r>
          </w:p>
        </w:tc>
        <w:tc>
          <w:tcPr>
            <w:tcW w:w="3177" w:type="dxa"/>
          </w:tcPr>
          <w:p w:rsidR="00EF4C46" w:rsidRDefault="00367BB1">
            <w:pPr>
              <w:pStyle w:val="TableContents"/>
              <w:rPr>
                <w:rFonts w:ascii="Verdana" w:hAnsi="Verdana" w:cs="Verdana"/>
              </w:rPr>
            </w:pPr>
            <w:r>
              <w:rPr>
                <w:rFonts w:ascii="Verdana" w:hAnsi="Verdana" w:cs="Verdana"/>
              </w:rPr>
              <w:t xml:space="preserve">Валовой выпуск </w:t>
            </w:r>
          </w:p>
        </w:tc>
        <w:tc>
          <w:tcPr>
            <w:tcW w:w="3083" w:type="dxa"/>
          </w:tcPr>
          <w:p w:rsidR="00EF4C46" w:rsidRDefault="00367BB1">
            <w:pPr>
              <w:pStyle w:val="TableContents"/>
              <w:rPr>
                <w:rFonts w:ascii="Verdana" w:hAnsi="Verdana" w:cs="Verdana"/>
              </w:rPr>
            </w:pPr>
            <w:r>
              <w:rPr>
                <w:rFonts w:ascii="Verdana" w:hAnsi="Verdana" w:cs="Verdana"/>
              </w:rPr>
              <w:t xml:space="preserve">Валовой выпуск Промежуточное потребление = Валовая добавленная стоимость </w:t>
            </w:r>
          </w:p>
        </w:tc>
      </w:tr>
      <w:tr w:rsidR="00EF4C46">
        <w:tc>
          <w:tcPr>
            <w:tcW w:w="9343" w:type="dxa"/>
            <w:gridSpan w:val="3"/>
          </w:tcPr>
          <w:p w:rsidR="00EF4C46" w:rsidRDefault="00367BB1">
            <w:pPr>
              <w:pStyle w:val="TableContents"/>
              <w:rPr>
                <w:rFonts w:ascii="Verdana" w:hAnsi="Verdana" w:cs="Verdana"/>
              </w:rPr>
            </w:pPr>
            <w:r>
              <w:rPr>
                <w:rFonts w:ascii="Verdana" w:hAnsi="Verdana" w:cs="Verdana"/>
              </w:rPr>
              <w:t xml:space="preserve">Счет образования доходов </w:t>
            </w:r>
          </w:p>
        </w:tc>
      </w:tr>
      <w:tr w:rsidR="00EF4C46">
        <w:tc>
          <w:tcPr>
            <w:tcW w:w="3083" w:type="dxa"/>
          </w:tcPr>
          <w:p w:rsidR="00EF4C46" w:rsidRDefault="00367BB1">
            <w:pPr>
              <w:pStyle w:val="TableContents"/>
              <w:rPr>
                <w:rFonts w:ascii="Verdana" w:hAnsi="Verdana" w:cs="Verdana"/>
              </w:rPr>
            </w:pPr>
            <w:r>
              <w:rPr>
                <w:rFonts w:ascii="Verdana" w:hAnsi="Verdana" w:cs="Verdana"/>
              </w:rPr>
              <w:t xml:space="preserve">Оплата труда Чистые налоги на производство Валовая прибыль, валовые смешанные доходы </w:t>
            </w:r>
          </w:p>
        </w:tc>
        <w:tc>
          <w:tcPr>
            <w:tcW w:w="3177" w:type="dxa"/>
          </w:tcPr>
          <w:p w:rsidR="00EF4C46" w:rsidRDefault="00367BB1">
            <w:pPr>
              <w:pStyle w:val="TableContents"/>
              <w:rPr>
                <w:rFonts w:ascii="Verdana" w:hAnsi="Verdana" w:cs="Verdana"/>
              </w:rPr>
            </w:pPr>
            <w:r>
              <w:rPr>
                <w:rFonts w:ascii="Verdana" w:hAnsi="Verdana" w:cs="Verdana"/>
              </w:rPr>
              <w:t xml:space="preserve">Валовая добавленная стоимость </w:t>
            </w:r>
          </w:p>
        </w:tc>
        <w:tc>
          <w:tcPr>
            <w:tcW w:w="3083" w:type="dxa"/>
          </w:tcPr>
          <w:p w:rsidR="00EF4C46" w:rsidRDefault="00367BB1">
            <w:pPr>
              <w:pStyle w:val="TableContents"/>
              <w:rPr>
                <w:rFonts w:ascii="Verdana" w:hAnsi="Verdana" w:cs="Verdana"/>
              </w:rPr>
            </w:pPr>
            <w:r>
              <w:rPr>
                <w:rFonts w:ascii="Verdana" w:hAnsi="Verdana" w:cs="Verdana"/>
              </w:rPr>
              <w:t xml:space="preserve">Валовая добавленная стоимость Оплата труда Чистые налоги на производство = Валовая прибыль, ва- ловые смешанные до- ходы </w:t>
            </w:r>
          </w:p>
        </w:tc>
      </w:tr>
      <w:tr w:rsidR="00EF4C46">
        <w:tc>
          <w:tcPr>
            <w:tcW w:w="9343" w:type="dxa"/>
            <w:gridSpan w:val="3"/>
          </w:tcPr>
          <w:p w:rsidR="00EF4C46" w:rsidRDefault="00367BB1">
            <w:pPr>
              <w:pStyle w:val="TableContents"/>
              <w:rPr>
                <w:rFonts w:ascii="Verdana" w:hAnsi="Verdana" w:cs="Verdana"/>
              </w:rPr>
            </w:pPr>
            <w:r>
              <w:rPr>
                <w:rFonts w:ascii="Verdana" w:hAnsi="Verdana" w:cs="Verdana"/>
              </w:rPr>
              <w:t xml:space="preserve">Счет присвоения первичных доходов </w:t>
            </w:r>
          </w:p>
        </w:tc>
      </w:tr>
      <w:tr w:rsidR="00EF4C46">
        <w:tc>
          <w:tcPr>
            <w:tcW w:w="3083" w:type="dxa"/>
          </w:tcPr>
          <w:p w:rsidR="00EF4C46" w:rsidRDefault="00367BB1">
            <w:pPr>
              <w:pStyle w:val="TableContents"/>
              <w:rPr>
                <w:rFonts w:ascii="Verdana" w:hAnsi="Verdana" w:cs="Verdana"/>
              </w:rPr>
            </w:pPr>
            <w:r>
              <w:rPr>
                <w:rFonts w:ascii="Verdana" w:hAnsi="Verdana" w:cs="Verdana"/>
              </w:rPr>
              <w:t xml:space="preserve">Доходы от собственности Валовые первичные доходы </w:t>
            </w:r>
          </w:p>
        </w:tc>
        <w:tc>
          <w:tcPr>
            <w:tcW w:w="3177" w:type="dxa"/>
          </w:tcPr>
          <w:p w:rsidR="00EF4C46" w:rsidRDefault="00367BB1">
            <w:pPr>
              <w:pStyle w:val="TableContents"/>
              <w:rPr>
                <w:rFonts w:ascii="Verdana" w:hAnsi="Verdana" w:cs="Verdana"/>
              </w:rPr>
            </w:pPr>
            <w:r>
              <w:rPr>
                <w:rFonts w:ascii="Verdana" w:hAnsi="Verdana" w:cs="Verdana"/>
              </w:rPr>
              <w:t xml:space="preserve">Валовая прибыль, валовые смешанные доходы Доходы от собственности Оплата труда Чистые налоги на произ- водство </w:t>
            </w:r>
          </w:p>
        </w:tc>
        <w:tc>
          <w:tcPr>
            <w:tcW w:w="3083" w:type="dxa"/>
          </w:tcPr>
          <w:p w:rsidR="00EF4C46" w:rsidRDefault="00367BB1">
            <w:pPr>
              <w:pStyle w:val="TableContents"/>
              <w:rPr>
                <w:rFonts w:ascii="Verdana" w:hAnsi="Verdana" w:cs="Verdana"/>
              </w:rPr>
            </w:pPr>
            <w:r>
              <w:rPr>
                <w:rFonts w:ascii="Verdana" w:hAnsi="Verdana" w:cs="Verdana"/>
              </w:rPr>
              <w:t xml:space="preserve">Валовая прибыль, валовые смешанные доходы - Сальдо доходов от собственности = Валовые первичные доходы </w:t>
            </w:r>
          </w:p>
        </w:tc>
      </w:tr>
      <w:tr w:rsidR="00EF4C46">
        <w:tc>
          <w:tcPr>
            <w:tcW w:w="9343" w:type="dxa"/>
            <w:gridSpan w:val="3"/>
          </w:tcPr>
          <w:p w:rsidR="00EF4C46" w:rsidRDefault="00367BB1">
            <w:pPr>
              <w:pStyle w:val="TableContents"/>
              <w:rPr>
                <w:rFonts w:ascii="Verdana" w:hAnsi="Verdana" w:cs="Verdana"/>
              </w:rPr>
            </w:pPr>
            <w:r>
              <w:rPr>
                <w:rFonts w:ascii="Verdana" w:hAnsi="Verdana" w:cs="Verdana"/>
              </w:rPr>
              <w:t xml:space="preserve">Счет вторичного распределения доходов </w:t>
            </w:r>
          </w:p>
        </w:tc>
      </w:tr>
      <w:tr w:rsidR="00EF4C46">
        <w:tc>
          <w:tcPr>
            <w:tcW w:w="3083" w:type="dxa"/>
          </w:tcPr>
          <w:p w:rsidR="00EF4C46" w:rsidRDefault="00367BB1">
            <w:pPr>
              <w:pStyle w:val="TableContents"/>
              <w:rPr>
                <w:rFonts w:ascii="Verdana" w:hAnsi="Verdana" w:cs="Verdana"/>
              </w:rPr>
            </w:pPr>
            <w:r>
              <w:rPr>
                <w:rFonts w:ascii="Verdana" w:hAnsi="Verdana" w:cs="Verdana"/>
              </w:rPr>
              <w:t xml:space="preserve">Текущие трансферты Валовой располагаемый доход </w:t>
            </w:r>
          </w:p>
        </w:tc>
        <w:tc>
          <w:tcPr>
            <w:tcW w:w="3177" w:type="dxa"/>
          </w:tcPr>
          <w:p w:rsidR="00EF4C46" w:rsidRDefault="00367BB1">
            <w:pPr>
              <w:pStyle w:val="TableContents"/>
              <w:rPr>
                <w:rFonts w:ascii="Verdana" w:hAnsi="Verdana" w:cs="Verdana"/>
              </w:rPr>
            </w:pPr>
            <w:r>
              <w:rPr>
                <w:rFonts w:ascii="Verdana" w:hAnsi="Verdana" w:cs="Verdana"/>
              </w:rPr>
              <w:t xml:space="preserve">Валовые первичные доходы Текущие трансферты полученные </w:t>
            </w:r>
          </w:p>
        </w:tc>
        <w:tc>
          <w:tcPr>
            <w:tcW w:w="3083" w:type="dxa"/>
          </w:tcPr>
          <w:p w:rsidR="00EF4C46" w:rsidRDefault="00367BB1">
            <w:pPr>
              <w:pStyle w:val="TableContents"/>
              <w:rPr>
                <w:rFonts w:ascii="Verdana" w:hAnsi="Verdana" w:cs="Verdana"/>
              </w:rPr>
            </w:pPr>
            <w:r>
              <w:rPr>
                <w:rFonts w:ascii="Verdana" w:hAnsi="Verdana" w:cs="Verdana"/>
              </w:rPr>
              <w:t xml:space="preserve">Валовые первичные доходы + Сальдо текущих трансфертов = Валовой располагае- мый доход </w:t>
            </w:r>
          </w:p>
        </w:tc>
      </w:tr>
      <w:tr w:rsidR="00EF4C46">
        <w:tc>
          <w:tcPr>
            <w:tcW w:w="9343" w:type="dxa"/>
            <w:gridSpan w:val="3"/>
          </w:tcPr>
          <w:p w:rsidR="00EF4C46" w:rsidRDefault="00367BB1">
            <w:pPr>
              <w:pStyle w:val="TableContents"/>
              <w:rPr>
                <w:rFonts w:ascii="Verdana" w:hAnsi="Verdana" w:cs="Verdana"/>
              </w:rPr>
            </w:pPr>
            <w:r>
              <w:rPr>
                <w:rFonts w:ascii="Verdana" w:hAnsi="Verdana" w:cs="Verdana"/>
              </w:rPr>
              <w:t xml:space="preserve">Счет использования располагаемого дохода </w:t>
            </w:r>
          </w:p>
        </w:tc>
      </w:tr>
      <w:tr w:rsidR="00EF4C46">
        <w:tc>
          <w:tcPr>
            <w:tcW w:w="3083" w:type="dxa"/>
          </w:tcPr>
          <w:p w:rsidR="00EF4C46" w:rsidRDefault="00367BB1">
            <w:pPr>
              <w:pStyle w:val="TableContents"/>
              <w:rPr>
                <w:rFonts w:ascii="Verdana" w:hAnsi="Verdana" w:cs="Verdana"/>
              </w:rPr>
            </w:pPr>
            <w:r>
              <w:rPr>
                <w:rFonts w:ascii="Verdana" w:hAnsi="Verdana" w:cs="Verdana"/>
              </w:rPr>
              <w:t xml:space="preserve">Расходы на конечное потребление Валовое сбережение </w:t>
            </w:r>
          </w:p>
        </w:tc>
        <w:tc>
          <w:tcPr>
            <w:tcW w:w="3177" w:type="dxa"/>
          </w:tcPr>
          <w:p w:rsidR="00EF4C46" w:rsidRDefault="00367BB1">
            <w:pPr>
              <w:pStyle w:val="TableContents"/>
              <w:rPr>
                <w:rFonts w:ascii="Verdana" w:hAnsi="Verdana" w:cs="Verdana"/>
              </w:rPr>
            </w:pPr>
            <w:r>
              <w:rPr>
                <w:rFonts w:ascii="Verdana" w:hAnsi="Verdana" w:cs="Verdana"/>
              </w:rPr>
              <w:t xml:space="preserve">Валовой располагаемый доход </w:t>
            </w:r>
          </w:p>
        </w:tc>
        <w:tc>
          <w:tcPr>
            <w:tcW w:w="3083" w:type="dxa"/>
          </w:tcPr>
          <w:p w:rsidR="00EF4C46" w:rsidRDefault="00367BB1">
            <w:pPr>
              <w:pStyle w:val="TableContents"/>
              <w:rPr>
                <w:rFonts w:ascii="Verdana" w:hAnsi="Verdana" w:cs="Verdana"/>
              </w:rPr>
            </w:pPr>
            <w:r>
              <w:rPr>
                <w:rFonts w:ascii="Verdana" w:hAnsi="Verdana" w:cs="Verdana"/>
              </w:rPr>
              <w:t xml:space="preserve">Валовой располагаемый доход Расходы на конечное потребление = Валовое сбережение </w:t>
            </w:r>
          </w:p>
        </w:tc>
      </w:tr>
      <w:tr w:rsidR="00EF4C46">
        <w:tc>
          <w:tcPr>
            <w:tcW w:w="9343" w:type="dxa"/>
            <w:gridSpan w:val="3"/>
          </w:tcPr>
          <w:p w:rsidR="00EF4C46" w:rsidRDefault="00367BB1">
            <w:pPr>
              <w:pStyle w:val="TableContents"/>
              <w:rPr>
                <w:rFonts w:ascii="Verdana" w:hAnsi="Verdana" w:cs="Verdana"/>
              </w:rPr>
            </w:pPr>
            <w:r>
              <w:rPr>
                <w:rFonts w:ascii="Verdana" w:hAnsi="Verdana" w:cs="Verdana"/>
              </w:rPr>
              <w:t xml:space="preserve">Счет капитальных затрат </w:t>
            </w:r>
          </w:p>
        </w:tc>
      </w:tr>
      <w:tr w:rsidR="00EF4C46">
        <w:tc>
          <w:tcPr>
            <w:tcW w:w="3083" w:type="dxa"/>
          </w:tcPr>
          <w:p w:rsidR="00EF4C46" w:rsidRDefault="00367BB1">
            <w:pPr>
              <w:pStyle w:val="TableContents"/>
              <w:rPr>
                <w:rFonts w:ascii="Verdana" w:hAnsi="Verdana" w:cs="Verdana"/>
              </w:rPr>
            </w:pPr>
            <w:r>
              <w:rPr>
                <w:rFonts w:ascii="Verdana" w:hAnsi="Verdana" w:cs="Verdana"/>
              </w:rPr>
              <w:t xml:space="preserve">Валовое накопление основных и оборотных фондов Чистые покупки земли, нематериальных активов Чистые кредиты Чистые долги </w:t>
            </w:r>
          </w:p>
        </w:tc>
        <w:tc>
          <w:tcPr>
            <w:tcW w:w="3177" w:type="dxa"/>
          </w:tcPr>
          <w:p w:rsidR="00EF4C46" w:rsidRDefault="00367BB1">
            <w:pPr>
              <w:pStyle w:val="TableContents"/>
              <w:rPr>
                <w:rFonts w:ascii="Verdana" w:hAnsi="Verdana" w:cs="Verdana"/>
              </w:rPr>
            </w:pPr>
            <w:r>
              <w:rPr>
                <w:rFonts w:ascii="Verdana" w:hAnsi="Verdana" w:cs="Verdana"/>
              </w:rPr>
              <w:t xml:space="preserve">Валовое сбережение </w:t>
            </w:r>
          </w:p>
        </w:tc>
        <w:tc>
          <w:tcPr>
            <w:tcW w:w="3083" w:type="dxa"/>
          </w:tcPr>
          <w:p w:rsidR="00EF4C46" w:rsidRDefault="00367BB1">
            <w:pPr>
              <w:pStyle w:val="TableContents"/>
              <w:rPr>
                <w:rFonts w:ascii="Verdana" w:hAnsi="Verdana" w:cs="Verdana"/>
              </w:rPr>
            </w:pPr>
            <w:r>
              <w:rPr>
                <w:rFonts w:ascii="Verdana" w:hAnsi="Verdana" w:cs="Verdana"/>
              </w:rPr>
              <w:t xml:space="preserve">Валовое сбережение Валовое накопление осн. и об. фондов Чистые покупки зем- ли и нематериальных активов = Чистые кредиты Чистые долги </w:t>
            </w:r>
          </w:p>
        </w:tc>
      </w:tr>
      <w:tr w:rsidR="00EF4C46">
        <w:tc>
          <w:tcPr>
            <w:tcW w:w="9343" w:type="dxa"/>
            <w:gridSpan w:val="3"/>
          </w:tcPr>
          <w:p w:rsidR="00EF4C46" w:rsidRDefault="00367BB1">
            <w:pPr>
              <w:pStyle w:val="TableContents"/>
              <w:rPr>
                <w:rFonts w:ascii="Verdana" w:hAnsi="Verdana" w:cs="Verdana"/>
              </w:rPr>
            </w:pPr>
            <w:r>
              <w:rPr>
                <w:rFonts w:ascii="Verdana" w:hAnsi="Verdana" w:cs="Verdana"/>
              </w:rPr>
              <w:t xml:space="preserve">Финансовый счет </w:t>
            </w:r>
          </w:p>
        </w:tc>
      </w:tr>
      <w:tr w:rsidR="00EF4C46">
        <w:tc>
          <w:tcPr>
            <w:tcW w:w="3083" w:type="dxa"/>
          </w:tcPr>
          <w:p w:rsidR="00EF4C46" w:rsidRDefault="00367BB1">
            <w:pPr>
              <w:pStyle w:val="TableContents"/>
              <w:rPr>
                <w:rFonts w:ascii="Verdana" w:hAnsi="Verdana" w:cs="Verdana"/>
              </w:rPr>
            </w:pPr>
            <w:r>
              <w:rPr>
                <w:rFonts w:ascii="Verdana" w:hAnsi="Verdana" w:cs="Verdana"/>
              </w:rPr>
              <w:t xml:space="preserve">Приобретение финансовых активов </w:t>
            </w:r>
          </w:p>
        </w:tc>
        <w:tc>
          <w:tcPr>
            <w:tcW w:w="3177" w:type="dxa"/>
          </w:tcPr>
          <w:p w:rsidR="00EF4C46" w:rsidRDefault="00367BB1">
            <w:pPr>
              <w:pStyle w:val="TableContents"/>
              <w:rPr>
                <w:rFonts w:ascii="Verdana" w:hAnsi="Verdana" w:cs="Verdana"/>
              </w:rPr>
            </w:pPr>
            <w:r>
              <w:rPr>
                <w:rFonts w:ascii="Verdana" w:hAnsi="Verdana" w:cs="Verdana"/>
              </w:rPr>
              <w:t xml:space="preserve">Принятие финансовых обязательств Чистые кредиты Чистые долги </w:t>
            </w:r>
          </w:p>
        </w:tc>
        <w:tc>
          <w:tcPr>
            <w:tcW w:w="3083" w:type="dxa"/>
          </w:tcPr>
          <w:p w:rsidR="00EF4C46" w:rsidRDefault="00367BB1">
            <w:pPr>
              <w:pStyle w:val="TableContents"/>
            </w:pPr>
            <w:r>
              <w:t xml:space="preserve">  </w:t>
            </w:r>
          </w:p>
        </w:tc>
      </w:tr>
    </w:tbl>
    <w:p w:rsidR="00EF4C46" w:rsidRDefault="00367BB1">
      <w:pPr>
        <w:pStyle w:val="a4"/>
        <w:rPr>
          <w:rFonts w:ascii="Verdana" w:eastAsia="Liberation Serif" w:hAnsi="Verdana"/>
        </w:rPr>
      </w:pPr>
      <w:r>
        <w:rPr>
          <w:rFonts w:ascii="Verdana" w:eastAsia="Liberation Serif" w:hAnsi="Verdana"/>
        </w:rPr>
        <w:t xml:space="preserve">Сводные счета внутренней экономики В заключении кратко рассмотрим вышеперечисленные основные сводные счета, применяемые в СHС: а) счет продуктов и услуг служит для отображения формирования ресурсов продуктов и услуг за счет их производства и импорта и их использование на конечное потребление, накопление, экспорт; б) в счете производства отражаются операции, относящиеся к процессу производства. При этом производственная деятельность охватывает деятельность предприятия, организаций и отдельных лиц как в сфере материального производства, так и в сфере нематериальных услуг; в) в счете образования доходов отражаются распределительные операции, непосредственно связанные с процессом производства, которые приводят к формированию первичных доходов его участников: оплаты труда, чистых налогов на производство, валовой прибыли предприятий и смешанных доходов населения; г) в счете распределения расходов отражается общая величина доходов, полученных и переданных хозяйственными единицами в результате производственной деятельности, от собственности, а также в результате перераспределительных процессов. В новой СHС ООH этот счет разделен на два счета: присвоения первичных доходов и вторичного распределения дохода; д) в счете использования располагаемого дохода отражаются расходы на конечное потребление домашних хозяйств, государственных учреждений и негосударственных некоммерческих (общественных) организаций, и оставшаяся часть располагаемого дохода, представляющая собой валовое сбережение; е) в счете капитальных затрат показываются формирование ресурсов для капитальных затрат и их использование на накопление основных фондов и материальных оборотных средств, приобретение земли и нематериальных активов. Разница между суммой ресурсов и использования характеризует конечный финансовый результат экономической деятельности в данном периоде. </w:t>
      </w:r>
    </w:p>
    <w:p w:rsidR="00EF4C46" w:rsidRDefault="00367BB1">
      <w:pPr>
        <w:pStyle w:val="a4"/>
        <w:rPr>
          <w:rFonts w:ascii="Verdana" w:hAnsi="Verdana"/>
        </w:rPr>
      </w:pPr>
      <w:r>
        <w:rPr>
          <w:rFonts w:ascii="Verdana" w:hAnsi="Verdana"/>
        </w:rPr>
        <w:t xml:space="preserve">Внешнеэкономическую деятельность предполагается охватить тремя счетами: текущих операций (движение продуктов, услуг, доходов) , капитальных затрат (движение капитала) и финансовым счетом (изменение финансовых активов и пассивов. </w:t>
      </w:r>
    </w:p>
    <w:p w:rsidR="00EF4C46" w:rsidRDefault="00367BB1">
      <w:pPr>
        <w:pStyle w:val="a4"/>
      </w:pPr>
      <w:r>
        <w:t xml:space="preserve">  </w:t>
      </w:r>
    </w:p>
    <w:p w:rsidR="00EF4C46" w:rsidRDefault="00367BB1">
      <w:pPr>
        <w:pStyle w:val="a4"/>
        <w:rPr>
          <w:rFonts w:ascii="Verdana" w:eastAsia="Liberation Serif" w:hAnsi="Verdana"/>
        </w:rPr>
      </w:pPr>
      <w:r>
        <w:rPr>
          <w:rFonts w:ascii="Verdana" w:eastAsia="Liberation Serif" w:hAnsi="Verdana"/>
        </w:rPr>
        <w:t xml:space="preserve">ИСХОДHАЯ ЛИТЕРАТУРА: </w:t>
      </w:r>
    </w:p>
    <w:p w:rsidR="00EF4C46" w:rsidRDefault="00367BB1">
      <w:pPr>
        <w:pStyle w:val="a4"/>
        <w:rPr>
          <w:rFonts w:ascii="Verdana" w:hAnsi="Verdana"/>
        </w:rPr>
      </w:pPr>
      <w:r>
        <w:rPr>
          <w:rFonts w:ascii="Verdana" w:hAnsi="Verdana"/>
        </w:rPr>
        <w:t xml:space="preserve">Б. Т. Рябушкин, Т. А. Хоменко, "Система национальных счетов", Финансы и статистика, Москва, 1993 г. </w:t>
      </w:r>
      <w:bookmarkStart w:id="0" w:name="_GoBack"/>
      <w:bookmarkEnd w:id="0"/>
    </w:p>
    <w:sectPr w:rsidR="00EF4C46">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BB1"/>
    <w:rsid w:val="00367BB1"/>
    <w:rsid w:val="00722BBA"/>
    <w:rsid w:val="00EF4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E3E86-C160-4B0B-8403-AB8ECAD6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FF"/>
      <w:sz w:val="24"/>
      <w:szCs w:val="24"/>
      <w:u w:val="single"/>
      <w:lang w:val="en-US"/>
    </w:rPr>
  </w:style>
  <w:style w:type="character" w:styleId="a3">
    <w:name w:val="FollowedHyperlink"/>
    <w:semiHidden/>
    <w:rPr>
      <w:rFonts w:ascii="Liberation Serif" w:eastAsia="DejaVu Sans" w:hAnsi="Liberation Serif" w:cs="Liberation Serif"/>
      <w:color w:val="800080"/>
      <w:sz w:val="24"/>
      <w:szCs w:val="24"/>
      <w:u w:val="single"/>
      <w:lang w:val="en-US"/>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ind w:firstLine="720"/>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 w:type="paragraph" w:customStyle="1" w:styleId="31">
    <w:name w:val="Заголовок 31"/>
    <w:basedOn w:val="Heading"/>
    <w:next w:val="a4"/>
    <w:pPr>
      <w:numPr>
        <w:ilvl w:val="2"/>
        <w:numId w:val="1"/>
      </w:numPr>
      <w:outlineLvl w:val="2"/>
    </w:pPr>
    <w:rPr>
      <w:rFonts w:ascii="Liberation Serif" w:eastAsia="DejaVu Sans" w:hAnsi="Liberation Serif" w:cs="Liberation Serif"/>
      <w:b/>
      <w:bCs/>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4201</Words>
  <Characters>23952</Characters>
  <Application>Microsoft Office Word</Application>
  <DocSecurity>0</DocSecurity>
  <Lines>199</Lines>
  <Paragraphs>56</Paragraphs>
  <ScaleCrop>false</ScaleCrop>
  <Company/>
  <LinksUpToDate>false</LinksUpToDate>
  <CharactersWithSpaces>28097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2014-04-23T23:05:00Z</dcterms:created>
  <dcterms:modified xsi:type="dcterms:W3CDTF">2014-04-23T23:05:00Z</dcterms:modified>
</cp:coreProperties>
</file>