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B1" w:rsidRPr="00F93987" w:rsidRDefault="00152003" w:rsidP="00195B8C">
      <w:pPr>
        <w:widowControl w:val="0"/>
        <w:autoSpaceDE w:val="0"/>
        <w:autoSpaceDN w:val="0"/>
        <w:adjustRightInd w:val="0"/>
        <w:spacing w:line="360" w:lineRule="auto"/>
        <w:ind w:firstLine="709"/>
        <w:jc w:val="center"/>
        <w:rPr>
          <w:b/>
          <w:bCs/>
          <w:sz w:val="28"/>
          <w:szCs w:val="28"/>
        </w:rPr>
      </w:pPr>
      <w:r w:rsidRPr="00F93987">
        <w:rPr>
          <w:b/>
          <w:bCs/>
          <w:color w:val="000000"/>
          <w:sz w:val="28"/>
          <w:szCs w:val="28"/>
        </w:rPr>
        <w:t>Экономическое развитие Иракской республики после свержения режима Саддама Хусейна</w:t>
      </w:r>
    </w:p>
    <w:p w:rsidR="00F134B1" w:rsidRPr="00F93987" w:rsidRDefault="00F134B1" w:rsidP="00195B8C">
      <w:pPr>
        <w:widowControl w:val="0"/>
        <w:autoSpaceDE w:val="0"/>
        <w:autoSpaceDN w:val="0"/>
        <w:adjustRightInd w:val="0"/>
        <w:spacing w:line="360" w:lineRule="auto"/>
        <w:ind w:firstLine="709"/>
        <w:jc w:val="both"/>
        <w:rPr>
          <w:color w:val="000000"/>
          <w:sz w:val="28"/>
          <w:szCs w:val="28"/>
        </w:rPr>
      </w:pP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Иракская экономика с 80-х годов испытывала на себе значительное влияние различных факторов. На экономическое развитие страны оказали воздействие восьмилетняя ирано-иракская война 1980–1988 гг., иракско-кувейтский кризис 1990–1991 гг., а также последние военные действия американо-британской коалиции. Постоянная милитаризация страны требовала масштабных расходов. К тому же для иракской экономики было характерно чрезмерное вмешательство государства в хозяйственную жизнь, а введение экономических санкций ООН привело к экономической и политической изоляции страны. Из-за этого ВВП на душу населения упал с 3600 долл. в начале 80-х годов до 596 долл. в </w:t>
      </w:r>
      <w:smartTag w:uri="urn:schemas-microsoft-com:office:smarttags" w:element="metricconverter">
        <w:smartTagPr>
          <w:attr w:name="ProductID" w:val="2002 г"/>
        </w:smartTagPr>
        <w:r w:rsidRPr="00F93987">
          <w:rPr>
            <w:color w:val="000000"/>
            <w:sz w:val="28"/>
            <w:szCs w:val="28"/>
          </w:rPr>
          <w:t>2002 г</w:t>
        </w:r>
      </w:smartTag>
      <w:r w:rsidRPr="00F93987">
        <w:rPr>
          <w:color w:val="000000"/>
          <w:sz w:val="28"/>
          <w:szCs w:val="28"/>
        </w:rPr>
        <w:t xml:space="preserve">. Только с 2001 по </w:t>
      </w:r>
      <w:smartTag w:uri="urn:schemas-microsoft-com:office:smarttags" w:element="metricconverter">
        <w:smartTagPr>
          <w:attr w:name="ProductID" w:val="2002 г"/>
        </w:smartTagPr>
        <w:r w:rsidRPr="00F93987">
          <w:rPr>
            <w:color w:val="000000"/>
            <w:sz w:val="28"/>
            <w:szCs w:val="28"/>
          </w:rPr>
          <w:t>2002 г</w:t>
        </w:r>
      </w:smartTag>
      <w:r w:rsidRPr="00F93987">
        <w:rPr>
          <w:color w:val="000000"/>
          <w:sz w:val="28"/>
          <w:szCs w:val="28"/>
        </w:rPr>
        <w:t xml:space="preserve">. ВВП Ирака снизился с 19,1 млрд. долл. до 15,2 млрд. Уровень безработицы достиг, по официальным данным, 17,5% (1997), инфляция составила в </w:t>
      </w:r>
      <w:smartTag w:uri="urn:schemas-microsoft-com:office:smarttags" w:element="metricconverter">
        <w:smartTagPr>
          <w:attr w:name="ProductID" w:val="2001 г"/>
        </w:smartTagPr>
        <w:r w:rsidRPr="00F93987">
          <w:rPr>
            <w:color w:val="000000"/>
            <w:sz w:val="28"/>
            <w:szCs w:val="28"/>
          </w:rPr>
          <w:t>2001 г</w:t>
        </w:r>
      </w:smartTag>
      <w:r w:rsidRPr="00F93987">
        <w:rPr>
          <w:color w:val="000000"/>
          <w:sz w:val="28"/>
          <w:szCs w:val="28"/>
        </w:rPr>
        <w:t xml:space="preserve">. 29%. Дефицит государственного бюджета к началу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достиг 8 млрд. долл. или 55% ВВП Ирака. По оценке экспертов ООН и вашингтонского Центра стратегических исследований, внешний долг страны вырос до 127 млрд. долл., что составило почти 900% от его ВВП или 1000% от экспортных доходов, которые значительно снизились после введения экономических санкций ООН. Часть доходов от экспорта присваивалась правящим режимом, который в нарушение международных санкций занимался контрабандой нефти через соседние страны и свои морские порты. По некоторым данным, иракские власти ежегодно получали от этих операций 2–2,5 млрд. долл.</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Фактическое отсутствие реальной информации о состоянии отраслей экономики Ирака, кроме нефтяной, не позволяет представить полную картину. Из-за вмешательства государства в экономику и малоэффективного управления ее рентабельность и конкурентоспособность были низкими, это усугублялось и уменьшением выделяемых госпредприятиям бюджетных средств. Только за последние пять лет крах потерпели примерно 600 государственных компаний. Частный сектор не играл большой роли и был представлен мелкими фермерскими хозяйствами и семейными торговыми предприятиями. Засуха 1999–2000 гг. еще больше ухудшила положение в сельском хозяйстве, а импорт продовольствия в рамках программы ООН «Нефть в обмен на продовольствие» (резолюция СБ ООН № 986) привел к</w:t>
      </w:r>
      <w:r w:rsidRPr="00F93987">
        <w:rPr>
          <w:sz w:val="28"/>
          <w:szCs w:val="28"/>
        </w:rPr>
        <w:t xml:space="preserve"> </w:t>
      </w:r>
      <w:r w:rsidRPr="00F93987">
        <w:rPr>
          <w:color w:val="000000"/>
          <w:sz w:val="28"/>
          <w:szCs w:val="28"/>
        </w:rPr>
        <w:t>снижению цен на местную сельхозпродукцию и сделал ее производство невыгодным.</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Основу иракской экономики составляет нефтяная промышленность. Нефть является фактически единственным источником доходов страны. На нее приходилось ѕ ВВП в </w:t>
      </w:r>
      <w:smartTag w:uri="urn:schemas-microsoft-com:office:smarttags" w:element="metricconverter">
        <w:smartTagPr>
          <w:attr w:name="ProductID" w:val="2002 г"/>
        </w:smartTagPr>
        <w:r w:rsidRPr="00F93987">
          <w:rPr>
            <w:color w:val="000000"/>
            <w:sz w:val="28"/>
            <w:szCs w:val="28"/>
          </w:rPr>
          <w:t>2002 г</w:t>
        </w:r>
      </w:smartTag>
      <w:r w:rsidRPr="00F93987">
        <w:rPr>
          <w:color w:val="000000"/>
          <w:sz w:val="28"/>
          <w:szCs w:val="28"/>
        </w:rPr>
        <w:t xml:space="preserve">. По доказанным запасам нефти (примерно 112 млрд. баррелей) Ирак стоит на втором месте в мире после Саудовской Аравии. Кроме того, по некоторым оценкам, в стране имеется еще 220 млрд. баррелей возможных запасов нефти. Иракская нефть, добываемая на доступных для разработки нефтяных полях, характеризуется низкой себестоимостью добычи (от 1 до 1,5 долл. за баррель) и высоким качеством. В </w:t>
      </w:r>
      <w:smartTag w:uri="urn:schemas-microsoft-com:office:smarttags" w:element="metricconverter">
        <w:smartTagPr>
          <w:attr w:name="ProductID" w:val="2002 г"/>
        </w:smartTagPr>
        <w:r w:rsidRPr="00F93987">
          <w:rPr>
            <w:color w:val="000000"/>
            <w:sz w:val="28"/>
            <w:szCs w:val="28"/>
          </w:rPr>
          <w:t>2002 г</w:t>
        </w:r>
      </w:smartTag>
      <w:r w:rsidRPr="00F93987">
        <w:rPr>
          <w:color w:val="000000"/>
          <w:sz w:val="28"/>
          <w:szCs w:val="28"/>
        </w:rPr>
        <w:t xml:space="preserve">. добыча нефти в Ираке снизилась до 2 млн. баррелей в сутки (в </w:t>
      </w:r>
      <w:smartTag w:uri="urn:schemas-microsoft-com:office:smarttags" w:element="metricconverter">
        <w:smartTagPr>
          <w:attr w:name="ProductID" w:val="2000 г"/>
        </w:smartTagPr>
        <w:r w:rsidRPr="00F93987">
          <w:rPr>
            <w:color w:val="000000"/>
            <w:sz w:val="28"/>
            <w:szCs w:val="28"/>
          </w:rPr>
          <w:t>2000 г</w:t>
        </w:r>
      </w:smartTag>
      <w:r w:rsidRPr="00F93987">
        <w:rPr>
          <w:color w:val="000000"/>
          <w:sz w:val="28"/>
          <w:szCs w:val="28"/>
        </w:rPr>
        <w:t>. она составляла 2,5 млн.). Ежедневно внутри страны потреблялось около 0,5 млн. баррелей. По оценке Международного энергетического агентства, на Ирак до войны приходилось около 3% мирового нефтяного рынка. Развитие других отраслей экономики находилось под влиянием многих факторов, связанных с международными санкциями, государственным вмешательством и падением инвестиций.</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По мнению экспертов МВФ, у Ирака до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существовало несколько бюджетов: инвестиционные и текущие расходы, расходы в рамках программы «Нефть в обмен на продовольствие» и отдельный бюджет трех северных провинций. Дефицит официального бюджета Ирака покрывался в основном за счет выпуска казначейских векселей, покупаемых крупными государственными банками. Доходы страны в </w:t>
      </w:r>
      <w:smartTag w:uri="urn:schemas-microsoft-com:office:smarttags" w:element="metricconverter">
        <w:smartTagPr>
          <w:attr w:name="ProductID" w:val="2002 г"/>
        </w:smartTagPr>
        <w:r w:rsidRPr="00F93987">
          <w:rPr>
            <w:color w:val="000000"/>
            <w:sz w:val="28"/>
            <w:szCs w:val="28"/>
          </w:rPr>
          <w:t>2002 г</w:t>
        </w:r>
      </w:smartTag>
      <w:r w:rsidRPr="00F93987">
        <w:rPr>
          <w:color w:val="000000"/>
          <w:sz w:val="28"/>
          <w:szCs w:val="28"/>
        </w:rPr>
        <w:t>. (кроме нефтяных) составляли 725 млн. долл., из них 169 млн. приходилось на прибыль госпредприятий, 171 млн. – доходы от услуг, 260 млн. составляли налоговые поступления.</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Денежно-кредитная политика страны была тесно связана в последние годы с налоговыми интересами. Безналичная система расчетов отличалась неэффективностью и практически отсутствовала, все финансовые сделки осуществлялись в основном наличными. Выпуск местной валюты фактически не контролировался Центральным банком, поэтому отсутствуют данные о количестве денежной массы в обращении в довоенный период. В обращении были два вида банкнот – иракский динар, выпускаемый ЦБ Ирака с </w:t>
      </w:r>
      <w:smartTag w:uri="urn:schemas-microsoft-com:office:smarttags" w:element="metricconverter">
        <w:smartTagPr>
          <w:attr w:name="ProductID" w:val="1990 г"/>
        </w:smartTagPr>
        <w:r w:rsidRPr="00F93987">
          <w:rPr>
            <w:color w:val="000000"/>
            <w:sz w:val="28"/>
            <w:szCs w:val="28"/>
          </w:rPr>
          <w:t>1990 г</w:t>
        </w:r>
      </w:smartTag>
      <w:r w:rsidRPr="00F93987">
        <w:rPr>
          <w:color w:val="000000"/>
          <w:sz w:val="28"/>
          <w:szCs w:val="28"/>
        </w:rPr>
        <w:t>., и «швейцарский динар», выпущенный в 1979–89 гг. и находившийся в обращении в северных курдских провинциях.</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После окончания военной операции временные коалиционные власти и новая гражданская администрация Ирака сконцентрировали свои усилия на восстановлении экономики страны. Из-за военных действий добыча нефти сократилась на 40%, производство электроэнергии – на 30%, более 50% госпредприятий было закрыто, часть из них разрушена. По мнению некоторых экспертов, восстановительный период продлится, как минимум, пять лет. Переориентацию командно-административной экономики Ирака на рыночную будет трудно осуществить, если не удастся обеспечить эффективность ее управления и достичь политической стабильности внутри страны.</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Основные усилия по восстановлению и развитию экономики страны в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были направлены на возобновление хозяйственной деятельности, либерализацию цен, укрепление денежного обращения и ликвидности, восстановление добычи и экспорта нефти, а также деятельности ЦБ и финансовой системы, исполнения бюджета и пр. Примерно 1/3 госпредприятий снова стала функционировать и получать небольшие дотации из бюджета. Но основная часть средств на эти цели должна поступить с иракских счетов, ранее «замороженных» в США и других странах (они составляют примерно 1,7 млрд. долл.). В конце августа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США разработали программу «Iraqi jump-start program», в которой предусмотрено восстановление нефтедобычи, распределение ключевых контрактов в телекоммуникационной сфере и предоставление займов мелкому бизнесу для укрепления роли частного сектора. В октябре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был принят закон, разрешающий 100%-ное иностранное участие в иракских предприятиях во всех отраслях, кроме нефтяной. В нем предусмотрено, что иракцы должны составлять не менее 80% от числа работающих на этих предприятиях.</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После окончания военных действий основная часть госслужащих приступила к работе, была также осуществлена реорганизация основных министерств. Чиновники и сотрудники силовых ведомств второго и более низких уровней были востребованы новой властью благодаря их знаниям и опыту. Временная администрация Ирака рассчитывает с их помощью создать эффективную систему управления страной. С мая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начались регулярные выплаты заработной платы в министерствах и ведомствах и на государственных предприятиях. По имеющимся официальным данным, в Ираке насчитывается 1 млн. госслужащих, 496 тыс. работников госпредприятий и 996 тыс. пенсионеров.</w:t>
      </w:r>
      <w:r w:rsidRPr="00F93987">
        <w:rPr>
          <w:sz w:val="28"/>
          <w:szCs w:val="28"/>
        </w:rPr>
        <w:t xml:space="preserve"> </w:t>
      </w:r>
      <w:r w:rsidRPr="00F93987">
        <w:rPr>
          <w:color w:val="000000"/>
          <w:sz w:val="28"/>
          <w:szCs w:val="28"/>
        </w:rPr>
        <w:t>Расходы на первоначальные разовые выплаты составили примерно 40 млн. долл.</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С июня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Центральный банк приступил к выпуску новых банкнот достоинством в 250 динар, а с июля этого же года было разрешено обменивать населению старые банкноты на доллары США, но не более чем по 2 тыс. долл. на человека. Программа по выпуску новой иракской валюты фактически завершилась в январе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xml:space="preserve">. Планируется также пустить в свободное обращение в Ираке доллары США, евро, сирийские фунты и кувейтские динары. В октябре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обменный курс иракского динара составил примерно 2100 за 1 долл. США. Международные валютные резервы ЦБ Ирака в июле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составляли около 500 млн. долл. В настоящее время готовится новый закон, регулирующий деятельность ЦБ. Однако восстановление денежно-кредитной системы и обменного курса сдерживается отсутствием соответствующих финансовых инструментов, нормальной банковской инфраструктуры, частично разрушенной во время военной операции, незначительными размерами международных валютных резервов Ирака.</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Ранее около 90% всех банковских активов страны было сосредоточено в двух крупных государственных банках – «Рафидейн» и «Аль-Рашид». В основном они были размещены в казначейские векселя или кредиты, выданные госпредприятиям. В настоящее время эксперты МВФ оценивают общие активы банковской системы Ирака в 2 млрд. долл. Ряд иностранных банков предложил свое участие в реструктуризации банковской системы страны. Предполагается в ближайшем будущем разрешить иностранным банкам инвестировать средства в иракскую экономику и участвовать в банковском капитале. Эксперты МВФ предложили шести иностранным банкам в течение ближайших пяти лет участвовать в капитале иракских банков, включая «Рафидейн» и «Аль-Рашид», вплоть до выкупа ими 100% акций. Остальные иностранные банки будут иметь возможность выкупать до 50% акций местных банков. В дальнейшем планируется постепенно приватизировать банковский сектор, ввести минимальный размер банковского капитала в 25 млн. долл., внедрить новые банковские технологии и др.</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Приоритетное внимание Временная коалиционная администрация и новые иракские власти будут уделять развитию нефтяной промышленности. Добыча нефти была восстановлена уже в июле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так как ущерб от боевых</w:t>
      </w:r>
      <w:r w:rsidRPr="00F93987">
        <w:rPr>
          <w:sz w:val="28"/>
          <w:szCs w:val="28"/>
        </w:rPr>
        <w:t xml:space="preserve"> </w:t>
      </w:r>
      <w:r w:rsidRPr="00F93987">
        <w:rPr>
          <w:color w:val="000000"/>
          <w:sz w:val="28"/>
          <w:szCs w:val="28"/>
        </w:rPr>
        <w:t xml:space="preserve">действий для нефтяных промыслов удалось свести в минимуму. Она составила в конце августа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1,3 млн. баррелей в сутки, а в декабре должна была достигнуть 2,0 млн. По прогнозам Временной коалиционной администрации, экспорт иракской нефти в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должен был составить 325 млн. баррелей (в </w:t>
      </w:r>
      <w:smartTag w:uri="urn:schemas-microsoft-com:office:smarttags" w:element="metricconverter">
        <w:smartTagPr>
          <w:attr w:name="ProductID" w:val="2002 г"/>
        </w:smartTagPr>
        <w:r w:rsidRPr="00F93987">
          <w:rPr>
            <w:color w:val="000000"/>
            <w:sz w:val="28"/>
            <w:szCs w:val="28"/>
          </w:rPr>
          <w:t>2002 г</w:t>
        </w:r>
      </w:smartTag>
      <w:r w:rsidRPr="00F93987">
        <w:rPr>
          <w:color w:val="000000"/>
          <w:sz w:val="28"/>
          <w:szCs w:val="28"/>
        </w:rPr>
        <w:t xml:space="preserve">. эта цифра была 500 млн. баррелей), а доходы от экспорта – 9,3 млрд. долл. Эти нефтедоллары предполагалось направить на финансирование восстановительных работ в иракской экономике. Резолюция СБ ООН № 1483 от 22 мая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предусматривала создание фонда развития Ирака для сбора доходов от нефти и завершения оставшихся контрактов в рамках программы ООН «Нефть в обмен на продовольствие». Этот фонд находится под контролем Временной коалиционной администрации, МВФ, Всемирного банка и ООН.</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В конце июня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на рассмотрение Временной коалиционной администрации был представлен проект бюджета на вторую половину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Его доходы состоят из поступлений от экспорта нефти в размере 2,5 млрд. долл., 0,3 млрд. – отчисления от прибыли госпредприятий и 2,7 млрд. – субсидии США. Расходная часть состоит из текущих расходов, включая импорт товаров в рамках программы «Нефть в обмен на продовольствие» (9,3 млрд. долл.) и расходы на выплату зарплаты госслужащим и инвестиции – 4,5 млрд. долл. Предполагаемый бюджетный дефицит в 2,3 млрд. долл. будет погашаться за счет контрактов в рамках программы «Нефть в обмен на продовольствие» (0,8 млрд. долл.) и финансовых средств Ирака, находящихся за границей. По инициативе Временной администрации в июле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был создан Торговый банк Ирака для финансирования импортных операций иракских компаний и предприятий и осуществления связи между ними и иностранными поставщиками товаров и услуг. Этот банк должен работать вместе с консорциумом иностранных банков и отвечать за эмиссию торговых аккредитивов.</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На конференции стран-доноров в Мадриде, состоявшейся 23–24 октября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в Мадриде, эксперты МВФ предложили амбициозную программу восстановления и развития иракской экономики на 2003–2004 гг. Она направлена на создание рыночной экономики, либерализацию цен, приватизацию и доступ иностранных инвестиций. Однако реализация этой программы сдерживается отсутствием стабильности в стране в целом, адекватной институциональной основы, нормального энерго- и водоснабжения, притока внешних финансовых ресурсов, так необходимых для восстановления экономики Ирака.</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В начале сентября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Временная коалиционная администрация и министерство финансов Ирака подготовили бюджет страны на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xml:space="preserve">., в который были внесены некоторые изменения после его рассмотрения Управляющим советом и предложений стран-доноров на конференции в Мадриде. Впервые за много лет в этот документ были включены три северные провинции Ирака. Доходы от нефти планируются в размере 12 млрд. долл. с учетом восстановления нефтедобычи на уровне 2,7 млн. баррелей в сутки к концу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xml:space="preserve">. Налоговые поступления должны составить только 0,8 млрд. долл., так как Временная коалиционная администрация считает, что введение низких налоговых ставок будет стимулировать экономический рост, предусмотренный предложенной МВФ программой макроэкономического развития страны на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в пределах 7–12% в год.</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Расходная часть бюджета на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планируется в размере 21,322 млрд. долл., из них 8,75 млрд. пойдет на приобретение товаров и услуг, которое на 70% будет финансироваться за счет существующих контрактов в рамках программы «Нефть в обмен на продовольствие». На инвестиционные расходы придется лишь 1,4 млрд. долл., так как ожидается, что основная часть проектов по восстановлению иракской экономики будет финансироваться за счет стран-доноров.</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Дефицит госбюджета на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предусматривается в размере 8,5 млрд. долл. или 55% ВВП, он будет покрываться за счет контрактов программы «Нефть в обмен на продовольствие» (7,8 млрд. долл.) и части иракских активов, «замороженных» за границей (0,7 млрд. долл.).</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По оценке экспертов Всемирного банка, ООН, иракских временных властей и администрации США для восстановления экономики Ирака хотя бы до уровня </w:t>
      </w:r>
      <w:smartTag w:uri="urn:schemas-microsoft-com:office:smarttags" w:element="metricconverter">
        <w:smartTagPr>
          <w:attr w:name="ProductID" w:val="2003 г"/>
        </w:smartTagPr>
        <w:r w:rsidRPr="00F93987">
          <w:rPr>
            <w:color w:val="000000"/>
            <w:sz w:val="28"/>
            <w:szCs w:val="28"/>
          </w:rPr>
          <w:t>2003 г</w:t>
        </w:r>
      </w:smartTag>
      <w:r w:rsidRPr="00F93987">
        <w:rPr>
          <w:color w:val="000000"/>
          <w:sz w:val="28"/>
          <w:szCs w:val="28"/>
        </w:rPr>
        <w:t xml:space="preserve">. потребуется 9 млрд. долл. в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и 26 млрд. долл. в 2005–2007 гг. Реализация этих планов во многом зависит от стабилизации внутренней обстановки в Ираке, способности нынешних институтов власти планировать и реализовывать эти проекты, а также от состояния инфраструктуры и электроснабжения. Пока Всемирный банк проанализировал и рассмотрел лишь 19 проектов на сумму в 5,2 млрд. долл.</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В рамках погашения и обслуживания иракской задолженности в бюджете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xml:space="preserve">. предусмотрена лишь выплата процентов по казначейским обязательствам (1,5 млрд. долл.) и военных репараций в рамках резолюции № 1483 СБ ООН (0,6 млрд. долл.). По соглашению с Парижским клубом погашение остальных долговых платежей приостановлено до конца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xml:space="preserve">. Переговоры о реструктуризации иракских долгов продолжаются, этот процесс, как ожидается, будет сложным, длительным и спорным и, возможно, не будет завершен к концу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как этого хочет Парижский клуб. Предполагается, что около 60% задолженности будет списано, так как долг только тормозит рост иракской экономики. Кредиторами Ирака являются 15 стран, к крупнейшим из них относятся Саудовская Аравия – 25 млрд. долл., Россия – 9 млрд. долл., Германия – 4,3 млрд., Франция – 1,8 млрд. На эти страны со стороны США и Великобритании, осуществляющих в настоящее время контроль в Ираке, но не являющихся его кредиторами, будет оказано давление с требованием списания долгов, Россия, Германия и Франция отказались войти в число доноров по восстановлению Ирака. К нему будут допущены в основном американские и английские компании, поэтому страны-кредиторы надеются найти компромисс с США и Великобританией и пойти по пути реструктуризации, а не списания задолженности.</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Бюджет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xml:space="preserve">. отражает пока еще ведущую роль государства в экономике Ирака. Так, на социальные нужды планируется направить 4,9 млрд. долл., а госпредприятиям – 1 млрд. долл. На субсидирование нефтяной промышленности должно пойти 33% планируемого на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ВВП. По оценкам МВФ и ВБ, от поставок товаров по программе «Нефть в обмен на продовольствие» пока продолжает зависеть до 60% населения страны</w:t>
      </w:r>
      <w:r w:rsidRPr="00F93987">
        <w:rPr>
          <w:color w:val="000000"/>
          <w:sz w:val="28"/>
          <w:szCs w:val="28"/>
          <w:vertAlign w:val="superscript"/>
        </w:rPr>
        <w:t>12</w:t>
      </w:r>
      <w:r w:rsidRPr="00F93987">
        <w:rPr>
          <w:color w:val="000000"/>
          <w:sz w:val="28"/>
          <w:szCs w:val="28"/>
        </w:rPr>
        <w:t>. Сложившаяся система обеспечения товарами первой необходимости сдерживает развитие частной инициативы, но резкая ее перестройка может привести к ухудшению положения в социальной сфере. Поэтому Управляющий совет Ирака и Временная коалиционная администрация предусматривают поэтапный переход от программы «Нефть в обмен на продовольствие» к системе оплаты товаров и услуг за наличный расчет. Первый этап перестройки распределительной системы начнется с ее постепенной приватизации.</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Программа денежной политики Ирака из-за отсутствия данных о наличной денежной массе в обращении, нестабильного спроса на валюту,</w:t>
      </w:r>
      <w:r w:rsidRPr="00F93987">
        <w:rPr>
          <w:sz w:val="28"/>
          <w:szCs w:val="28"/>
        </w:rPr>
        <w:t xml:space="preserve"> </w:t>
      </w:r>
      <w:r w:rsidRPr="00F93987">
        <w:rPr>
          <w:color w:val="000000"/>
          <w:sz w:val="28"/>
          <w:szCs w:val="28"/>
        </w:rPr>
        <w:t>нехватки инструментов ее осуществления требует постоянного пересмотра и доработки с тем, чтобы избежать нежелательных отклонений от намеченного уровня инфляции. Пока речь идет о введении гибкого курса иракской валюты в условиях сильной зависимости иракской экономики от нефтяной отрасли, временного отсутствия адекватной налоговой системы и небольших валютных резервов. Поэтому ЦБ Ирака должен аккумулировать валютные резервы и осуществлять продажу иностранной валюты на торгах, чтобы направить часть нефтяных доходов на развитие частного сектора, тем самым поощряя нормальное денежное обращение. Для поддержания денежно-валютной стабильности и усиления резервного фонда ЦБ Ирака будет переведено 1,2 млрд. долл. из иракских активов, «замороженных» за границей.</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Временная коалиционная администрация и переходные иракские власти уже приступили к разработке экономической стратегии развития страны до </w:t>
      </w:r>
      <w:smartTag w:uri="urn:schemas-microsoft-com:office:smarttags" w:element="metricconverter">
        <w:smartTagPr>
          <w:attr w:name="ProductID" w:val="2005 г"/>
        </w:smartTagPr>
        <w:r w:rsidRPr="00F93987">
          <w:rPr>
            <w:color w:val="000000"/>
            <w:sz w:val="28"/>
            <w:szCs w:val="28"/>
          </w:rPr>
          <w:t>2005 г</w:t>
        </w:r>
      </w:smartTag>
      <w:r w:rsidRPr="00F93987">
        <w:rPr>
          <w:color w:val="000000"/>
          <w:sz w:val="28"/>
          <w:szCs w:val="28"/>
        </w:rPr>
        <w:t>. Она заключается в восстановлении экономического роста на базе рыночной политики, включая либерализацию цен, приток иностранных инвестиций, регулирование банковской системы, снижение дотаций госпредприятиям и налогов. В закон об иностранных инвестициях планируется внести статьи об усилении роли частного сектора и особенно иностранных инвесторов для оздоровления хозяйственной деятельности. Однако Управляющий совет Ирака, являющийся не вполне легитимным органом власти, вряд ли сможет в полной мере осуществлять контроль за проведением в жизнь новых законов, в том числе в экономической сфере, а реализация рыночных реформ будет сдерживаться рядом факторов. Во-первых, стратегия экономического развития страны в основном базируется на нефтяных доходах и притоке иностранной помощи, объемы которой могут оказаться гораздо меньше планируемых, в том числе из-за политической нестабильности и регулярных терактов. Во-вторых, нестабильность может привести к падению экономической активности и сдерживать участие стран-доноров в восстановлении страны, не говоря уже о частных инвесторах. В-третьих, непоследовательное осуществление реформ и недостаточно сильная государственная власть могут привести к макроэкономической нестабильности и социальным беспорядкам и затормозить долговременный экономический подъем. В-четвертых, отсутствие адекватной институциональной системы, поддерживающей функционирование рыночной экономики и банковской системы, сведет на нет проведение реформ.</w:t>
      </w:r>
      <w:r w:rsidRPr="00F93987">
        <w:rPr>
          <w:sz w:val="28"/>
          <w:szCs w:val="28"/>
        </w:rPr>
        <w:t xml:space="preserve"> </w:t>
      </w:r>
      <w:r w:rsidRPr="00F93987">
        <w:rPr>
          <w:color w:val="000000"/>
          <w:sz w:val="28"/>
          <w:szCs w:val="28"/>
        </w:rPr>
        <w:t>В-пятых, отсутствие достоверных данных по Ираку осложняет составление и осуществление среднесрочной экономической стратегии.</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В связи с этим эксперты МВФ предлагают обратить внимание на введение новой системы налогообложения, в том числе повышения ряда налогов, включая налог на импорт от 5 до 10%, учитывая масштабы восстановительных работ. Они также считают необходимым исключить в будущем систему дотаций госпредприятий. Но с учетом трудностей восстановления и развития инфраструктуры и высокого уровня безработицы (до 70% по некоторым данным) этот процесс, по мнению МВФ, займет определенный период времени, и в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большинство госпредприятий вряд ли будет закрыто. Одним из предложений фонда является также поэтапное снижение субсидирования внутренних цен на нефтепродукты, чтобы избежать социальной напряженности.</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На конференции стран-доноров в Мадриде было обещано собрать на восстановление иракской экономики 32 млрд. долл., из них 22 млрд. – это безвозмездная помощь. По оценке некоторых экспертов, всего Ираку потребуется до конца </w:t>
      </w:r>
      <w:smartTag w:uri="urn:schemas-microsoft-com:office:smarttags" w:element="metricconverter">
        <w:smartTagPr>
          <w:attr w:name="ProductID" w:val="2007 г"/>
        </w:smartTagPr>
        <w:r w:rsidRPr="00F93987">
          <w:rPr>
            <w:color w:val="000000"/>
            <w:sz w:val="28"/>
            <w:szCs w:val="28"/>
          </w:rPr>
          <w:t>2007 г</w:t>
        </w:r>
      </w:smartTag>
      <w:r w:rsidRPr="00F93987">
        <w:rPr>
          <w:color w:val="000000"/>
          <w:sz w:val="28"/>
          <w:szCs w:val="28"/>
        </w:rPr>
        <w:t>. 56 млрд. долл. США обещали выделить 18,6 млрд. долл., Япония – 1,5 млрд. Всемирный банк, отвечающий за программу реконструкции Ирака, заявил о создании траст-фонда, в котором будут аккумулироваться деньги стран-доноров. В рамках этой программы уже рассмотрено 700 проектов на общую сумму 7 млрд. долл. На конференции также был создан новый, независимый от Временной коалиционной администрации фонд восстановления Ирака с общей суммой контрактов на 13 млрд. долл.</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Отмена санкций ООН открыла путь к возвращению в Ирак иностранных компаний. Большинство контрактов, подписанных иностранными компаниями с иракским правительством в 90-е годы (на сумму в 57 млрд. долл.), в основном в области энергетики, может быть аннулировано, в том числе контракты с российскими фирмами. Поэтому страны-кредиторы Ирака в определенной степени заинтересованы договориться о размене иракской задолженности на участие своих компаний в восстановлении иракской экономики или же на возобновление подписанных ранее контрактов.</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В настоящее время администрация США работает над созданием механизма финансирования восстановительных работ в Ираке. Схема,</w:t>
      </w:r>
      <w:r w:rsidRPr="00F93987">
        <w:rPr>
          <w:sz w:val="28"/>
          <w:szCs w:val="28"/>
        </w:rPr>
        <w:t xml:space="preserve"> </w:t>
      </w:r>
      <w:r w:rsidRPr="00F93987">
        <w:rPr>
          <w:color w:val="000000"/>
          <w:sz w:val="28"/>
          <w:szCs w:val="28"/>
        </w:rPr>
        <w:t>предложенная Вашингтоном, напоминает использованную в 90-е годы в России, когда у нее был ограниченный доступ на мировой рынок капиталов. В качестве обеспечения полученных иностранных кредитов выступали доходы от продажи нефти и газа, находившиеся на валютных счетах.</w:t>
      </w:r>
    </w:p>
    <w:p w:rsidR="00F134B1" w:rsidRPr="00F93987" w:rsidRDefault="00F134B1" w:rsidP="00195B8C">
      <w:pPr>
        <w:widowControl w:val="0"/>
        <w:autoSpaceDE w:val="0"/>
        <w:autoSpaceDN w:val="0"/>
        <w:adjustRightInd w:val="0"/>
        <w:spacing w:line="360" w:lineRule="auto"/>
        <w:ind w:firstLine="709"/>
        <w:jc w:val="both"/>
        <w:rPr>
          <w:sz w:val="28"/>
          <w:szCs w:val="28"/>
        </w:rPr>
      </w:pPr>
      <w:r w:rsidRPr="00F93987">
        <w:rPr>
          <w:color w:val="000000"/>
          <w:sz w:val="28"/>
          <w:szCs w:val="28"/>
        </w:rPr>
        <w:t xml:space="preserve">В начале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Бюро по управлению программами Ирака объявило о приеме предложений по 17 контрактам на сумму 5 млрд. долл. по восстановлению иракской экономики. Наиболее крупных контрактов в Ираке добились пока американские компании Bechtel и Halliburton (ее возглавлял в 1995–2000 гг. нынешний вице-президент США Р.Чейни), а также KBR, дочерняя структура последней, их общая стоимость уже превысила 7 млрд. долл. Эти контракты напрямую связаны с восстановлением нефтеперегонных заводов и энергетической системы Ирака.</w:t>
      </w:r>
    </w:p>
    <w:p w:rsidR="00F134B1" w:rsidRDefault="00F134B1" w:rsidP="00195B8C">
      <w:pPr>
        <w:widowControl w:val="0"/>
        <w:autoSpaceDE w:val="0"/>
        <w:autoSpaceDN w:val="0"/>
        <w:adjustRightInd w:val="0"/>
        <w:spacing w:line="360" w:lineRule="auto"/>
        <w:ind w:firstLine="709"/>
        <w:jc w:val="both"/>
        <w:rPr>
          <w:color w:val="000000"/>
          <w:sz w:val="28"/>
          <w:szCs w:val="28"/>
        </w:rPr>
      </w:pPr>
      <w:r w:rsidRPr="00F93987">
        <w:rPr>
          <w:color w:val="000000"/>
          <w:sz w:val="28"/>
          <w:szCs w:val="28"/>
        </w:rPr>
        <w:t xml:space="preserve">На состоявшейся в Абу-Даби в конце февраля встрече стран – доноров Ирака было принято решение о внесении 1 млрд. долл. в два траст-фонда для их последующего инвестирования в экономику Ирака в </w:t>
      </w:r>
      <w:smartTag w:uri="urn:schemas-microsoft-com:office:smarttags" w:element="metricconverter">
        <w:smartTagPr>
          <w:attr w:name="ProductID" w:val="2004 г"/>
        </w:smartTagPr>
        <w:r w:rsidRPr="00F93987">
          <w:rPr>
            <w:color w:val="000000"/>
            <w:sz w:val="28"/>
            <w:szCs w:val="28"/>
          </w:rPr>
          <w:t>2004 г</w:t>
        </w:r>
      </w:smartTag>
      <w:r w:rsidRPr="00F93987">
        <w:rPr>
          <w:color w:val="000000"/>
          <w:sz w:val="28"/>
          <w:szCs w:val="28"/>
        </w:rPr>
        <w:t>. Однако временные иракские власти жалуются, что из общей суммы в 32 млрд. долл., обещанной на конференции в Мадриде, пока ни один доллар не был инвестирован в иракскую экономику. Это сильно тормозит осуществление программы реконструкции и восстановления страны, усиливает и без того сложную политическую и социальную обстановку в Ираке.</w:t>
      </w:r>
    </w:p>
    <w:p w:rsidR="00DB4FEB" w:rsidRPr="00C82126" w:rsidRDefault="00DB4FEB" w:rsidP="00195B8C">
      <w:pPr>
        <w:widowControl w:val="0"/>
        <w:autoSpaceDE w:val="0"/>
        <w:autoSpaceDN w:val="0"/>
        <w:adjustRightInd w:val="0"/>
        <w:spacing w:line="360" w:lineRule="auto"/>
        <w:ind w:firstLine="709"/>
        <w:jc w:val="both"/>
        <w:rPr>
          <w:color w:val="FFFFFF"/>
          <w:sz w:val="28"/>
          <w:szCs w:val="28"/>
        </w:rPr>
      </w:pPr>
      <w:r w:rsidRPr="00C82126">
        <w:rPr>
          <w:color w:val="FFFFFF"/>
          <w:sz w:val="28"/>
          <w:szCs w:val="28"/>
        </w:rPr>
        <w:t>ирак хусейн национальный нефтяной</w:t>
      </w:r>
    </w:p>
    <w:p w:rsidR="00F134B1" w:rsidRPr="00F93987" w:rsidRDefault="00042D8A" w:rsidP="00195B8C">
      <w:pPr>
        <w:widowControl w:val="0"/>
        <w:spacing w:line="360" w:lineRule="auto"/>
        <w:ind w:firstLine="709"/>
        <w:jc w:val="center"/>
        <w:rPr>
          <w:b/>
          <w:bCs/>
          <w:color w:val="000000"/>
          <w:sz w:val="28"/>
          <w:szCs w:val="28"/>
          <w:lang w:val="en-US"/>
        </w:rPr>
      </w:pPr>
      <w:r w:rsidRPr="00F93987">
        <w:rPr>
          <w:color w:val="000000"/>
          <w:sz w:val="28"/>
          <w:szCs w:val="28"/>
        </w:rPr>
        <w:br w:type="page"/>
      </w:r>
      <w:r w:rsidRPr="00F93987">
        <w:rPr>
          <w:b/>
          <w:bCs/>
          <w:color w:val="000000"/>
          <w:sz w:val="28"/>
          <w:szCs w:val="28"/>
        </w:rPr>
        <w:t>Список</w:t>
      </w:r>
      <w:r w:rsidRPr="00F93987">
        <w:rPr>
          <w:b/>
          <w:bCs/>
          <w:color w:val="000000"/>
          <w:sz w:val="28"/>
          <w:szCs w:val="28"/>
          <w:lang w:val="en-US"/>
        </w:rPr>
        <w:t xml:space="preserve"> </w:t>
      </w:r>
      <w:r w:rsidRPr="00F93987">
        <w:rPr>
          <w:b/>
          <w:bCs/>
          <w:color w:val="000000"/>
          <w:sz w:val="28"/>
          <w:szCs w:val="28"/>
        </w:rPr>
        <w:t>источников</w:t>
      </w:r>
      <w:r w:rsidRPr="00F93987">
        <w:rPr>
          <w:b/>
          <w:bCs/>
          <w:color w:val="000000"/>
          <w:sz w:val="28"/>
          <w:szCs w:val="28"/>
          <w:lang w:val="en-US"/>
        </w:rPr>
        <w:t xml:space="preserve"> </w:t>
      </w:r>
      <w:r w:rsidRPr="00F93987">
        <w:rPr>
          <w:b/>
          <w:bCs/>
          <w:color w:val="000000"/>
          <w:sz w:val="28"/>
          <w:szCs w:val="28"/>
        </w:rPr>
        <w:t>и</w:t>
      </w:r>
      <w:r w:rsidRPr="00F93987">
        <w:rPr>
          <w:b/>
          <w:bCs/>
          <w:color w:val="000000"/>
          <w:sz w:val="28"/>
          <w:szCs w:val="28"/>
          <w:lang w:val="en-US"/>
        </w:rPr>
        <w:t xml:space="preserve"> </w:t>
      </w:r>
      <w:r w:rsidRPr="00F93987">
        <w:rPr>
          <w:b/>
          <w:bCs/>
          <w:color w:val="000000"/>
          <w:sz w:val="28"/>
          <w:szCs w:val="28"/>
        </w:rPr>
        <w:t>литературы</w:t>
      </w:r>
    </w:p>
    <w:p w:rsidR="00042D8A" w:rsidRPr="00F93987" w:rsidRDefault="00042D8A" w:rsidP="00195B8C">
      <w:pPr>
        <w:widowControl w:val="0"/>
        <w:autoSpaceDE w:val="0"/>
        <w:autoSpaceDN w:val="0"/>
        <w:adjustRightInd w:val="0"/>
        <w:spacing w:line="360" w:lineRule="auto"/>
        <w:ind w:firstLine="709"/>
        <w:jc w:val="both"/>
        <w:rPr>
          <w:b/>
          <w:bCs/>
          <w:color w:val="000000"/>
          <w:sz w:val="28"/>
          <w:szCs w:val="28"/>
        </w:rPr>
      </w:pPr>
    </w:p>
    <w:p w:rsidR="00152003" w:rsidRPr="00F93987" w:rsidRDefault="00152003" w:rsidP="00DB4FEB">
      <w:pPr>
        <w:pStyle w:val="a7"/>
        <w:widowControl w:val="0"/>
        <w:numPr>
          <w:ilvl w:val="0"/>
          <w:numId w:val="1"/>
        </w:numPr>
        <w:autoSpaceDE w:val="0"/>
        <w:autoSpaceDN w:val="0"/>
        <w:adjustRightInd w:val="0"/>
        <w:spacing w:line="360" w:lineRule="auto"/>
        <w:ind w:left="0" w:firstLine="0"/>
        <w:jc w:val="both"/>
        <w:rPr>
          <w:color w:val="000000"/>
          <w:sz w:val="28"/>
          <w:szCs w:val="28"/>
        </w:rPr>
      </w:pPr>
      <w:r w:rsidRPr="00F93987">
        <w:rPr>
          <w:color w:val="000000"/>
          <w:sz w:val="28"/>
          <w:szCs w:val="28"/>
        </w:rPr>
        <w:t>История Востока. – М., 2009</w:t>
      </w:r>
    </w:p>
    <w:p w:rsidR="00152003" w:rsidRPr="00F93987" w:rsidRDefault="00152003" w:rsidP="00DB4FEB">
      <w:pPr>
        <w:pStyle w:val="a7"/>
        <w:widowControl w:val="0"/>
        <w:numPr>
          <w:ilvl w:val="0"/>
          <w:numId w:val="1"/>
        </w:numPr>
        <w:autoSpaceDE w:val="0"/>
        <w:autoSpaceDN w:val="0"/>
        <w:adjustRightInd w:val="0"/>
        <w:spacing w:line="360" w:lineRule="auto"/>
        <w:ind w:left="0" w:firstLine="0"/>
        <w:jc w:val="both"/>
        <w:rPr>
          <w:color w:val="000000"/>
          <w:sz w:val="28"/>
          <w:szCs w:val="28"/>
        </w:rPr>
      </w:pPr>
      <w:r w:rsidRPr="00F93987">
        <w:rPr>
          <w:color w:val="000000"/>
          <w:sz w:val="28"/>
          <w:szCs w:val="28"/>
        </w:rPr>
        <w:t xml:space="preserve">Экономика Ирака в постсаддамовский период. – Ближний Восток и современность. Вып. </w:t>
      </w:r>
      <w:smartTag w:uri="urn:schemas-microsoft-com:office:smarttags" w:element="metricconverter">
        <w:smartTagPr>
          <w:attr w:name="ProductID" w:val="17. М"/>
        </w:smartTagPr>
        <w:r w:rsidRPr="00F93987">
          <w:rPr>
            <w:color w:val="000000"/>
            <w:sz w:val="28"/>
            <w:szCs w:val="28"/>
          </w:rPr>
          <w:t>17. М</w:t>
        </w:r>
      </w:smartTag>
      <w:r w:rsidRPr="00F93987">
        <w:rPr>
          <w:color w:val="000000"/>
          <w:sz w:val="28"/>
          <w:szCs w:val="28"/>
        </w:rPr>
        <w:t>., 2009. С. 17–128.</w:t>
      </w:r>
    </w:p>
    <w:p w:rsidR="00152003" w:rsidRPr="00F93987" w:rsidRDefault="00152003" w:rsidP="00DB4FEB">
      <w:pPr>
        <w:pStyle w:val="a7"/>
        <w:widowControl w:val="0"/>
        <w:numPr>
          <w:ilvl w:val="0"/>
          <w:numId w:val="1"/>
        </w:numPr>
        <w:autoSpaceDE w:val="0"/>
        <w:autoSpaceDN w:val="0"/>
        <w:adjustRightInd w:val="0"/>
        <w:spacing w:line="360" w:lineRule="auto"/>
        <w:ind w:left="0" w:firstLine="0"/>
        <w:jc w:val="both"/>
        <w:rPr>
          <w:color w:val="000000"/>
          <w:sz w:val="28"/>
          <w:szCs w:val="28"/>
        </w:rPr>
      </w:pPr>
      <w:r w:rsidRPr="00F93987">
        <w:rPr>
          <w:color w:val="000000"/>
          <w:sz w:val="28"/>
          <w:szCs w:val="28"/>
        </w:rPr>
        <w:t xml:space="preserve">Иракско-американское торговое сотрудничество. Ближний Восток и современность. Вып. </w:t>
      </w:r>
      <w:smartTag w:uri="urn:schemas-microsoft-com:office:smarttags" w:element="metricconverter">
        <w:smartTagPr>
          <w:attr w:name="ProductID" w:val="18. М"/>
        </w:smartTagPr>
        <w:r w:rsidRPr="00F93987">
          <w:rPr>
            <w:color w:val="000000"/>
            <w:sz w:val="28"/>
            <w:szCs w:val="28"/>
          </w:rPr>
          <w:t>18. М</w:t>
        </w:r>
      </w:smartTag>
      <w:r w:rsidRPr="00F93987">
        <w:rPr>
          <w:color w:val="000000"/>
          <w:sz w:val="28"/>
          <w:szCs w:val="28"/>
        </w:rPr>
        <w:t>., 2008. С. 111–118.</w:t>
      </w:r>
    </w:p>
    <w:p w:rsidR="00152003" w:rsidRPr="00F93987" w:rsidRDefault="00152003" w:rsidP="00DB4FEB">
      <w:pPr>
        <w:pStyle w:val="a7"/>
        <w:widowControl w:val="0"/>
        <w:numPr>
          <w:ilvl w:val="0"/>
          <w:numId w:val="1"/>
        </w:numPr>
        <w:spacing w:line="360" w:lineRule="auto"/>
        <w:ind w:left="0" w:firstLine="0"/>
        <w:jc w:val="both"/>
        <w:rPr>
          <w:color w:val="000000"/>
          <w:sz w:val="28"/>
          <w:szCs w:val="28"/>
        </w:rPr>
      </w:pPr>
      <w:r w:rsidRPr="00F93987">
        <w:rPr>
          <w:color w:val="000000"/>
          <w:sz w:val="28"/>
          <w:szCs w:val="28"/>
        </w:rPr>
        <w:t>США в урегулировании иракского кризиса. Ближний Восток и соврем</w:t>
      </w:r>
      <w:r w:rsidR="007374DC" w:rsidRPr="00F93987">
        <w:rPr>
          <w:color w:val="000000"/>
          <w:sz w:val="28"/>
          <w:szCs w:val="28"/>
        </w:rPr>
        <w:t xml:space="preserve">енность. Вып. </w:t>
      </w:r>
      <w:smartTag w:uri="urn:schemas-microsoft-com:office:smarttags" w:element="metricconverter">
        <w:smartTagPr>
          <w:attr w:name="ProductID" w:val="17. М"/>
        </w:smartTagPr>
        <w:r w:rsidR="007374DC" w:rsidRPr="00F93987">
          <w:rPr>
            <w:color w:val="000000"/>
            <w:sz w:val="28"/>
            <w:szCs w:val="28"/>
          </w:rPr>
          <w:t>17. М</w:t>
        </w:r>
      </w:smartTag>
      <w:r w:rsidR="007374DC" w:rsidRPr="00F93987">
        <w:rPr>
          <w:color w:val="000000"/>
          <w:sz w:val="28"/>
          <w:szCs w:val="28"/>
        </w:rPr>
        <w:t>., 2009. С. 67–79</w:t>
      </w:r>
      <w:r w:rsidRPr="00F93987">
        <w:rPr>
          <w:color w:val="000000"/>
          <w:sz w:val="28"/>
          <w:szCs w:val="28"/>
        </w:rPr>
        <w:t>.</w:t>
      </w:r>
    </w:p>
    <w:p w:rsidR="00152003" w:rsidRDefault="00152003" w:rsidP="00195B8C">
      <w:pPr>
        <w:pStyle w:val="a7"/>
        <w:widowControl w:val="0"/>
        <w:autoSpaceDE w:val="0"/>
        <w:autoSpaceDN w:val="0"/>
        <w:adjustRightInd w:val="0"/>
        <w:spacing w:line="360" w:lineRule="auto"/>
        <w:ind w:left="0"/>
        <w:rPr>
          <w:color w:val="000000"/>
          <w:sz w:val="28"/>
          <w:szCs w:val="28"/>
        </w:rPr>
      </w:pPr>
    </w:p>
    <w:p w:rsidR="00286017" w:rsidRPr="00286017" w:rsidRDefault="00286017" w:rsidP="00195B8C">
      <w:pPr>
        <w:pStyle w:val="a7"/>
        <w:widowControl w:val="0"/>
        <w:autoSpaceDE w:val="0"/>
        <w:autoSpaceDN w:val="0"/>
        <w:adjustRightInd w:val="0"/>
        <w:spacing w:line="360" w:lineRule="auto"/>
        <w:ind w:left="0"/>
        <w:jc w:val="center"/>
        <w:rPr>
          <w:color w:val="FFFFFF"/>
          <w:sz w:val="28"/>
          <w:szCs w:val="28"/>
        </w:rPr>
      </w:pPr>
      <w:bookmarkStart w:id="0" w:name="_GoBack"/>
      <w:bookmarkEnd w:id="0"/>
    </w:p>
    <w:sectPr w:rsidR="00286017" w:rsidRPr="00286017" w:rsidSect="00F93987">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26" w:rsidRDefault="00C82126" w:rsidP="00042D8A">
      <w:r>
        <w:separator/>
      </w:r>
    </w:p>
  </w:endnote>
  <w:endnote w:type="continuationSeparator" w:id="0">
    <w:p w:rsidR="00C82126" w:rsidRDefault="00C82126" w:rsidP="0004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26" w:rsidRDefault="00C82126" w:rsidP="00042D8A">
      <w:r>
        <w:separator/>
      </w:r>
    </w:p>
  </w:footnote>
  <w:footnote w:type="continuationSeparator" w:id="0">
    <w:p w:rsidR="00C82126" w:rsidRDefault="00C82126" w:rsidP="00042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87" w:rsidRPr="00F93987" w:rsidRDefault="00F93987" w:rsidP="00F93987">
    <w:pPr>
      <w:pStyle w:val="a3"/>
      <w:jc w:val="center"/>
      <w:rPr>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F097B"/>
    <w:multiLevelType w:val="hybridMultilevel"/>
    <w:tmpl w:val="774C2086"/>
    <w:lvl w:ilvl="0" w:tplc="DD465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F56"/>
    <w:rsid w:val="00042D8A"/>
    <w:rsid w:val="00056D5B"/>
    <w:rsid w:val="00152003"/>
    <w:rsid w:val="00195B8C"/>
    <w:rsid w:val="0023251F"/>
    <w:rsid w:val="00286017"/>
    <w:rsid w:val="00677460"/>
    <w:rsid w:val="007374DC"/>
    <w:rsid w:val="007D3370"/>
    <w:rsid w:val="007E5F56"/>
    <w:rsid w:val="008A1225"/>
    <w:rsid w:val="00A573FE"/>
    <w:rsid w:val="00B51E72"/>
    <w:rsid w:val="00C82126"/>
    <w:rsid w:val="00D65D46"/>
    <w:rsid w:val="00DB4FEB"/>
    <w:rsid w:val="00EF5869"/>
    <w:rsid w:val="00F134B1"/>
    <w:rsid w:val="00F26FEA"/>
    <w:rsid w:val="00F8559E"/>
    <w:rsid w:val="00F93987"/>
    <w:rsid w:val="00FB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B0FA9B-0085-41F8-84CD-13C4A754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4B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2D8A"/>
    <w:pPr>
      <w:tabs>
        <w:tab w:val="center" w:pos="4677"/>
        <w:tab w:val="right" w:pos="9355"/>
      </w:tabs>
    </w:pPr>
  </w:style>
  <w:style w:type="character" w:customStyle="1" w:styleId="a4">
    <w:name w:val="Верхний колонтитул Знак"/>
    <w:link w:val="a3"/>
    <w:uiPriority w:val="99"/>
    <w:locked/>
    <w:rsid w:val="00042D8A"/>
    <w:rPr>
      <w:rFonts w:ascii="Times New Roman" w:hAnsi="Times New Roman" w:cs="Times New Roman"/>
      <w:sz w:val="24"/>
      <w:szCs w:val="24"/>
      <w:lang w:val="x-none" w:eastAsia="ru-RU"/>
    </w:rPr>
  </w:style>
  <w:style w:type="paragraph" w:styleId="a5">
    <w:name w:val="footer"/>
    <w:basedOn w:val="a"/>
    <w:link w:val="a6"/>
    <w:uiPriority w:val="99"/>
    <w:rsid w:val="00042D8A"/>
    <w:pPr>
      <w:tabs>
        <w:tab w:val="center" w:pos="4677"/>
        <w:tab w:val="right" w:pos="9355"/>
      </w:tabs>
    </w:pPr>
  </w:style>
  <w:style w:type="character" w:customStyle="1" w:styleId="a6">
    <w:name w:val="Нижний колонтитул Знак"/>
    <w:link w:val="a5"/>
    <w:uiPriority w:val="99"/>
    <w:locked/>
    <w:rsid w:val="00042D8A"/>
    <w:rPr>
      <w:rFonts w:ascii="Times New Roman" w:hAnsi="Times New Roman" w:cs="Times New Roman"/>
      <w:sz w:val="24"/>
      <w:szCs w:val="24"/>
      <w:lang w:val="x-none" w:eastAsia="ru-RU"/>
    </w:rPr>
  </w:style>
  <w:style w:type="paragraph" w:styleId="a7">
    <w:name w:val="List Paragraph"/>
    <w:basedOn w:val="a"/>
    <w:uiPriority w:val="99"/>
    <w:qFormat/>
    <w:rsid w:val="00152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3301</Words>
  <Characters>18821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Реферат: Экономическое развитие Иракской республики после свержения режима Саддама Хусейна</vt:lpstr>
    </vt:vector>
  </TitlesOfParts>
  <Company/>
  <LinksUpToDate>false</LinksUpToDate>
  <CharactersWithSpaces>22078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Экономическое развитие Иракской республики после свержения режима Саддама Хусейна</dc:title>
  <dc:subject/>
  <dc:creator>SbO</dc:creator>
  <cp:keywords/>
  <dc:description/>
  <cp:lastModifiedBy>admin</cp:lastModifiedBy>
  <cp:revision>2</cp:revision>
  <dcterms:created xsi:type="dcterms:W3CDTF">2014-03-23T11:21:00Z</dcterms:created>
  <dcterms:modified xsi:type="dcterms:W3CDTF">2014-03-23T11:21:00Z</dcterms:modified>
</cp:coreProperties>
</file>