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B3DA9" w:rsidRPr="007976BF" w:rsidRDefault="007B3DA9" w:rsidP="007B3DA9">
      <w:pPr>
        <w:jc w:val="center"/>
        <w:rPr>
          <w:b/>
          <w:bCs/>
          <w:caps/>
          <w:sz w:val="20"/>
          <w:szCs w:val="20"/>
        </w:rPr>
      </w:pPr>
      <w:r w:rsidRPr="007976BF">
        <w:rPr>
          <w:b/>
          <w:bCs/>
          <w:caps/>
          <w:sz w:val="20"/>
          <w:szCs w:val="20"/>
        </w:rPr>
        <w:t>государственный комитет российской федерации</w:t>
      </w:r>
    </w:p>
    <w:p w:rsidR="007B3DA9" w:rsidRPr="007976BF" w:rsidRDefault="007B3DA9" w:rsidP="007B3DA9">
      <w:pPr>
        <w:jc w:val="center"/>
        <w:rPr>
          <w:b/>
          <w:bCs/>
          <w:caps/>
          <w:sz w:val="20"/>
          <w:szCs w:val="20"/>
        </w:rPr>
      </w:pPr>
      <w:r w:rsidRPr="007976BF">
        <w:rPr>
          <w:b/>
          <w:bCs/>
          <w:caps/>
          <w:sz w:val="20"/>
          <w:szCs w:val="20"/>
        </w:rPr>
        <w:t>по физической культуре и спорту</w:t>
      </w:r>
    </w:p>
    <w:p w:rsidR="007B3DA9" w:rsidRPr="007976BF" w:rsidRDefault="007B3DA9" w:rsidP="007B3DA9">
      <w:pPr>
        <w:jc w:val="center"/>
        <w:rPr>
          <w:b/>
          <w:bCs/>
        </w:rPr>
      </w:pPr>
    </w:p>
    <w:p w:rsidR="007B3DA9" w:rsidRPr="007976BF" w:rsidRDefault="007B3DA9" w:rsidP="007B3DA9">
      <w:pPr>
        <w:jc w:val="center"/>
        <w:rPr>
          <w:b/>
          <w:bCs/>
          <w:caps/>
          <w:sz w:val="22"/>
          <w:szCs w:val="22"/>
        </w:rPr>
      </w:pPr>
      <w:r w:rsidRPr="007976BF">
        <w:rPr>
          <w:b/>
          <w:bCs/>
          <w:caps/>
          <w:sz w:val="22"/>
          <w:szCs w:val="22"/>
        </w:rPr>
        <w:t>великолукская государственная академия</w:t>
      </w:r>
    </w:p>
    <w:p w:rsidR="007B3DA9" w:rsidRPr="007976BF" w:rsidRDefault="007B3DA9" w:rsidP="007B3DA9">
      <w:pPr>
        <w:jc w:val="center"/>
        <w:rPr>
          <w:b/>
          <w:bCs/>
          <w:caps/>
          <w:sz w:val="22"/>
          <w:szCs w:val="22"/>
        </w:rPr>
      </w:pPr>
      <w:r w:rsidRPr="007976BF">
        <w:rPr>
          <w:b/>
          <w:bCs/>
          <w:caps/>
          <w:sz w:val="22"/>
          <w:szCs w:val="22"/>
        </w:rPr>
        <w:t>физической культуры и спорта</w:t>
      </w:r>
    </w:p>
    <w:p w:rsidR="007B3DA9" w:rsidRDefault="007B3DA9" w:rsidP="007B3DA9">
      <w:pPr>
        <w:jc w:val="center"/>
      </w:pPr>
    </w:p>
    <w:p w:rsidR="007B3DA9" w:rsidRDefault="007B3DA9" w:rsidP="007B3DA9">
      <w:pPr>
        <w:jc w:val="center"/>
      </w:pPr>
    </w:p>
    <w:p w:rsidR="007B3DA9" w:rsidRDefault="007B3DA9" w:rsidP="007B3DA9">
      <w:pPr>
        <w:jc w:val="center"/>
      </w:pPr>
    </w:p>
    <w:p w:rsidR="007B3DA9" w:rsidRDefault="007B3DA9" w:rsidP="007B3DA9">
      <w:pPr>
        <w:jc w:val="center"/>
      </w:pPr>
      <w:r>
        <w:t>Кафедра</w:t>
      </w:r>
    </w:p>
    <w:p w:rsidR="007B3DA9" w:rsidRDefault="007B3DA9" w:rsidP="007B3DA9">
      <w:pPr>
        <w:jc w:val="center"/>
      </w:pPr>
      <w:r>
        <w:t>гуманитарных и социально-экономических дисциплин</w:t>
      </w:r>
    </w:p>
    <w:p w:rsidR="007B3DA9" w:rsidRDefault="007B3DA9" w:rsidP="007B3DA9">
      <w:pPr>
        <w:jc w:val="center"/>
      </w:pPr>
    </w:p>
    <w:p w:rsidR="007B3DA9" w:rsidRDefault="007B3DA9" w:rsidP="007B3DA9">
      <w:pPr>
        <w:jc w:val="center"/>
      </w:pPr>
    </w:p>
    <w:p w:rsidR="007B3DA9" w:rsidRDefault="007B3DA9" w:rsidP="007B3DA9">
      <w:pPr>
        <w:jc w:val="center"/>
      </w:pPr>
    </w:p>
    <w:p w:rsidR="007B3DA9" w:rsidRDefault="007B3DA9" w:rsidP="007B3DA9">
      <w:pPr>
        <w:jc w:val="center"/>
      </w:pPr>
    </w:p>
    <w:p w:rsidR="007B3DA9" w:rsidRDefault="007B3DA9" w:rsidP="007B3DA9">
      <w:pPr>
        <w:jc w:val="center"/>
      </w:pPr>
    </w:p>
    <w:p w:rsidR="007B3DA9" w:rsidRDefault="007B3DA9" w:rsidP="007B3DA9">
      <w:pPr>
        <w:jc w:val="center"/>
      </w:pPr>
    </w:p>
    <w:p w:rsidR="007B3DA9" w:rsidRDefault="007B3DA9" w:rsidP="007B3DA9">
      <w:pPr>
        <w:jc w:val="center"/>
      </w:pPr>
    </w:p>
    <w:p w:rsidR="007B3DA9" w:rsidRDefault="007B3DA9" w:rsidP="007B3DA9">
      <w:pPr>
        <w:jc w:val="center"/>
      </w:pPr>
    </w:p>
    <w:p w:rsidR="007B3DA9" w:rsidRDefault="007B3DA9" w:rsidP="007B3DA9">
      <w:pPr>
        <w:jc w:val="center"/>
      </w:pPr>
    </w:p>
    <w:p w:rsidR="007B3DA9" w:rsidRDefault="007B3DA9" w:rsidP="007B3DA9">
      <w:pPr>
        <w:jc w:val="center"/>
      </w:pPr>
    </w:p>
    <w:p w:rsidR="007B3DA9" w:rsidRDefault="007B3DA9" w:rsidP="007B3DA9">
      <w:pPr>
        <w:jc w:val="center"/>
      </w:pPr>
    </w:p>
    <w:p w:rsidR="007B3DA9" w:rsidRDefault="007B3DA9" w:rsidP="007B3DA9">
      <w:pPr>
        <w:jc w:val="center"/>
      </w:pPr>
    </w:p>
    <w:p w:rsidR="007B3DA9" w:rsidRDefault="007B3DA9" w:rsidP="007B3DA9">
      <w:pPr>
        <w:jc w:val="center"/>
      </w:pPr>
    </w:p>
    <w:p w:rsidR="007B3DA9" w:rsidRDefault="007B3DA9" w:rsidP="007B3DA9">
      <w:pPr>
        <w:jc w:val="center"/>
      </w:pPr>
    </w:p>
    <w:p w:rsidR="007B3DA9" w:rsidRDefault="007B3DA9" w:rsidP="007B3DA9">
      <w:pPr>
        <w:jc w:val="center"/>
      </w:pPr>
    </w:p>
    <w:p w:rsidR="007B3DA9" w:rsidRDefault="00F1371C" w:rsidP="007B3DA9">
      <w:pPr>
        <w:jc w:val="center"/>
      </w:pPr>
      <w:r>
        <w:pict>
          <v:shapetype id="_x0000_t144" coordsize="21600,21600" o:spt="144" adj="11796480" path="al10800,10800,10800,10800@2@14e">
            <v:formulas>
              <v:f eqn="val #1"/>
              <v:f eqn="val #0"/>
              <v:f eqn="sum 0 0 #0"/>
              <v:f eqn="sumangle #0 0 180"/>
              <v:f eqn="sumangle #0 0 90"/>
              <v:f eqn="prod @4 2 1"/>
              <v:f eqn="sumangle #0 90 0"/>
              <v:f eqn="prod @6 2 1"/>
              <v:f eqn="abs #0"/>
              <v:f eqn="sumangle @8 0 90"/>
              <v:f eqn="if @9 @7 @5"/>
              <v:f eqn="sumangle @10 0 360"/>
              <v:f eqn="if @10 @11 @10"/>
              <v:f eqn="sumangle @12 0 360"/>
              <v:f eqn="if @12 @13 @12"/>
              <v:f eqn="sum 0 0 @14"/>
              <v:f eqn="val 10800"/>
              <v:f eqn="cos 10800 #0"/>
              <v:f eqn="sin 10800 #0"/>
              <v:f eqn="sum @17 10800 0"/>
              <v:f eqn="sum @18 10800 0"/>
              <v:f eqn="sum 10800 0 @17"/>
              <v:f eqn="if @9 0 21600"/>
              <v:f eqn="sum 10800 0 @18"/>
            </v:formulas>
            <v:path textpathok="t" o:connecttype="custom" o:connectlocs="10800,@22;@19,@20;@21,@20"/>
            <v:textpath on="t" style="v-text-kern:t" fitpath="t"/>
            <v:handles>
              <v:h position="@16,#0" polar="10800,10800"/>
            </v:handles>
            <o:lock v:ext="edit" text="t" shapetype="t"/>
          </v:shapetype>
          <v:shape id="_x0000_i1025" type="#_x0000_t144" style="width:160.5pt;height:22.5pt" fillcolor="black">
            <v:shadow color="#868686"/>
            <v:textpath style="font-family:&quot;Times New Roman&quot;;font-size:20pt" fitshape="t" trim="t" string="Работа на тему:"/>
          </v:shape>
        </w:pict>
      </w:r>
    </w:p>
    <w:p w:rsidR="007B3DA9" w:rsidRDefault="007B3DA9" w:rsidP="007B3DA9">
      <w:pPr>
        <w:jc w:val="center"/>
      </w:pPr>
    </w:p>
    <w:p w:rsidR="007B3DA9" w:rsidRPr="00F1122F" w:rsidRDefault="00F1371C" w:rsidP="007B3DA9">
      <w:pPr>
        <w:jc w:val="center"/>
        <w:rPr>
          <w:sz w:val="32"/>
          <w:szCs w:val="32"/>
        </w:rPr>
      </w:pPr>
      <w:r>
        <w:pict>
          <v:shapetype id="_x0000_t161" coordsize="21600,21600" o:spt="161" adj="4050" path="m,c7200@0,14400@0,21600,m,21600c7200@1,14400@1,21600,21600e">
            <v:formulas>
              <v:f eqn="prod #0 4 3"/>
              <v:f eqn="sum 21600 0 @0"/>
              <v:f eqn="val #0"/>
              <v:f eqn="sum 21600 0 #0"/>
            </v:formulas>
            <v:path textpathok="t" o:connecttype="custom" o:connectlocs="10800,@2;0,10800;10800,@3;21600,10800" o:connectangles="270,180,90,0"/>
            <v:textpath on="t" fitshape="t" xscale="t"/>
            <v:handles>
              <v:h position="center,#0" yrange="0,8100"/>
            </v:handles>
            <o:lock v:ext="edit" text="t" shapetype="t"/>
          </v:shapetype>
          <v:shape id="_x0000_i1026" type="#_x0000_t161" style="width:329.25pt;height:36pt" adj="5665" fillcolor="black">
            <v:shadow color="#868686"/>
            <v:textpath style="font-family:&quot;Times New Roman&quot;;font-size:24pt;font-weight:bold;v-text-kern:t" trim="t" fitpath="t" xscale="f" string="&quot;Экономика Индии&quot;"/>
          </v:shape>
        </w:pict>
      </w:r>
    </w:p>
    <w:p w:rsidR="007B3DA9" w:rsidRDefault="007B3DA9" w:rsidP="007B3DA9">
      <w:pPr>
        <w:jc w:val="center"/>
      </w:pPr>
    </w:p>
    <w:p w:rsidR="007B3DA9" w:rsidRDefault="007B3DA9" w:rsidP="007B3DA9">
      <w:pPr>
        <w:jc w:val="center"/>
      </w:pPr>
    </w:p>
    <w:p w:rsidR="007B3DA9" w:rsidRDefault="007B3DA9" w:rsidP="007B3DA9">
      <w:pPr>
        <w:jc w:val="center"/>
      </w:pPr>
    </w:p>
    <w:p w:rsidR="007B3DA9" w:rsidRDefault="007B3DA9" w:rsidP="007B3DA9">
      <w:pPr>
        <w:jc w:val="center"/>
      </w:pPr>
    </w:p>
    <w:p w:rsidR="007B3DA9" w:rsidRDefault="007B3DA9" w:rsidP="007B3DA9">
      <w:pPr>
        <w:jc w:val="center"/>
      </w:pPr>
    </w:p>
    <w:p w:rsidR="007B3DA9" w:rsidRDefault="007B3DA9" w:rsidP="007B3DA9">
      <w:pPr>
        <w:jc w:val="center"/>
      </w:pPr>
    </w:p>
    <w:p w:rsidR="007B3DA9" w:rsidRDefault="007B3DA9" w:rsidP="007B3DA9">
      <w:pPr>
        <w:jc w:val="center"/>
      </w:pPr>
    </w:p>
    <w:p w:rsidR="007B3DA9" w:rsidRDefault="007B3DA9" w:rsidP="007B3DA9">
      <w:pPr>
        <w:jc w:val="center"/>
      </w:pPr>
    </w:p>
    <w:p w:rsidR="007B3DA9" w:rsidRDefault="007B3DA9" w:rsidP="007B3DA9">
      <w:pPr>
        <w:jc w:val="center"/>
      </w:pPr>
    </w:p>
    <w:p w:rsidR="007B3DA9" w:rsidRDefault="007B3DA9" w:rsidP="007B3DA9">
      <w:pPr>
        <w:jc w:val="center"/>
      </w:pPr>
    </w:p>
    <w:p w:rsidR="007B3DA9" w:rsidRDefault="007B3DA9" w:rsidP="007B3DA9"/>
    <w:p w:rsidR="007B3DA9" w:rsidRPr="007976BF" w:rsidRDefault="007B3DA9" w:rsidP="007B3DA9">
      <w:pPr>
        <w:jc w:val="center"/>
        <w:rPr>
          <w:b/>
          <w:bCs/>
        </w:rPr>
      </w:pPr>
      <w:r>
        <w:rPr>
          <w:b/>
          <w:bCs/>
        </w:rPr>
        <w:t xml:space="preserve">                                                                                     </w:t>
      </w:r>
      <w:r w:rsidRPr="007976BF">
        <w:rPr>
          <w:b/>
          <w:bCs/>
        </w:rPr>
        <w:t>Подготовила:</w:t>
      </w:r>
    </w:p>
    <w:p w:rsidR="007B3DA9" w:rsidRDefault="007B3DA9" w:rsidP="007B3DA9">
      <w:pPr>
        <w:tabs>
          <w:tab w:val="left" w:pos="2715"/>
          <w:tab w:val="right" w:pos="9070"/>
        </w:tabs>
        <w:jc w:val="center"/>
      </w:pPr>
      <w:r>
        <w:t xml:space="preserve">                                                                                     ************</w:t>
      </w:r>
    </w:p>
    <w:p w:rsidR="007B3DA9" w:rsidRPr="007976BF" w:rsidRDefault="007B3DA9" w:rsidP="007B3DA9">
      <w:pPr>
        <w:jc w:val="center"/>
        <w:rPr>
          <w:b/>
          <w:bCs/>
        </w:rPr>
      </w:pPr>
      <w:r>
        <w:rPr>
          <w:b/>
          <w:bCs/>
        </w:rPr>
        <w:t xml:space="preserve">                                                                                Проверил</w:t>
      </w:r>
      <w:r w:rsidRPr="007976BF">
        <w:rPr>
          <w:b/>
          <w:bCs/>
        </w:rPr>
        <w:t>:</w:t>
      </w:r>
    </w:p>
    <w:p w:rsidR="007B3DA9" w:rsidRDefault="007B3DA9" w:rsidP="007B3DA9">
      <w:pPr>
        <w:jc w:val="center"/>
      </w:pPr>
      <w:r>
        <w:t xml:space="preserve">                                                                                        *************.</w:t>
      </w:r>
    </w:p>
    <w:p w:rsidR="007B3DA9" w:rsidRDefault="007B3DA9" w:rsidP="007B3DA9">
      <w:pPr>
        <w:jc w:val="right"/>
      </w:pPr>
    </w:p>
    <w:p w:rsidR="007B3DA9" w:rsidRDefault="007B3DA9" w:rsidP="007B3DA9">
      <w:pPr>
        <w:jc w:val="center"/>
      </w:pPr>
    </w:p>
    <w:p w:rsidR="007B3DA9" w:rsidRDefault="007B3DA9" w:rsidP="007B3DA9">
      <w:pPr>
        <w:jc w:val="center"/>
      </w:pPr>
    </w:p>
    <w:p w:rsidR="007B3DA9" w:rsidRDefault="007B3DA9" w:rsidP="007B3DA9">
      <w:pPr>
        <w:jc w:val="center"/>
      </w:pPr>
      <w:r>
        <w:t>Великие Луки</w:t>
      </w:r>
    </w:p>
    <w:p w:rsidR="007B3DA9" w:rsidRDefault="007B3DA9" w:rsidP="007B3DA9">
      <w:pPr>
        <w:jc w:val="center"/>
      </w:pPr>
      <w:r>
        <w:t>2006</w:t>
      </w:r>
    </w:p>
    <w:p w:rsidR="007B3DA9" w:rsidRDefault="007B3DA9" w:rsidP="007B3DA9">
      <w:pPr>
        <w:ind w:firstLine="360"/>
        <w:rPr>
          <w:b/>
          <w:bCs/>
          <w:color w:val="000000"/>
        </w:rPr>
      </w:pPr>
    </w:p>
    <w:p w:rsidR="007B3DA9" w:rsidRDefault="007B3DA9" w:rsidP="007B3DA9">
      <w:pPr>
        <w:ind w:firstLine="360"/>
        <w:rPr>
          <w:b/>
          <w:bCs/>
          <w:color w:val="000000"/>
        </w:rPr>
      </w:pPr>
    </w:p>
    <w:p w:rsidR="007B3DA9" w:rsidRPr="00783CE9" w:rsidRDefault="007B3DA9" w:rsidP="007B3DA9">
      <w:pPr>
        <w:ind w:firstLine="360"/>
        <w:rPr>
          <w:b/>
          <w:bCs/>
          <w:color w:val="000000"/>
        </w:rPr>
      </w:pPr>
      <w:r w:rsidRPr="00783CE9">
        <w:rPr>
          <w:b/>
          <w:bCs/>
          <w:color w:val="000000"/>
        </w:rPr>
        <w:t>Содержание:</w:t>
      </w:r>
    </w:p>
    <w:p w:rsidR="007B3DA9" w:rsidRPr="00783CE9" w:rsidRDefault="007B3DA9" w:rsidP="007B3DA9">
      <w:pPr>
        <w:ind w:firstLine="360"/>
        <w:rPr>
          <w:color w:val="000000"/>
        </w:rPr>
      </w:pPr>
    </w:p>
    <w:p w:rsidR="007B3DA9" w:rsidRPr="00783CE9" w:rsidRDefault="007B3DA9" w:rsidP="007B3DA9">
      <w:pPr>
        <w:numPr>
          <w:ilvl w:val="0"/>
          <w:numId w:val="1"/>
        </w:numPr>
        <w:rPr>
          <w:color w:val="000000"/>
        </w:rPr>
      </w:pPr>
      <w:r w:rsidRPr="00783CE9">
        <w:rPr>
          <w:color w:val="000000"/>
        </w:rPr>
        <w:t>Краткое сведение о стране</w:t>
      </w:r>
    </w:p>
    <w:p w:rsidR="007B3DA9" w:rsidRPr="00783CE9" w:rsidRDefault="007B3DA9" w:rsidP="007B3DA9">
      <w:pPr>
        <w:numPr>
          <w:ilvl w:val="0"/>
          <w:numId w:val="1"/>
        </w:numPr>
        <w:rPr>
          <w:color w:val="000000"/>
        </w:rPr>
      </w:pPr>
      <w:r w:rsidRPr="00783CE9">
        <w:rPr>
          <w:color w:val="000000"/>
        </w:rPr>
        <w:t>Экономические показатели</w:t>
      </w:r>
    </w:p>
    <w:p w:rsidR="007B3DA9" w:rsidRPr="00783CE9" w:rsidRDefault="007B3DA9" w:rsidP="007B3DA9">
      <w:pPr>
        <w:pStyle w:val="a7"/>
        <w:numPr>
          <w:ilvl w:val="0"/>
          <w:numId w:val="1"/>
        </w:numPr>
        <w:rPr>
          <w:color w:val="000000"/>
        </w:rPr>
      </w:pPr>
      <w:r w:rsidRPr="00783CE9">
        <w:rPr>
          <w:color w:val="000000"/>
        </w:rPr>
        <w:t>Отрасли промышленности, с/х. и сферы услуг</w:t>
      </w:r>
    </w:p>
    <w:p w:rsidR="007B3DA9" w:rsidRPr="00783CE9" w:rsidRDefault="007B3DA9" w:rsidP="007B3DA9">
      <w:pPr>
        <w:pStyle w:val="a7"/>
        <w:numPr>
          <w:ilvl w:val="0"/>
          <w:numId w:val="1"/>
        </w:numPr>
        <w:rPr>
          <w:color w:val="000000"/>
        </w:rPr>
      </w:pPr>
      <w:r w:rsidRPr="00783CE9">
        <w:rPr>
          <w:color w:val="000000"/>
        </w:rPr>
        <w:t>Участие в интеграциональных группах</w:t>
      </w:r>
    </w:p>
    <w:p w:rsidR="007B3DA9" w:rsidRDefault="007B3DA9" w:rsidP="007B3DA9">
      <w:pPr>
        <w:pStyle w:val="a7"/>
        <w:numPr>
          <w:ilvl w:val="0"/>
          <w:numId w:val="1"/>
        </w:numPr>
        <w:rPr>
          <w:color w:val="000000"/>
        </w:rPr>
      </w:pPr>
      <w:r w:rsidRPr="00783CE9">
        <w:rPr>
          <w:color w:val="000000"/>
        </w:rPr>
        <w:t xml:space="preserve">ТНК, располагающие свои филиалы в стране.                                               </w:t>
      </w:r>
      <w:r>
        <w:rPr>
          <w:color w:val="000000"/>
        </w:rPr>
        <w:t xml:space="preserve">        </w:t>
      </w:r>
      <w:r w:rsidRPr="00783CE9">
        <w:rPr>
          <w:color w:val="000000"/>
        </w:rPr>
        <w:t>Список используемой литературы                                                                                 Приложение</w:t>
      </w:r>
      <w:r>
        <w:rPr>
          <w:color w:val="000000"/>
        </w:rPr>
        <w:tab/>
      </w:r>
      <w:r>
        <w:rPr>
          <w:color w:val="000000"/>
        </w:rPr>
        <w:tab/>
      </w:r>
    </w:p>
    <w:p w:rsidR="007B3DA9" w:rsidRPr="00783CE9" w:rsidRDefault="007B3DA9" w:rsidP="007B3DA9">
      <w:pPr>
        <w:pStyle w:val="a7"/>
        <w:rPr>
          <w:color w:val="000000"/>
        </w:rPr>
      </w:pPr>
    </w:p>
    <w:p w:rsidR="007B3DA9" w:rsidRDefault="007B3DA9" w:rsidP="007B3DA9">
      <w:pPr>
        <w:jc w:val="center"/>
        <w:rPr>
          <w:b/>
          <w:bCs/>
          <w:color w:val="000000"/>
          <w:sz w:val="28"/>
          <w:szCs w:val="28"/>
        </w:rPr>
      </w:pPr>
    </w:p>
    <w:p w:rsidR="007B3DA9" w:rsidRDefault="007B3DA9" w:rsidP="007B3DA9">
      <w:pPr>
        <w:jc w:val="center"/>
        <w:rPr>
          <w:b/>
          <w:bCs/>
          <w:color w:val="000000"/>
          <w:sz w:val="28"/>
          <w:szCs w:val="28"/>
        </w:rPr>
      </w:pPr>
    </w:p>
    <w:p w:rsidR="007B3DA9" w:rsidRDefault="007B3DA9" w:rsidP="007B3DA9">
      <w:pPr>
        <w:jc w:val="center"/>
        <w:rPr>
          <w:b/>
          <w:bCs/>
          <w:color w:val="000000"/>
          <w:sz w:val="28"/>
          <w:szCs w:val="28"/>
        </w:rPr>
      </w:pPr>
    </w:p>
    <w:p w:rsidR="007B3DA9" w:rsidRDefault="007B3DA9" w:rsidP="007B3DA9">
      <w:pPr>
        <w:jc w:val="center"/>
        <w:rPr>
          <w:b/>
          <w:bCs/>
          <w:color w:val="000000"/>
          <w:sz w:val="28"/>
          <w:szCs w:val="28"/>
        </w:rPr>
      </w:pPr>
    </w:p>
    <w:p w:rsidR="007B3DA9" w:rsidRDefault="007B3DA9" w:rsidP="007B3DA9">
      <w:pPr>
        <w:jc w:val="center"/>
        <w:rPr>
          <w:b/>
          <w:bCs/>
          <w:color w:val="000000"/>
          <w:sz w:val="28"/>
          <w:szCs w:val="28"/>
        </w:rPr>
      </w:pPr>
    </w:p>
    <w:p w:rsidR="007B3DA9" w:rsidRDefault="007B3DA9" w:rsidP="007B3DA9">
      <w:pPr>
        <w:jc w:val="center"/>
        <w:rPr>
          <w:b/>
          <w:bCs/>
          <w:color w:val="000000"/>
          <w:sz w:val="28"/>
          <w:szCs w:val="28"/>
        </w:rPr>
      </w:pPr>
    </w:p>
    <w:p w:rsidR="007B3DA9" w:rsidRDefault="007B3DA9" w:rsidP="007B3DA9">
      <w:pPr>
        <w:jc w:val="center"/>
        <w:rPr>
          <w:b/>
          <w:bCs/>
          <w:color w:val="000000"/>
          <w:sz w:val="28"/>
          <w:szCs w:val="28"/>
        </w:rPr>
      </w:pPr>
    </w:p>
    <w:p w:rsidR="007B3DA9" w:rsidRDefault="007B3DA9" w:rsidP="007B3DA9">
      <w:pPr>
        <w:jc w:val="center"/>
        <w:rPr>
          <w:b/>
          <w:bCs/>
          <w:color w:val="000000"/>
          <w:sz w:val="28"/>
          <w:szCs w:val="28"/>
        </w:rPr>
      </w:pPr>
    </w:p>
    <w:p w:rsidR="007B3DA9" w:rsidRDefault="007B3DA9" w:rsidP="007B3DA9">
      <w:pPr>
        <w:jc w:val="center"/>
        <w:rPr>
          <w:b/>
          <w:bCs/>
          <w:color w:val="000000"/>
          <w:sz w:val="28"/>
          <w:szCs w:val="28"/>
        </w:rPr>
      </w:pPr>
    </w:p>
    <w:p w:rsidR="007B3DA9" w:rsidRDefault="007B3DA9" w:rsidP="007B3DA9">
      <w:pPr>
        <w:jc w:val="center"/>
        <w:rPr>
          <w:b/>
          <w:bCs/>
          <w:color w:val="000000"/>
          <w:sz w:val="28"/>
          <w:szCs w:val="28"/>
        </w:rPr>
      </w:pPr>
    </w:p>
    <w:p w:rsidR="007B3DA9" w:rsidRDefault="007B3DA9" w:rsidP="007B3DA9">
      <w:pPr>
        <w:jc w:val="center"/>
        <w:rPr>
          <w:b/>
          <w:bCs/>
          <w:color w:val="000000"/>
          <w:sz w:val="28"/>
          <w:szCs w:val="28"/>
        </w:rPr>
      </w:pPr>
    </w:p>
    <w:p w:rsidR="007B3DA9" w:rsidRDefault="007B3DA9" w:rsidP="007B3DA9">
      <w:pPr>
        <w:jc w:val="center"/>
        <w:rPr>
          <w:b/>
          <w:bCs/>
          <w:color w:val="000000"/>
          <w:sz w:val="28"/>
          <w:szCs w:val="28"/>
        </w:rPr>
      </w:pPr>
    </w:p>
    <w:p w:rsidR="007B3DA9" w:rsidRDefault="007B3DA9" w:rsidP="007B3DA9">
      <w:pPr>
        <w:jc w:val="center"/>
        <w:rPr>
          <w:b/>
          <w:bCs/>
          <w:color w:val="000000"/>
          <w:sz w:val="28"/>
          <w:szCs w:val="28"/>
        </w:rPr>
      </w:pPr>
    </w:p>
    <w:p w:rsidR="007B3DA9" w:rsidRDefault="007B3DA9" w:rsidP="007B3DA9">
      <w:pPr>
        <w:jc w:val="center"/>
        <w:rPr>
          <w:b/>
          <w:bCs/>
          <w:color w:val="000000"/>
          <w:sz w:val="28"/>
          <w:szCs w:val="28"/>
        </w:rPr>
      </w:pPr>
    </w:p>
    <w:p w:rsidR="007B3DA9" w:rsidRDefault="007B3DA9" w:rsidP="007B3DA9">
      <w:pPr>
        <w:jc w:val="center"/>
        <w:rPr>
          <w:b/>
          <w:bCs/>
          <w:color w:val="000000"/>
          <w:sz w:val="28"/>
          <w:szCs w:val="28"/>
        </w:rPr>
      </w:pPr>
    </w:p>
    <w:p w:rsidR="007B3DA9" w:rsidRDefault="007B3DA9" w:rsidP="007B3DA9">
      <w:pPr>
        <w:jc w:val="center"/>
        <w:rPr>
          <w:b/>
          <w:bCs/>
          <w:color w:val="000000"/>
          <w:sz w:val="28"/>
          <w:szCs w:val="28"/>
        </w:rPr>
      </w:pPr>
    </w:p>
    <w:p w:rsidR="007B3DA9" w:rsidRDefault="007B3DA9" w:rsidP="007B3DA9">
      <w:pPr>
        <w:jc w:val="center"/>
        <w:rPr>
          <w:b/>
          <w:bCs/>
          <w:color w:val="000000"/>
          <w:sz w:val="28"/>
          <w:szCs w:val="28"/>
        </w:rPr>
      </w:pPr>
    </w:p>
    <w:p w:rsidR="007B3DA9" w:rsidRDefault="007B3DA9" w:rsidP="007B3DA9">
      <w:pPr>
        <w:jc w:val="center"/>
        <w:rPr>
          <w:b/>
          <w:bCs/>
          <w:color w:val="000000"/>
          <w:sz w:val="28"/>
          <w:szCs w:val="28"/>
        </w:rPr>
      </w:pPr>
    </w:p>
    <w:p w:rsidR="007B3DA9" w:rsidRDefault="007B3DA9" w:rsidP="007B3DA9">
      <w:pPr>
        <w:jc w:val="center"/>
        <w:rPr>
          <w:b/>
          <w:bCs/>
          <w:color w:val="000000"/>
          <w:sz w:val="28"/>
          <w:szCs w:val="28"/>
        </w:rPr>
      </w:pPr>
    </w:p>
    <w:p w:rsidR="007B3DA9" w:rsidRDefault="007B3DA9" w:rsidP="007B3DA9">
      <w:pPr>
        <w:jc w:val="center"/>
        <w:rPr>
          <w:b/>
          <w:bCs/>
          <w:color w:val="000000"/>
          <w:sz w:val="28"/>
          <w:szCs w:val="28"/>
        </w:rPr>
      </w:pPr>
    </w:p>
    <w:p w:rsidR="007B3DA9" w:rsidRDefault="007B3DA9" w:rsidP="007B3DA9">
      <w:pPr>
        <w:jc w:val="center"/>
        <w:rPr>
          <w:b/>
          <w:bCs/>
          <w:color w:val="000000"/>
          <w:sz w:val="28"/>
          <w:szCs w:val="28"/>
        </w:rPr>
      </w:pPr>
    </w:p>
    <w:p w:rsidR="007B3DA9" w:rsidRDefault="007B3DA9" w:rsidP="007B3DA9">
      <w:pPr>
        <w:jc w:val="center"/>
        <w:rPr>
          <w:b/>
          <w:bCs/>
          <w:color w:val="000000"/>
          <w:sz w:val="28"/>
          <w:szCs w:val="28"/>
        </w:rPr>
      </w:pPr>
    </w:p>
    <w:p w:rsidR="007B3DA9" w:rsidRDefault="007B3DA9" w:rsidP="007B3DA9">
      <w:pPr>
        <w:jc w:val="center"/>
        <w:rPr>
          <w:b/>
          <w:bCs/>
          <w:color w:val="000000"/>
          <w:sz w:val="28"/>
          <w:szCs w:val="28"/>
        </w:rPr>
      </w:pPr>
    </w:p>
    <w:p w:rsidR="007B3DA9" w:rsidRDefault="007B3DA9" w:rsidP="007B3DA9">
      <w:pPr>
        <w:jc w:val="center"/>
        <w:rPr>
          <w:b/>
          <w:bCs/>
          <w:color w:val="000000"/>
          <w:sz w:val="28"/>
          <w:szCs w:val="28"/>
        </w:rPr>
      </w:pPr>
    </w:p>
    <w:p w:rsidR="007B3DA9" w:rsidRDefault="007B3DA9" w:rsidP="007B3DA9">
      <w:pPr>
        <w:jc w:val="center"/>
        <w:rPr>
          <w:b/>
          <w:bCs/>
          <w:color w:val="000000"/>
          <w:sz w:val="28"/>
          <w:szCs w:val="28"/>
        </w:rPr>
      </w:pPr>
    </w:p>
    <w:p w:rsidR="007B3DA9" w:rsidRDefault="007B3DA9" w:rsidP="007B3DA9">
      <w:pPr>
        <w:jc w:val="center"/>
        <w:rPr>
          <w:b/>
          <w:bCs/>
          <w:color w:val="000000"/>
          <w:sz w:val="28"/>
          <w:szCs w:val="28"/>
        </w:rPr>
      </w:pPr>
    </w:p>
    <w:p w:rsidR="007B3DA9" w:rsidRDefault="007B3DA9" w:rsidP="007B3DA9">
      <w:pPr>
        <w:jc w:val="center"/>
        <w:rPr>
          <w:b/>
          <w:bCs/>
          <w:color w:val="000000"/>
          <w:sz w:val="28"/>
          <w:szCs w:val="28"/>
        </w:rPr>
      </w:pPr>
    </w:p>
    <w:p w:rsidR="007B3DA9" w:rsidRDefault="007B3DA9" w:rsidP="007B3DA9">
      <w:pPr>
        <w:jc w:val="center"/>
        <w:rPr>
          <w:b/>
          <w:bCs/>
          <w:color w:val="000000"/>
          <w:sz w:val="28"/>
          <w:szCs w:val="28"/>
        </w:rPr>
      </w:pPr>
    </w:p>
    <w:p w:rsidR="007B3DA9" w:rsidRDefault="007B3DA9" w:rsidP="007B3DA9">
      <w:pPr>
        <w:jc w:val="center"/>
        <w:rPr>
          <w:b/>
          <w:bCs/>
          <w:color w:val="000000"/>
          <w:sz w:val="28"/>
          <w:szCs w:val="28"/>
        </w:rPr>
      </w:pPr>
    </w:p>
    <w:p w:rsidR="007B3DA9" w:rsidRDefault="007B3DA9" w:rsidP="007B3DA9">
      <w:pPr>
        <w:jc w:val="center"/>
        <w:rPr>
          <w:b/>
          <w:bCs/>
          <w:color w:val="000000"/>
          <w:sz w:val="28"/>
          <w:szCs w:val="28"/>
        </w:rPr>
      </w:pPr>
    </w:p>
    <w:p w:rsidR="007B3DA9" w:rsidRDefault="007B3DA9" w:rsidP="007B3DA9">
      <w:pPr>
        <w:jc w:val="center"/>
        <w:rPr>
          <w:b/>
          <w:bCs/>
          <w:color w:val="000000"/>
          <w:sz w:val="28"/>
          <w:szCs w:val="28"/>
        </w:rPr>
      </w:pPr>
    </w:p>
    <w:p w:rsidR="007B3DA9" w:rsidRDefault="007B3DA9" w:rsidP="007B3DA9">
      <w:pPr>
        <w:jc w:val="center"/>
        <w:rPr>
          <w:b/>
          <w:bCs/>
          <w:color w:val="000000"/>
          <w:sz w:val="28"/>
          <w:szCs w:val="28"/>
        </w:rPr>
      </w:pPr>
    </w:p>
    <w:p w:rsidR="007B3DA9" w:rsidRDefault="007B3DA9" w:rsidP="007B3DA9">
      <w:pPr>
        <w:jc w:val="center"/>
        <w:rPr>
          <w:b/>
          <w:bCs/>
          <w:color w:val="000000"/>
          <w:sz w:val="28"/>
          <w:szCs w:val="28"/>
        </w:rPr>
      </w:pPr>
    </w:p>
    <w:p w:rsidR="007B3DA9" w:rsidRDefault="007B3DA9" w:rsidP="007B3DA9">
      <w:pPr>
        <w:jc w:val="center"/>
        <w:rPr>
          <w:b/>
          <w:bCs/>
          <w:color w:val="000000"/>
          <w:sz w:val="28"/>
          <w:szCs w:val="28"/>
        </w:rPr>
      </w:pPr>
    </w:p>
    <w:p w:rsidR="007B3DA9" w:rsidRPr="00A57C21" w:rsidRDefault="007B3DA9" w:rsidP="007B3DA9">
      <w:pPr>
        <w:jc w:val="center"/>
        <w:rPr>
          <w:b/>
          <w:bCs/>
          <w:color w:val="000000"/>
          <w:sz w:val="28"/>
          <w:szCs w:val="28"/>
        </w:rPr>
      </w:pPr>
      <w:r w:rsidRPr="00A57C21">
        <w:rPr>
          <w:b/>
          <w:bCs/>
          <w:color w:val="000000"/>
          <w:sz w:val="28"/>
          <w:szCs w:val="28"/>
        </w:rPr>
        <w:t>Краткое сведение о стране</w:t>
      </w:r>
    </w:p>
    <w:p w:rsidR="007B3DA9" w:rsidRPr="00A57C21" w:rsidRDefault="007B3DA9" w:rsidP="007B3DA9">
      <w:pPr>
        <w:rPr>
          <w:color w:val="000000"/>
        </w:rPr>
      </w:pPr>
      <w:r w:rsidRPr="00A57C21">
        <w:rPr>
          <w:color w:val="000000"/>
        </w:rPr>
        <w:t xml:space="preserve">Географическое положение: </w:t>
      </w:r>
    </w:p>
    <w:p w:rsidR="007B3DA9" w:rsidRPr="00A57C21" w:rsidRDefault="007B3DA9" w:rsidP="007B3DA9">
      <w:pPr>
        <w:rPr>
          <w:color w:val="000000"/>
        </w:rPr>
      </w:pPr>
      <w:r w:rsidRPr="00A57C21">
        <w:rPr>
          <w:color w:val="000000"/>
        </w:rPr>
        <w:t>Республика Индия расположена в Южной Азии на полуострове Индостан, омываемом водами Индийского океанами и на большей части Индо-Гангской низменности. На севере граничит с Афганистаном, Китаем, Непалом и Бутаном, на востоке – с Бангладеш и Бирмой (Мьянма), на западе – с Пакистаном. На востоке омывается Бенгальским заливом, на юге - Полкским проливом, отделяющим ее от острова Шри-Ланка , и Индийским океаном, на западе Аравийским морем. </w:t>
      </w:r>
    </w:p>
    <w:p w:rsidR="007B3DA9" w:rsidRPr="00A57C21" w:rsidRDefault="007B3DA9" w:rsidP="007B3DA9">
      <w:pPr>
        <w:rPr>
          <w:color w:val="000000"/>
        </w:rPr>
      </w:pPr>
      <w:r w:rsidRPr="00A57C21">
        <w:rPr>
          <w:color w:val="000000"/>
        </w:rPr>
        <w:t>Столица - Нью-Дели.</w:t>
      </w:r>
    </w:p>
    <w:p w:rsidR="007B3DA9" w:rsidRPr="00A57C21" w:rsidRDefault="007B3DA9" w:rsidP="007B3DA9">
      <w:pPr>
        <w:rPr>
          <w:color w:val="000000"/>
        </w:rPr>
      </w:pPr>
      <w:r w:rsidRPr="00A57C21">
        <w:rPr>
          <w:color w:val="000000"/>
        </w:rPr>
        <w:t>Площадь - 3,287,000 кв.км.</w:t>
      </w:r>
      <w:r w:rsidRPr="00A57C21">
        <w:rPr>
          <w:color w:val="000000"/>
        </w:rPr>
        <w:br/>
        <w:t>Население – свыше 1,2 млрд. человек.</w:t>
      </w:r>
    </w:p>
    <w:p w:rsidR="007B3DA9" w:rsidRPr="00A57C21" w:rsidRDefault="007B3DA9" w:rsidP="007B3DA9">
      <w:pPr>
        <w:rPr>
          <w:color w:val="000000"/>
          <w:u w:val="single"/>
        </w:rPr>
      </w:pPr>
      <w:r w:rsidRPr="00A57C21">
        <w:rPr>
          <w:color w:val="000000"/>
        </w:rPr>
        <w:t xml:space="preserve">Национальная валюта - </w:t>
      </w:r>
      <w:r w:rsidRPr="00AB6FDB">
        <w:rPr>
          <w:color w:val="000000"/>
        </w:rPr>
        <w:t>индийская рупия</w:t>
      </w:r>
    </w:p>
    <w:p w:rsidR="007B3DA9" w:rsidRPr="00A57C21" w:rsidRDefault="007B3DA9" w:rsidP="007B3DA9">
      <w:pPr>
        <w:rPr>
          <w:color w:val="000000"/>
        </w:rPr>
      </w:pPr>
      <w:r w:rsidRPr="00A57C21">
        <w:rPr>
          <w:color w:val="000000"/>
        </w:rPr>
        <w:t>Местное время - на 2.30 вперед от Московского (летом на 1.30)</w:t>
      </w:r>
    </w:p>
    <w:p w:rsidR="007B3DA9" w:rsidRPr="00A57C21" w:rsidRDefault="007B3DA9" w:rsidP="007B3DA9">
      <w:pPr>
        <w:rPr>
          <w:color w:val="000000"/>
        </w:rPr>
      </w:pPr>
      <w:r w:rsidRPr="00A57C21">
        <w:rPr>
          <w:color w:val="000000"/>
        </w:rPr>
        <w:t xml:space="preserve">Телефонный код: </w:t>
      </w:r>
      <w:r w:rsidRPr="00A57C21">
        <w:rPr>
          <w:b/>
          <w:bCs/>
          <w:color w:val="000000"/>
        </w:rPr>
        <w:t>91</w:t>
      </w:r>
      <w:r w:rsidRPr="00A57C21">
        <w:rPr>
          <w:color w:val="000000"/>
        </w:rPr>
        <w:t xml:space="preserve"> </w:t>
      </w:r>
      <w:r w:rsidRPr="00A57C21">
        <w:rPr>
          <w:color w:val="000000"/>
        </w:rPr>
        <w:br/>
        <w:t>Высшая точка над уровнем моря – Чогори на Севере (на границе с Китаем) (8611 м).</w:t>
      </w:r>
    </w:p>
    <w:p w:rsidR="007B3DA9" w:rsidRPr="00A57C21" w:rsidRDefault="007B3DA9" w:rsidP="007B3DA9">
      <w:pPr>
        <w:rPr>
          <w:color w:val="000000"/>
        </w:rPr>
      </w:pPr>
      <w:r w:rsidRPr="00A57C21">
        <w:rPr>
          <w:color w:val="000000"/>
        </w:rPr>
        <w:t xml:space="preserve">Национальное животное - тигр. </w:t>
      </w:r>
    </w:p>
    <w:p w:rsidR="007B3DA9" w:rsidRPr="00A57C21" w:rsidRDefault="007B3DA9" w:rsidP="007B3DA9">
      <w:pPr>
        <w:rPr>
          <w:color w:val="000000"/>
        </w:rPr>
      </w:pPr>
      <w:r w:rsidRPr="00A57C21">
        <w:rPr>
          <w:color w:val="000000"/>
        </w:rPr>
        <w:t xml:space="preserve">Национальная птица - павлин. </w:t>
      </w:r>
    </w:p>
    <w:p w:rsidR="007B3DA9" w:rsidRPr="00A57C21" w:rsidRDefault="007B3DA9" w:rsidP="007B3DA9">
      <w:pPr>
        <w:rPr>
          <w:color w:val="000000"/>
        </w:rPr>
      </w:pPr>
      <w:r w:rsidRPr="00A57C21">
        <w:rPr>
          <w:color w:val="000000"/>
        </w:rPr>
        <w:t>Национальный цветок - лотос.</w:t>
      </w:r>
    </w:p>
    <w:p w:rsidR="007B3DA9" w:rsidRPr="00A57C21" w:rsidRDefault="007B3DA9" w:rsidP="007B3DA9">
      <w:pPr>
        <w:rPr>
          <w:color w:val="000000"/>
        </w:rPr>
      </w:pPr>
      <w:r w:rsidRPr="00A57C21">
        <w:rPr>
          <w:color w:val="000000"/>
        </w:rPr>
        <w:t xml:space="preserve">Национальный фрукт - манго. </w:t>
      </w:r>
      <w:bookmarkStart w:id="0" w:name="1012488-L-115"/>
      <w:bookmarkEnd w:id="0"/>
    </w:p>
    <w:p w:rsidR="007B3DA9" w:rsidRPr="00A57C21" w:rsidRDefault="007B3DA9" w:rsidP="007B3DA9">
      <w:pPr>
        <w:rPr>
          <w:color w:val="000000"/>
        </w:rPr>
      </w:pPr>
      <w:r w:rsidRPr="00A57C21">
        <w:rPr>
          <w:b/>
          <w:bCs/>
          <w:color w:val="000000"/>
        </w:rPr>
        <w:t xml:space="preserve">Административное устройство. </w:t>
      </w:r>
      <w:r w:rsidRPr="00A57C21">
        <w:rPr>
          <w:color w:val="000000"/>
        </w:rPr>
        <w:t xml:space="preserve">Страна разделена на 18 провинций, состоящих из 163 муниципальных районов. </w:t>
      </w:r>
      <w:bookmarkStart w:id="1" w:name="1007253-L-130"/>
      <w:bookmarkEnd w:id="1"/>
      <w:r w:rsidRPr="00A57C21">
        <w:rPr>
          <w:color w:val="000000"/>
        </w:rPr>
        <w:t xml:space="preserve"> </w:t>
      </w:r>
      <w:r w:rsidRPr="00A57C21">
        <w:rPr>
          <w:b/>
          <w:bCs/>
          <w:color w:val="000000"/>
        </w:rPr>
        <w:t xml:space="preserve">Политическое устройство </w:t>
      </w:r>
      <w:r w:rsidRPr="00A57C21">
        <w:rPr>
          <w:color w:val="000000"/>
        </w:rPr>
        <w:t xml:space="preserve">Исполнительную власть осуществляют президент, вице-президент и правительство во главе с премьер-министром. Президент избирается на пятилетний срок коллегией выборщиков, состоящей из членов обеих палат парламента и членов законодательных собраний штатов. Президент может быть переизбран на второй срок. Вице-президент выбирается коллегией выборщиков на пятилетний период членами обеих палат парламента. Вице-президент является также председателем Совета штатов (верхней палаты парламента). Премьер-министр назначается президентом, однако на этот пост выдвигается лидер партии или коалиции, располагающей большинством мандатов в нижней палате, которой и подотчетно правительство. Кандидатуры министров, которые также официально утверждаются президентом, предлагает премьер. Правительство образует Совет министров, на котором лежит ответственность за работу административной машины и определение государственной политики.  </w:t>
      </w:r>
      <w:r w:rsidRPr="00A57C21">
        <w:rPr>
          <w:rFonts w:ascii="Times New Roman CYR" w:hAnsi="Times New Roman CYR" w:cs="Times New Roman CYR"/>
          <w:b/>
          <w:bCs/>
          <w:color w:val="000000"/>
        </w:rPr>
        <w:t xml:space="preserve">Парламент </w:t>
      </w:r>
      <w:r w:rsidRPr="00A57C21">
        <w:rPr>
          <w:rFonts w:ascii="Times New Roman CYR" w:hAnsi="Times New Roman CYR" w:cs="Times New Roman CYR"/>
          <w:color w:val="000000"/>
        </w:rPr>
        <w:t xml:space="preserve">состоит из двух палат – верхней Раджья Сабха, или Совета штатов, и нижней Лок Сабха, или Народной палаты.  Депутаты Лок Сабха, которых в 1998 насчитывалось 545, выбираются (кроме двух – от общины англо-индийцев) прямым, всеобщим и тайным голосованием в избирательных округах, образуемых в штатах и союзных территориях. Одним из членов парламента является также президент страны. Квота каждой административно-территориальной единицы пропорциональна численности населения. Лок Сабха может выразить вотум недоверия правительству и потребовать его смещения. Нижняя палата избирается сроком на 5 лет, но президент обладает правом распустить ее раньше по рекомендации премьер-министра или в случае отправки правительства в отставку. Законы, имеющие отношение к финансовой сфере, принимает только Лок Сабха.  Максимальное число членов Раджья Сабха 245. Почти все они (за исключением 12) выбираются в законодательных собраниях штатов и союзных территорий. Остальные назначаются президентом с учетом их вклада в литературу, науку, искусство и их общественной деятельности. Раджья Сабха не может быть распущена, но в конце каждого второго года происходит ротация палаты на одну треть. В результате депутатский корпус полностью сменяется через каждые 6 лет. </w:t>
      </w:r>
    </w:p>
    <w:p w:rsidR="007B3DA9" w:rsidRDefault="007B3DA9" w:rsidP="007B3DA9">
      <w:pPr>
        <w:pStyle w:val="a7"/>
      </w:pPr>
    </w:p>
    <w:p w:rsidR="007B3DA9" w:rsidRDefault="007B3DA9" w:rsidP="007B3DA9">
      <w:pPr>
        <w:pStyle w:val="a7"/>
        <w:rPr>
          <w:rFonts w:ascii="Times New Roman CYR" w:hAnsi="Times New Roman CYR" w:cs="Times New Roman CYR"/>
          <w:b/>
          <w:bCs/>
          <w:color w:val="000000"/>
        </w:rPr>
      </w:pPr>
    </w:p>
    <w:p w:rsidR="007B3DA9" w:rsidRPr="00A57C21" w:rsidRDefault="007B3DA9" w:rsidP="007B3DA9">
      <w:pPr>
        <w:pStyle w:val="a7"/>
        <w:jc w:val="center"/>
        <w:rPr>
          <w:b/>
          <w:bCs/>
          <w:color w:val="000000"/>
        </w:rPr>
      </w:pPr>
      <w:r>
        <w:rPr>
          <w:b/>
          <w:bCs/>
          <w:color w:val="000000"/>
        </w:rPr>
        <w:t>Экономические показатели</w:t>
      </w:r>
    </w:p>
    <w:p w:rsidR="007B3DA9" w:rsidRDefault="007B3DA9" w:rsidP="007B3DA9">
      <w:pPr>
        <w:spacing w:before="100" w:beforeAutospacing="1" w:after="100" w:afterAutospacing="1"/>
        <w:rPr>
          <w:color w:val="000000"/>
        </w:rPr>
      </w:pPr>
      <w:r w:rsidRPr="00A57C21">
        <w:rPr>
          <w:b/>
          <w:bCs/>
          <w:i/>
          <w:iCs/>
          <w:color w:val="000000"/>
        </w:rPr>
        <w:t>Внутренний Валовый Продукт по текущим ценам</w:t>
      </w:r>
      <w:r w:rsidRPr="00A57C21">
        <w:rPr>
          <w:b/>
          <w:bCs/>
          <w:color w:val="000000"/>
        </w:rPr>
        <w:t>:</w:t>
      </w:r>
      <w:r w:rsidRPr="00A57C21">
        <w:rPr>
          <w:color w:val="000000"/>
        </w:rPr>
        <w:t xml:space="preserve"> </w:t>
      </w:r>
      <w:r w:rsidRPr="00A57C21">
        <w:rPr>
          <w:color w:val="000000"/>
        </w:rPr>
        <w:br/>
        <w:t>692 млрд. $ США (2004 - 05)</w:t>
      </w:r>
      <w:r w:rsidRPr="00A57C21">
        <w:rPr>
          <w:color w:val="000000"/>
        </w:rPr>
        <w:br/>
      </w:r>
      <w:r w:rsidRPr="00A57C21">
        <w:rPr>
          <w:b/>
          <w:bCs/>
          <w:i/>
          <w:iCs/>
          <w:color w:val="000000"/>
        </w:rPr>
        <w:t>Средний рост Внутренного Валового Продукта:</w:t>
      </w:r>
      <w:r w:rsidRPr="00A57C21">
        <w:rPr>
          <w:color w:val="000000"/>
        </w:rPr>
        <w:t xml:space="preserve"> 7.5 % (2004 – 05)</w:t>
      </w:r>
      <w:r w:rsidRPr="00A57C21">
        <w:rPr>
          <w:color w:val="000000"/>
        </w:rPr>
        <w:br/>
      </w:r>
      <w:r w:rsidRPr="00A57C21">
        <w:rPr>
          <w:b/>
          <w:bCs/>
          <w:i/>
          <w:iCs/>
          <w:color w:val="000000"/>
        </w:rPr>
        <w:t>Размер инфляции по оценкам ВПИ:</w:t>
      </w:r>
      <w:r w:rsidRPr="00A57C21">
        <w:rPr>
          <w:color w:val="000000"/>
        </w:rPr>
        <w:t xml:space="preserve"> 4.5 % (декабрь 2005)</w:t>
      </w:r>
      <w:r w:rsidRPr="00A57C21">
        <w:rPr>
          <w:color w:val="000000"/>
        </w:rPr>
        <w:br/>
      </w:r>
      <w:r w:rsidRPr="00A57C21">
        <w:rPr>
          <w:b/>
          <w:bCs/>
          <w:i/>
          <w:iCs/>
          <w:color w:val="000000"/>
        </w:rPr>
        <w:t>Курс обмена:</w:t>
      </w:r>
      <w:r w:rsidRPr="00A57C21">
        <w:rPr>
          <w:color w:val="000000"/>
        </w:rPr>
        <w:t xml:space="preserve"> 44.20 рупии за 1 $ США (приблизительно) (январь 2006)</w:t>
      </w:r>
      <w:r w:rsidRPr="00A57C21">
        <w:rPr>
          <w:color w:val="000000"/>
        </w:rPr>
        <w:br/>
      </w:r>
      <w:r w:rsidRPr="00A57C21">
        <w:rPr>
          <w:b/>
          <w:bCs/>
          <w:i/>
          <w:iCs/>
          <w:color w:val="000000"/>
        </w:rPr>
        <w:t>Валютный резерв:</w:t>
      </w:r>
      <w:r w:rsidRPr="00A57C21">
        <w:rPr>
          <w:color w:val="000000"/>
        </w:rPr>
        <w:t xml:space="preserve"> 143 млрд.$ США (декабрь 2005)</w:t>
      </w:r>
      <w:r w:rsidRPr="00A57C21">
        <w:rPr>
          <w:color w:val="000000"/>
        </w:rPr>
        <w:br/>
      </w:r>
      <w:r w:rsidRPr="00A57C21">
        <w:rPr>
          <w:b/>
          <w:bCs/>
          <w:i/>
          <w:iCs/>
          <w:color w:val="000000"/>
        </w:rPr>
        <w:t>Экспорт:</w:t>
      </w:r>
      <w:r w:rsidRPr="00A57C21">
        <w:rPr>
          <w:color w:val="000000"/>
        </w:rPr>
        <w:t xml:space="preserve"> 79.2. млрд. $ США (2004 – 05); апрель-декабрь ( FY 2005-06: 66.43 млрд.$ США)</w:t>
      </w:r>
      <w:r w:rsidRPr="00A57C21">
        <w:rPr>
          <w:color w:val="000000"/>
        </w:rPr>
        <w:br/>
      </w:r>
      <w:r w:rsidRPr="00A57C21">
        <w:rPr>
          <w:b/>
          <w:bCs/>
          <w:i/>
          <w:iCs/>
          <w:color w:val="000000"/>
        </w:rPr>
        <w:t>Основной экспорт:</w:t>
      </w:r>
      <w:r w:rsidRPr="00A57C21">
        <w:rPr>
          <w:color w:val="000000"/>
        </w:rPr>
        <w:t xml:space="preserve"> Традиционный экспорт включает в себя хлопковую пряжу, текстильные изделия, одежды, кожевенные товары, драгоценные камни и ювелирные изделия, а также сельскохозяйственные продукты. Однако, орехи кешью, транспортное оборудование, програмное обеспечение, электроника и металлоизделия составляют наиболее быстро растущие статьи экспорта (для более детального ознакомление, посетите </w:t>
      </w:r>
      <w:r w:rsidRPr="00A57C21">
        <w:rPr>
          <w:color w:val="0000FF"/>
          <w:u w:val="single"/>
        </w:rPr>
        <w:t>www.nic.in/commin</w:t>
      </w:r>
      <w:r w:rsidRPr="00A57C21">
        <w:rPr>
          <w:color w:val="000000"/>
        </w:rPr>
        <w:t>).</w:t>
      </w:r>
      <w:r w:rsidRPr="00A57C21">
        <w:rPr>
          <w:color w:val="000000"/>
        </w:rPr>
        <w:br/>
      </w:r>
      <w:r w:rsidRPr="00A57C21">
        <w:rPr>
          <w:b/>
          <w:bCs/>
          <w:i/>
          <w:iCs/>
          <w:color w:val="000000"/>
        </w:rPr>
        <w:t>Основные рынки экспорта:</w:t>
      </w:r>
      <w:r w:rsidRPr="00A57C21">
        <w:rPr>
          <w:color w:val="000000"/>
        </w:rPr>
        <w:t xml:space="preserve"> США, Канада, Соединенное Королевство, Германия, Япония и Бельгия в ОЕСД, Иран, Кувейт и Саудовская Аравия в ОПЕК, Чили, Аргентина, Бразилия и Мексика в Латинской Америке, Китай, Гонконг, Сингапур, Таиланд, Малайзия и Шри Ланка в Азиатском регионе.</w:t>
      </w:r>
      <w:r w:rsidRPr="00A57C21">
        <w:rPr>
          <w:color w:val="000000"/>
        </w:rPr>
        <w:br/>
      </w:r>
      <w:r w:rsidRPr="00A57C21">
        <w:rPr>
          <w:b/>
          <w:bCs/>
          <w:i/>
          <w:iCs/>
          <w:color w:val="000000"/>
        </w:rPr>
        <w:t>Импорт:</w:t>
      </w:r>
      <w:r w:rsidRPr="00A57C21">
        <w:rPr>
          <w:color w:val="000000"/>
        </w:rPr>
        <w:t xml:space="preserve"> 107.9 млрд.$ США (2004 – 05) апрель-декабрь (FY 2005-06: 96.26 млрд.$ США)</w:t>
      </w:r>
      <w:r w:rsidRPr="00A57C21">
        <w:rPr>
          <w:color w:val="000000"/>
        </w:rPr>
        <w:br/>
      </w:r>
      <w:r w:rsidRPr="00A57C21">
        <w:rPr>
          <w:b/>
          <w:bCs/>
          <w:i/>
          <w:iCs/>
          <w:color w:val="000000"/>
        </w:rPr>
        <w:t>Основной импорт:</w:t>
      </w:r>
      <w:r w:rsidRPr="00A57C21">
        <w:rPr>
          <w:b/>
          <w:bCs/>
          <w:color w:val="000000"/>
        </w:rPr>
        <w:t xml:space="preserve"> </w:t>
      </w:r>
      <w:r w:rsidRPr="00A57C21">
        <w:rPr>
          <w:color w:val="000000"/>
        </w:rPr>
        <w:t xml:space="preserve">Средства производства, бензин, нефть и смазочные материалы, драгоценные и полудрагоценные камни, химикаты, пищевое растительное масло и удобрения (для более детального ознокомления, посетите </w:t>
      </w:r>
      <w:r w:rsidRPr="00A57C21">
        <w:rPr>
          <w:color w:val="0000FF"/>
          <w:u w:val="single"/>
        </w:rPr>
        <w:t>www.nic.in/commin</w:t>
      </w:r>
      <w:r w:rsidRPr="00A57C21">
        <w:rPr>
          <w:color w:val="000000"/>
        </w:rPr>
        <w:t>).</w:t>
      </w:r>
      <w:r w:rsidRPr="00A57C21">
        <w:rPr>
          <w:color w:val="000000"/>
        </w:rPr>
        <w:br/>
      </w:r>
      <w:r w:rsidRPr="00A57C21">
        <w:rPr>
          <w:b/>
          <w:bCs/>
          <w:i/>
          <w:iCs/>
          <w:color w:val="000000"/>
        </w:rPr>
        <w:t>Основные рынки импорта:</w:t>
      </w:r>
      <w:r w:rsidRPr="00A57C21">
        <w:rPr>
          <w:i/>
          <w:iCs/>
          <w:color w:val="000000"/>
        </w:rPr>
        <w:t xml:space="preserve"> </w:t>
      </w:r>
      <w:r w:rsidRPr="00A57C21">
        <w:rPr>
          <w:color w:val="000000"/>
        </w:rPr>
        <w:t xml:space="preserve">США, Соединенное Королевство, Япония, Германия в ОЕСД, Иран, Кувейт и Саудовская Аравия в ОПЕК, Бразилия, Чили в Латинской Америке, Египет, Гана, Южно – Африканская Республика в Африке, Китай, Гонконг, Малайзия и Таиланд в Азиатском регионе. </w:t>
      </w:r>
    </w:p>
    <w:p w:rsidR="007B3DA9" w:rsidRPr="00EC080E" w:rsidRDefault="007B3DA9" w:rsidP="007B3DA9">
      <w:pPr>
        <w:spacing w:before="100" w:beforeAutospacing="1" w:after="100" w:afterAutospacing="1"/>
        <w:rPr>
          <w:color w:val="000000"/>
        </w:rPr>
      </w:pPr>
      <w:r w:rsidRPr="00EC080E">
        <w:rPr>
          <w:b/>
          <w:bCs/>
          <w:i/>
          <w:iCs/>
          <w:color w:val="000000"/>
        </w:rPr>
        <w:t xml:space="preserve">Внешний долг Индии: </w:t>
      </w:r>
      <w:r w:rsidRPr="00EC080E">
        <w:rPr>
          <w:color w:val="000000"/>
        </w:rPr>
        <w:t>Отношение внешнего долга к ВВП снизилось от 38.7 % в конце марта 1992 г. до 21.9 % к концу марта 2000. Коэффициент обслуживания внешнего долга, который составлял 35.3 % в 1990-91, постоянно снижался и к 2000 году составил 20%. Кроме того, Индия пользуется преимуществом коэффициента выплаты по внешнему долгу в 4%, самым низким среди других стран должников. (см. таб. №1)</w:t>
      </w:r>
    </w:p>
    <w:p w:rsidR="007B3DA9" w:rsidRPr="00A57C21" w:rsidRDefault="007B3DA9" w:rsidP="007B3DA9">
      <w:pPr>
        <w:spacing w:before="100" w:beforeAutospacing="1" w:after="100" w:afterAutospacing="1"/>
        <w:rPr>
          <w:color w:val="000000"/>
        </w:rPr>
      </w:pPr>
      <w:r w:rsidRPr="00A57C21">
        <w:rPr>
          <w:color w:val="000000"/>
        </w:rPr>
        <w:t xml:space="preserve">Индия вошла в новое тысячелетие с сильными и прочными финансовыми перспективами. Надежность индийской экономики очевидна благодаря стабильности в азиатском рынке. На внешнем фронте экспорт повысился благодаря либерализации торговли, понижению тарифов и большей открытости зарубежным инвестициям в таких секторах интенсивного экспорта, как информационные технологии. Прямые зарубежные инвестиции составили 5.3 млрд. $ США, а 2005 году. Зарубежные непрямые инвестиции (FII) cоставили 10 млрд..$ США Валютный резерв в декабре 2005 года составляет 143 млрд.$ США. </w:t>
      </w:r>
    </w:p>
    <w:p w:rsidR="007B3DA9" w:rsidRPr="00A57C21" w:rsidRDefault="007B3DA9" w:rsidP="007B3DA9">
      <w:pPr>
        <w:spacing w:before="100" w:beforeAutospacing="1" w:after="100" w:afterAutospacing="1"/>
        <w:rPr>
          <w:color w:val="000000"/>
        </w:rPr>
      </w:pPr>
      <w:r w:rsidRPr="00A57C21">
        <w:rPr>
          <w:color w:val="000000"/>
        </w:rPr>
        <w:t xml:space="preserve">Десятилетние реформы являются успешными в очевидном высоком росте внутреннего валового продукта, значительном валютном резерве, умеренной инфляции и растущем экспорте. </w:t>
      </w:r>
    </w:p>
    <w:p w:rsidR="007B3DA9" w:rsidRDefault="007B3DA9" w:rsidP="007B3DA9"/>
    <w:p w:rsidR="007B3DA9" w:rsidRDefault="007B3DA9" w:rsidP="007B3DA9">
      <w:pPr>
        <w:pStyle w:val="a7"/>
        <w:jc w:val="center"/>
        <w:rPr>
          <w:b/>
          <w:bCs/>
          <w:color w:val="000000"/>
        </w:rPr>
      </w:pPr>
    </w:p>
    <w:p w:rsidR="007B3DA9" w:rsidRDefault="007B3DA9" w:rsidP="007B3DA9">
      <w:pPr>
        <w:pStyle w:val="a7"/>
        <w:jc w:val="center"/>
        <w:rPr>
          <w:b/>
          <w:bCs/>
          <w:color w:val="000000"/>
        </w:rPr>
      </w:pPr>
    </w:p>
    <w:p w:rsidR="007B3DA9" w:rsidRPr="00A50338" w:rsidRDefault="007B3DA9" w:rsidP="007B3DA9">
      <w:pPr>
        <w:pStyle w:val="a7"/>
        <w:jc w:val="center"/>
        <w:rPr>
          <w:b/>
          <w:bCs/>
          <w:color w:val="000000"/>
        </w:rPr>
      </w:pPr>
      <w:r w:rsidRPr="00A50338">
        <w:rPr>
          <w:b/>
          <w:bCs/>
          <w:color w:val="000000"/>
        </w:rPr>
        <w:t>Отрасли промышленности, с/х. и сферы услуг</w:t>
      </w:r>
    </w:p>
    <w:p w:rsidR="007B3DA9" w:rsidRPr="00A50338" w:rsidRDefault="007B3DA9" w:rsidP="007B3DA9">
      <w:pPr>
        <w:spacing w:before="100" w:beforeAutospacing="1" w:after="100" w:afterAutospacing="1"/>
        <w:rPr>
          <w:color w:val="000000"/>
        </w:rPr>
      </w:pPr>
      <w:r w:rsidRPr="00A50338">
        <w:rPr>
          <w:b/>
          <w:bCs/>
          <w:color w:val="000000"/>
        </w:rPr>
        <w:t>Нефть и природный газ</w:t>
      </w:r>
      <w:r w:rsidRPr="00A50338">
        <w:rPr>
          <w:color w:val="000000"/>
        </w:rPr>
        <w:br/>
        <w:t xml:space="preserve">Индия является восьмым по величине потребителем нефти в мире и владеет 3.12 млн.кв.км. земель осадочных бассейнов. Спрос на сырую нефть возрастет вдвое, от 91 млн. метрических тонн в 2003-04 до 190 млн. метрических тонн в год к 2011 – 2012 гг. Внутреннее производство, однако, составляет только 34 млн. тонн. Мощность переработки сырой нефти близка к 170 млн. метрических тонн в год. Общая протяжённость газовых и нефтяных трубопроводов в Индии составляет около 9,000 км. Потребности в газе в Индии составляют 65 млрд.куб.м при собственном производстве только 23 млрд.куб.м. Однако, открытие огромных газовых запасов в бассейне Кришна-Годавари в прошлом году имеет огромное значение. В последнее время Индия делает всё от неё зависящее, чтобы сберечь свои энергетические запасы. Чтобы удовлетворить необходимые потребности в следующие 10 – 15 лет, понадобятся инвестиции в размере 100 – 150 млрд.$ США. ONGC, Правительственное предприятие инвестирует почти 5 млрд.долларов США в год для разведки/производства нефти в России, Австралии, Египте, Катаре, Иране,Кубе, Сирии, Судане, Берега Слоновой Кости, Мьянмара и Вьетнама. </w:t>
      </w:r>
    </w:p>
    <w:p w:rsidR="007B3DA9" w:rsidRPr="00A50338" w:rsidRDefault="007B3DA9" w:rsidP="007B3DA9">
      <w:pPr>
        <w:pStyle w:val="a7"/>
        <w:rPr>
          <w:b/>
          <w:bCs/>
          <w:color w:val="000000"/>
        </w:rPr>
      </w:pPr>
      <w:r w:rsidRPr="00A50338">
        <w:rPr>
          <w:b/>
          <w:bCs/>
          <w:color w:val="000000"/>
        </w:rPr>
        <w:t>Лекарства и медикаменты</w:t>
      </w:r>
    </w:p>
    <w:p w:rsidR="007B3DA9" w:rsidRPr="00A50338" w:rsidRDefault="007B3DA9" w:rsidP="007B3DA9">
      <w:pPr>
        <w:pStyle w:val="a7"/>
        <w:jc w:val="both"/>
        <w:rPr>
          <w:b/>
          <w:bCs/>
          <w:color w:val="000000"/>
        </w:rPr>
      </w:pPr>
      <w:r w:rsidRPr="00A50338">
        <w:rPr>
          <w:color w:val="000000"/>
        </w:rPr>
        <w:t>По объему Индия является пятым фармацевтическим рынком в мире. Фармацевтический рынок Индии оценивается в 7 млрд. долларов США за 2005 финансовый год. Ожидается, что он возрастёт до 12 млрд. долларов США к 2008 г. Цель фармацевтической политики Правительства Индии состоит в том, чтобы обеспечить необходимыми и жизненно важными медикаментами высокого качества по умеренным ценам и укрепить местную основу производства. В 2004-05 финансовом году Индия экспортировала основные лекарства на более, чем 2.5.млрд. долларов США. Некоторые индийские компании имеют свои представительства в 60 странах, включая США, Европу и Китай.</w:t>
      </w:r>
    </w:p>
    <w:p w:rsidR="007B3DA9" w:rsidRDefault="007B3DA9" w:rsidP="007B3DA9">
      <w:pPr>
        <w:spacing w:before="100" w:beforeAutospacing="1" w:after="100" w:afterAutospacing="1"/>
        <w:rPr>
          <w:color w:val="000000"/>
        </w:rPr>
      </w:pPr>
      <w:r w:rsidRPr="00A50338">
        <w:rPr>
          <w:b/>
          <w:bCs/>
          <w:color w:val="000000"/>
        </w:rPr>
        <w:t>Информационная Технология и Электроника</w:t>
      </w:r>
      <w:r w:rsidRPr="00A50338">
        <w:rPr>
          <w:color w:val="000000"/>
        </w:rPr>
        <w:br/>
        <w:t xml:space="preserve">Сектор программного обеспечения продолжает вносить вклад в основную часть дохода информационных технологий Индии. Сеть базовых пользователей в Индии в настоящее время составляет 40 миллионов и ожидается, что эта цифра достигнет 100 млн. к 2007 г. В 2005 г. экспорт информационных технологий составил 23 млрд. долларов США. Ожидается доход от этого сектора равный 60 млрд. долларов США к 2010. Индустрия информационных технологий насчитывает свыше 150 основных производителей оснащения, к которым присоединяются свыше 800 дополнительных единиц, занимающихся сборкой и производством оборудования. </w:t>
      </w:r>
    </w:p>
    <w:p w:rsidR="007B3DA9" w:rsidRPr="008523DC" w:rsidRDefault="007B3DA9" w:rsidP="007B3DA9">
      <w:pPr>
        <w:spacing w:before="100" w:beforeAutospacing="1" w:after="100" w:afterAutospacing="1"/>
        <w:rPr>
          <w:color w:val="000000"/>
        </w:rPr>
      </w:pPr>
      <w:r w:rsidRPr="00354754">
        <w:rPr>
          <w:b/>
          <w:bCs/>
          <w:color w:val="000000"/>
        </w:rPr>
        <w:t>Туризм</w:t>
      </w:r>
      <w:r w:rsidRPr="00354754">
        <w:rPr>
          <w:color w:val="000000"/>
        </w:rPr>
        <w:br/>
        <w:t xml:space="preserve">Туризм это 3-я по величине сеть, которая приносит валюту Индии и, в настоящее время, туристическая отрасль дает 6% к Внутреннему Валовому Продукту. Путешествия и туризм в Индии составляют 32 млрд. долларов США, а валютный доход от туризма в 2005 г. составил 4.8 млрд. долларов США. Туризм очень приоритетная отрасль в Индии и все усилия направлены на его быстрое развитие. В секторе отелей и туризма можно получить автоматическое одобрение для иностранной инвестиции до 100%. </w:t>
      </w:r>
    </w:p>
    <w:p w:rsidR="007B3DA9" w:rsidRPr="00A50338" w:rsidRDefault="007B3DA9" w:rsidP="007B3DA9">
      <w:pPr>
        <w:pStyle w:val="a7"/>
        <w:rPr>
          <w:color w:val="000000"/>
        </w:rPr>
      </w:pPr>
      <w:r w:rsidRPr="00A50338">
        <w:rPr>
          <w:b/>
          <w:bCs/>
          <w:color w:val="000000"/>
        </w:rPr>
        <w:t>Переработка Пищевых Продуктов</w:t>
      </w:r>
      <w:r w:rsidRPr="00A50338">
        <w:rPr>
          <w:color w:val="000000"/>
        </w:rPr>
        <w:br/>
        <w:t>Индия является одним из ведущих производителей пищевых продуктов в мире. Переработка пищевых продуктов в Индии составляет 70 млрд. $ США, включая продуктов с наценкой 22 млрд. $ США. Экспорт пищевых продуктов составляет около 120 млрд. рупии в год и является 18 % общего экспорта. Обьем полуфабрикатов и готовых пищевых продуктов составляет более 1 млрд. $ США с ростом более чем на 20 %. Правительство Индии предприняло некоторые ключевые инициативы в поддержку иностранных инвестиций в этом секторе</w:t>
      </w:r>
    </w:p>
    <w:p w:rsidR="007B3DA9" w:rsidRPr="00A50338" w:rsidRDefault="007B3DA9" w:rsidP="007B3DA9">
      <w:pPr>
        <w:pStyle w:val="a7"/>
        <w:rPr>
          <w:color w:val="000000"/>
        </w:rPr>
      </w:pPr>
      <w:r w:rsidRPr="00A50338">
        <w:rPr>
          <w:b/>
          <w:bCs/>
          <w:color w:val="000000"/>
        </w:rPr>
        <w:t>Телекоммуникация</w:t>
      </w:r>
      <w:r w:rsidRPr="00A50338">
        <w:rPr>
          <w:color w:val="000000"/>
        </w:rPr>
        <w:br/>
        <w:t>Индия владеет 8 по величине телекоммуникационной сетью в мире и 3 среди процветающих экономик. Этот сектор ежегодно в среднем растет на 22 % по основным услугам и более чем на 100 % по сотовым услугам и интернету. Инвестиционная потребность этого сектора около 37 млрд. $ США к 2005 году и около 69 млрд. $ США к 2010 году. Были учреждены основной независимый орган контроля (Орган Контроля Связи Индии) и орган улаживания разногласий (Апелляционный Суд Улаживания Разногласий Связи). В определенных районах телекоммуникационного сектора, Прямая Иностранная Инвестиции разрешена до 100%.</w:t>
      </w:r>
    </w:p>
    <w:p w:rsidR="007B3DA9" w:rsidRPr="00A50338" w:rsidRDefault="007B3DA9" w:rsidP="007B3DA9">
      <w:pPr>
        <w:pStyle w:val="a7"/>
        <w:rPr>
          <w:color w:val="000000"/>
        </w:rPr>
      </w:pPr>
      <w:r w:rsidRPr="00A50338">
        <w:rPr>
          <w:b/>
          <w:bCs/>
          <w:color w:val="000000"/>
        </w:rPr>
        <w:t>Драгоценные камни и ювелирные изделия</w:t>
      </w:r>
      <w:r w:rsidRPr="00A50338">
        <w:rPr>
          <w:color w:val="000000"/>
        </w:rPr>
        <w:br/>
        <w:t>Драгоценные камни и ювелирная промышленность Индии являются важным вкладом во внутренний валовой продукт. За 2004-05 г. экспорт перевалил за 13 млрд.$ США. Индия во всём мире известна, как страна, где обрабатывают и полируют бриллианты и более 80% драгоценных камней обрабатываются в Индии.</w:t>
      </w:r>
    </w:p>
    <w:p w:rsidR="007B3DA9" w:rsidRPr="00A50338" w:rsidRDefault="007B3DA9" w:rsidP="007B3DA9">
      <w:pPr>
        <w:pStyle w:val="a7"/>
        <w:rPr>
          <w:color w:val="000000"/>
        </w:rPr>
      </w:pPr>
      <w:r w:rsidRPr="00A50338">
        <w:rPr>
          <w:b/>
          <w:bCs/>
          <w:color w:val="000000"/>
        </w:rPr>
        <w:t>Энергетика</w:t>
      </w:r>
      <w:r w:rsidRPr="00A50338">
        <w:rPr>
          <w:color w:val="000000"/>
        </w:rPr>
        <w:br/>
        <w:t>Энергетический сектор Индии состоит из гидро, термального, ядерного и ветрового источников, генерировавших 105,656 мегаватт в 2002 г</w:t>
      </w:r>
      <w:r w:rsidR="00E24F32">
        <w:rPr>
          <w:color w:val="000000"/>
        </w:rPr>
        <w:t>. и</w:t>
      </w:r>
      <w:r w:rsidRPr="00A50338">
        <w:rPr>
          <w:color w:val="000000"/>
        </w:rPr>
        <w:t>, предполагается, что к 2012 эта цифра достигнет 212,000 мегаватт. В настоящее время электромощность составляет 131,000 мегаватт. Это ведет к массивным инвестициям в 200 млрд. $ США для пополнения энергетической емкости, передачи и системы распределения. Правительственная политика энергетического сектора старается привлечь значительные инвестиции частного сектора. Частному сектору разрешено организовать термальные проекты жидких основ, газа, угля, и проекты по воде, ветру и солнцу любого объема. Для Прямых Иностранных Инвестиций в этих проектах нет ограничений, связанных с накоплением, передачей и распределением электричества.</w:t>
      </w:r>
    </w:p>
    <w:p w:rsidR="007B3DA9" w:rsidRPr="00A50338" w:rsidRDefault="007B3DA9" w:rsidP="007B3DA9">
      <w:pPr>
        <w:spacing w:before="100" w:beforeAutospacing="1" w:after="100" w:afterAutospacing="1"/>
        <w:rPr>
          <w:color w:val="000000"/>
        </w:rPr>
      </w:pPr>
      <w:r w:rsidRPr="00A50338">
        <w:rPr>
          <w:b/>
          <w:bCs/>
          <w:color w:val="000000"/>
        </w:rPr>
        <w:t>Текстиль</w:t>
      </w:r>
      <w:r w:rsidRPr="00A50338">
        <w:rPr>
          <w:color w:val="000000"/>
        </w:rPr>
        <w:br/>
        <w:t>Текстильная промышленность занимает важное место в экономике Индии и вносит значительный вклад в занятость населения и экспортные приобретения. Индия является вторым в мире производителем шёлка, важным производителем джута и одной из самых больших производительных баз хлопка. Индия является также большим экспортёром хлопковой пряжи, что составляет 25% от мировой доли. Экспорт текстиля составляет почти 14 миллиардов долларов США.</w:t>
      </w:r>
    </w:p>
    <w:p w:rsidR="007B3DA9" w:rsidRPr="00A50338" w:rsidRDefault="007B3DA9" w:rsidP="007B3DA9">
      <w:pPr>
        <w:spacing w:before="100" w:beforeAutospacing="1" w:after="100" w:afterAutospacing="1"/>
        <w:rPr>
          <w:color w:val="000000"/>
        </w:rPr>
      </w:pPr>
      <w:r w:rsidRPr="00A50338">
        <w:rPr>
          <w:b/>
          <w:bCs/>
          <w:color w:val="000000"/>
        </w:rPr>
        <w:t>Автопромышленность</w:t>
      </w:r>
      <w:r w:rsidRPr="00A50338">
        <w:rPr>
          <w:color w:val="000000"/>
        </w:rPr>
        <w:br/>
        <w:t>Отличный менеджмент, высокая производительность и опыт привели в Индию увеличивающееся число мировых производителей автомобилей. Судзуки и Хундай создали в Индии центр экспорта своих всемирно известных автомобилей.</w:t>
      </w:r>
      <w:r w:rsidRPr="00A50338">
        <w:rPr>
          <w:color w:val="000000"/>
        </w:rPr>
        <w:br/>
        <w:t>Собственность Индии Тата Моторс экспортирует Сити Ровер автомобили в Ровер (Соединённое Королевство). Дженерал Моторс, Форд, Даймлер Крайслер, Фиат, Тойота, а недавно и БМВ учредили свои заводы по производству автомобилей и комплектующих в Индии. Свыше миллиона автомобилей были произведены в 2005 г. Экспорт комплектующих составляет примерно 3 млрд. долларов США в год.</w:t>
      </w:r>
    </w:p>
    <w:p w:rsidR="007B3DA9" w:rsidRPr="00A50338" w:rsidRDefault="007B3DA9" w:rsidP="007B3DA9">
      <w:pPr>
        <w:pStyle w:val="a7"/>
        <w:rPr>
          <w:color w:val="000000"/>
        </w:rPr>
      </w:pPr>
      <w:r w:rsidRPr="00A50338">
        <w:rPr>
          <w:b/>
          <w:bCs/>
          <w:color w:val="000000"/>
        </w:rPr>
        <w:t>Телекоммуникации</w:t>
      </w:r>
      <w:r w:rsidRPr="00A50338">
        <w:rPr>
          <w:color w:val="000000"/>
        </w:rPr>
        <w:br/>
        <w:t>Индия владеет 8 по величине телекоммуникационной сетью в мире и 3 среди процветающих экономик. Этот сектор ежегодно в среднем растет на 22 % по основным услугам и более чем на 100 % по сотовым и интернет услугам. Общее число телефонных линий составляет 116 миллионов, из которых 68 миллионов являются мобильными. Ожидается, что оборот телефонной связи увеличится с 8.6 млрд. долларов США в 2003 г. до 13 млрд. долларов США к 2007 г. Инвестиционная потребность этого сектора около 69 млрд. $ США к 2010 году. Были учреждены независимый основной орган контроля (Орган Контроля Связи Индии) и орган урегулирования разногласий (Апелляционный Суд Урегулирования Разногласий Связи). В определенных районах телекоммуникационного сектора, Прямая Иностранная Инвестиции разрешена до 100%.</w:t>
      </w:r>
    </w:p>
    <w:p w:rsidR="007B3DA9" w:rsidRPr="00A50338" w:rsidRDefault="007B3DA9" w:rsidP="007B3DA9">
      <w:pPr>
        <w:spacing w:before="100" w:beforeAutospacing="1" w:after="100" w:afterAutospacing="1"/>
        <w:rPr>
          <w:color w:val="000000"/>
        </w:rPr>
      </w:pPr>
      <w:r w:rsidRPr="00A50338">
        <w:rPr>
          <w:b/>
          <w:bCs/>
          <w:color w:val="000000"/>
        </w:rPr>
        <w:t>Гражданская Авиация</w:t>
      </w:r>
      <w:r w:rsidRPr="00A50338">
        <w:rPr>
          <w:color w:val="000000"/>
        </w:rPr>
        <w:br/>
        <w:t>Индия имеет сильную инфраструктуру гражданской авиации с 19 международными и 87 внутренними аэропортами. Внутренние авиационные услуги были либерализованы в 1994 году. В настоящее время действуют 12 плановых частных операторов и 22 неплановых операторов. В 2004-05 году авиалинии Индии перевезли около 60 млн. пассажиров. Аэропорты в Дели и Мумбае модернизируются и к 2010 смогут пропускать 75 миллионов пассажиров в год в Дели и 28 миллионов в Мумбае. Правительство Индии посредством гибкого подхода по сращению капитала, также поддерживает участие частного сектора в строительстве и приведении в действие новых аэропортов.</w:t>
      </w:r>
    </w:p>
    <w:p w:rsidR="007B3DA9" w:rsidRPr="00A50338" w:rsidRDefault="007B3DA9" w:rsidP="007B3DA9">
      <w:pPr>
        <w:spacing w:before="100" w:beforeAutospacing="1" w:after="100" w:afterAutospacing="1"/>
        <w:rPr>
          <w:color w:val="000000"/>
        </w:rPr>
      </w:pPr>
    </w:p>
    <w:p w:rsidR="007B3DA9" w:rsidRPr="00A50338" w:rsidRDefault="007B3DA9" w:rsidP="007B3DA9">
      <w:pPr>
        <w:spacing w:before="100" w:beforeAutospacing="1" w:after="100" w:afterAutospacing="1"/>
        <w:rPr>
          <w:color w:val="000000"/>
        </w:rPr>
      </w:pPr>
      <w:r w:rsidRPr="00A50338">
        <w:rPr>
          <w:b/>
          <w:bCs/>
          <w:color w:val="000000"/>
        </w:rPr>
        <w:t>Сельское хозяйство</w:t>
      </w:r>
      <w:r w:rsidRPr="00A50338">
        <w:rPr>
          <w:color w:val="000000"/>
        </w:rPr>
        <w:br/>
        <w:t xml:space="preserve">Сельскохозяйственный сектор, который долгое время являлся опорой экономики Индии, сейчас составляет только около 22% ВВП и более 50% населения Индии работают в этом секторе. Несколько лет после обретения независимости Индия зависела от помощи других стран из – за нехватки пищевых продуктов, но за последние 40 лет производство пищевых продуктов устойчиво растет, в основном, благодаря расширению оросительных земель и широкому использованию высококачественных, урожайных семян, удобрений и пестицидов. Индия имеет огромный запас зерновых культур (около 19 млн. тонн), а также является экспортером зерновых культур. Доходная часть, особенно чай и кофе, являются главным экспортом. Индия является самым большим производителем чая в мире, ежегодное производство около 470 млн. тонн, 200 млн. тонн которого экспортируется. Индия также содержит около 30 % мирового рынка специй, с экспортом около 120, 000 тонн в год. </w:t>
      </w:r>
    </w:p>
    <w:p w:rsidR="007B3DA9" w:rsidRPr="00A50338" w:rsidRDefault="007B3DA9" w:rsidP="007B3DA9">
      <w:pPr>
        <w:spacing w:before="100"/>
        <w:ind w:left="100" w:right="100" w:firstLine="397"/>
        <w:jc w:val="both"/>
        <w:rPr>
          <w:color w:val="000000"/>
        </w:rPr>
      </w:pPr>
      <w:r w:rsidRPr="00A50338">
        <w:rPr>
          <w:b/>
          <w:bCs/>
          <w:color w:val="000000"/>
        </w:rPr>
        <w:t xml:space="preserve"> </w:t>
      </w:r>
      <w:r w:rsidRPr="00A50338">
        <w:rPr>
          <w:color w:val="000000"/>
        </w:rPr>
        <w:t>Рост ВВП для сельского хозяйства и связанной с ним экономической деятельности в 2000-01 гг. значительно сократился и упал до 0.9%. С целью к укреплению сектора, формированию инфраструктуры для обработки, транспортировки и хранения зерна и продовольствия был предоставлен статус инфраструктуры, что предполагает освобождение от налогов. К тому же, производители продовольствия и овощей освобожденны от режима акциза.</w:t>
      </w:r>
    </w:p>
    <w:p w:rsidR="007B3DA9" w:rsidRPr="00A50338" w:rsidRDefault="007B3DA9" w:rsidP="007B3DA9">
      <w:pPr>
        <w:pStyle w:val="a7"/>
        <w:rPr>
          <w:color w:val="000000"/>
        </w:rPr>
      </w:pPr>
      <w:r w:rsidRPr="00A50338">
        <w:rPr>
          <w:b/>
          <w:bCs/>
          <w:color w:val="000000"/>
        </w:rPr>
        <w:t xml:space="preserve">Лесное хозяйство. </w:t>
      </w:r>
      <w:bookmarkStart w:id="2" w:name="1007253-L-154"/>
      <w:bookmarkEnd w:id="2"/>
      <w:r w:rsidRPr="00A50338">
        <w:rPr>
          <w:color w:val="000000"/>
        </w:rPr>
        <w:t xml:space="preserve">Леса, преимущественно в горных и холмистых районах, занимают площадь ок. 650 тыс. кв. км, или ок. 19% территории страны, причем лишь на 55% этих земель сохранились густые древостои. 3/4 лесных массивов доступны для эксплуатации и служат источником доходов. Половина всех лесов сосредоточена в центральных штатах, еще треть на севере и пятая часть на юге Индии. 95% лесов находится в собственности государства. </w:t>
      </w:r>
    </w:p>
    <w:p w:rsidR="007B3DA9" w:rsidRPr="00A50338" w:rsidRDefault="007B3DA9" w:rsidP="007B3DA9">
      <w:pPr>
        <w:pStyle w:val="a7"/>
        <w:rPr>
          <w:color w:val="000000"/>
        </w:rPr>
      </w:pPr>
      <w:r w:rsidRPr="00A50338">
        <w:rPr>
          <w:color w:val="000000"/>
        </w:rPr>
        <w:t xml:space="preserve">Леса обеспечивают внутренние потребности в смоле и канифоли, бамбуке и тростнике, кормах для скота, дровах и строевой древесине. Некоторые древесные породы заготавливают в расчете на зарубежный спрос. Экспортируются также фанера и шеллак. </w:t>
      </w:r>
    </w:p>
    <w:p w:rsidR="007B3DA9" w:rsidRDefault="007B3DA9" w:rsidP="007B3DA9">
      <w:pPr>
        <w:spacing w:before="100" w:beforeAutospacing="1" w:after="100" w:afterAutospacing="1"/>
        <w:rPr>
          <w:color w:val="000000"/>
        </w:rPr>
      </w:pPr>
      <w:r w:rsidRPr="00A50338">
        <w:rPr>
          <w:b/>
          <w:bCs/>
          <w:color w:val="000000"/>
        </w:rPr>
        <w:t>Переработка пищевых продуктов</w:t>
      </w:r>
      <w:r w:rsidRPr="00A50338">
        <w:rPr>
          <w:color w:val="000000"/>
        </w:rPr>
        <w:br/>
        <w:t xml:space="preserve">Индия является одной из ведущих стран, занимающихся переработкой пищевых продуктов. Переработка продуктов питания в индустрии Индии составляет 70 млрд. $ США, включая 22 млрд. $ США –добавочных продуктов. Экспорт пищевых и переработанных пищевых продуктов во время 2004-05 составляло 8.0 млрд. $ США. Сектор переработки пищевых продуктов был объявлен приоритетным и инвестиции в размере 28 млрд. $ США необходимы для удовлетворения возрастающего спроса в переработанных продуктах, вызванного быстрой урбанизацией и уровнем доходов. Эта промышленность является привлекательным конечным пунктом назначения для Зарубежных Прямых Инвестиций (FDI). </w:t>
      </w:r>
    </w:p>
    <w:p w:rsidR="007B3DA9" w:rsidRPr="00A50338" w:rsidRDefault="007B3DA9" w:rsidP="007B3DA9">
      <w:pPr>
        <w:spacing w:before="100" w:beforeAutospacing="1" w:after="100" w:afterAutospacing="1"/>
        <w:rPr>
          <w:color w:val="000000"/>
        </w:rPr>
      </w:pPr>
      <w:r w:rsidRPr="00A50338">
        <w:rPr>
          <w:b/>
          <w:bCs/>
          <w:color w:val="000000"/>
        </w:rPr>
        <w:t>Производственный сектор</w:t>
      </w:r>
      <w:r w:rsidRPr="00A50338">
        <w:rPr>
          <w:color w:val="000000"/>
        </w:rPr>
        <w:br/>
        <w:t xml:space="preserve">После десятилетия реформ, производственный сектор растёт, принимая вызов нового тысячелетия. Инвестиции в индийские компании достигли рекордного уровня к 1994 году, когда многие международные компании решили открыть свои магазины, пользуясь улучшением финансового климата. Для дальнейшего развития промышленного производственного сектора, Зарубежным Прямым Инвестициям (FDI), почти для всех промышленных компаний было разрешено с определенными ограничениями пройти по автоматическому маршруту. Структурные реформы были предприняты в режиме акцизного сбора, с целью введения единого тарифа и упрощения правил и процедур. Индийским филиалам международных многонациональных компаний было разрешено заплатить учредителям за лицензию международных марок, и т.п. Компании в производственном секторе сгруппировались вокруг своей зоны компетентности, связавшись с иностранными компаниями с целью приобретения новых технологий, опыта по менеджменту и доступа к иностранным рынкам. Прибыли от производства сделали Индию предпочтительной страной для производства и источником мировых рынков. . </w:t>
      </w:r>
    </w:p>
    <w:p w:rsidR="007B3DA9" w:rsidRPr="00A50338" w:rsidRDefault="007B3DA9" w:rsidP="007B3DA9">
      <w:pPr>
        <w:spacing w:before="100" w:beforeAutospacing="1" w:after="100" w:afterAutospacing="1"/>
        <w:rPr>
          <w:color w:val="000000"/>
        </w:rPr>
      </w:pPr>
      <w:r w:rsidRPr="00A50338">
        <w:rPr>
          <w:b/>
          <w:bCs/>
          <w:color w:val="000000"/>
        </w:rPr>
        <w:t>Финансовый сектор</w:t>
      </w:r>
      <w:r w:rsidRPr="00A50338">
        <w:rPr>
          <w:color w:val="000000"/>
        </w:rPr>
        <w:br/>
        <w:t>Обширный финансовый и банковский сектор поддерживает быстрорастущую экономику Индии. Более того, Индия имеет хороший сырьевой рынок, включающий в себя 23 биржи, более 9,000 компаний. Индийский капитал быстро движется по направлению к рынку, что является современным в условиях настоящей инфраструктуры, а также в лучших традициях международной практики. В дополнение, 26% зарубежных акций без фиксированного дивиденда было разрешено ввести в страховой сектор. В соответствии со списком бирж, перечисленных в Национальной Бирже, общий рынок капитализации на 31 января 2006 г. составлял.593.86 миллиардов долларов США.</w:t>
      </w:r>
    </w:p>
    <w:p w:rsidR="007B3DA9" w:rsidRPr="00A50338" w:rsidRDefault="007B3DA9" w:rsidP="007B3DA9">
      <w:pPr>
        <w:spacing w:before="100" w:beforeAutospacing="1" w:after="100" w:afterAutospacing="1"/>
        <w:rPr>
          <w:color w:val="000000"/>
        </w:rPr>
      </w:pPr>
      <w:r w:rsidRPr="00A50338">
        <w:rPr>
          <w:b/>
          <w:bCs/>
          <w:color w:val="000000"/>
        </w:rPr>
        <w:t>Сектор обслуживания</w:t>
      </w:r>
      <w:r w:rsidRPr="00A50338">
        <w:rPr>
          <w:color w:val="000000"/>
        </w:rPr>
        <w:br/>
        <w:t xml:space="preserve">Обслуживание составляет 56% </w:t>
      </w:r>
      <w:r>
        <w:rPr>
          <w:color w:val="000000"/>
        </w:rPr>
        <w:t>ВВП</w:t>
      </w:r>
      <w:r w:rsidRPr="00A50338">
        <w:rPr>
          <w:color w:val="000000"/>
        </w:rPr>
        <w:t xml:space="preserve"> Индии. Это - высокопрофессиональный сектор, который дает основной толчок экономике. Индия стала главной силой в секторе Информационной Технологии с более чем 220 компаниями из «500 успешных компаний», пользующимися услугами программного обеспечения Индии. Многие международные компании, осознав соотношение цен и базу высокопрофессиональной рабочей силы в Индии, основали акционерные организации и центры в этой стране для удовлетворения своих нужд по всему миру.</w:t>
      </w:r>
    </w:p>
    <w:p w:rsidR="007B3DA9" w:rsidRPr="00A50338" w:rsidRDefault="007B3DA9" w:rsidP="007B3DA9">
      <w:pPr>
        <w:spacing w:before="100" w:beforeAutospacing="1" w:after="100" w:afterAutospacing="1"/>
        <w:rPr>
          <w:color w:val="000000"/>
        </w:rPr>
      </w:pPr>
      <w:r w:rsidRPr="00A50338">
        <w:rPr>
          <w:b/>
          <w:bCs/>
          <w:color w:val="000000"/>
        </w:rPr>
        <w:t>Сектор Инфраструктуры</w:t>
      </w:r>
      <w:r w:rsidRPr="00A50338">
        <w:rPr>
          <w:color w:val="000000"/>
        </w:rPr>
        <w:br/>
        <w:t xml:space="preserve">Сегодня Индия имеет обширную инфраструктуру в следующих областях: гражданская авиация, железные дороги, судоходство, телекоммуникации и электроэнергия, она также владеет самой большой в мире сетью автодорог. Индия достигла больших успехов в области авиационно-космической и ракетной технологий. Первый полет геостационарного спутника был успешно выполнен в апреле 2001 года в центре SHAR, Срихарикоте. Индия готовится запустить свой первый спутник на луну Чандраяан-1, который должен быть готов в 2007 или начале 2008г. Правительство Индии постепенно снижает свою роль «единственного поставщика» средств инфраструктуры, что отмечается прогрессивной корпоратизацией в сферах телекоммуникации, введение новой регуляции во внутренних, междугородных службах, предложения разнообразить правительственные акции в национальных авиалайнерах, разрешение местным самолётам летать за рубеж и приватизация железными дорогами контейнерной службы. </w:t>
      </w:r>
    </w:p>
    <w:p w:rsidR="007B3DA9" w:rsidRPr="00A50338" w:rsidRDefault="007B3DA9" w:rsidP="007B3DA9">
      <w:pPr>
        <w:spacing w:before="100" w:beforeAutospacing="1" w:after="100" w:afterAutospacing="1"/>
        <w:rPr>
          <w:color w:val="000000"/>
        </w:rPr>
      </w:pPr>
      <w:r w:rsidRPr="00A50338">
        <w:rPr>
          <w:color w:val="000000"/>
        </w:rPr>
        <w:t>«План Золотого Квадрата» (5850 км, стоимостью 12.6 млрд. долларов США) в соответствии с которым будут связаны четыре метрополя, города Дели, Мумбай, Ченнай и Кольката посредством современных автобанов, должен быть завершён к 2007 г. Также сооружаются автобан Север-Юг (Сринагар - Каньякумари) и Запад-Восток (Силчар-Порбандар), протяжённостью 10,000 км. Ещё один проект был запущен в январе 2004 г. В соответствии с ним все основные города будут соединены 10, 000 км дорогой. Стоимость этого проекта составляет 9 млрд. долларов США. Индия насчитывает 3, 300,000 км автодорог и 63, 000 железных дорог.</w:t>
      </w:r>
    </w:p>
    <w:p w:rsidR="007B3DA9" w:rsidRPr="00A50338" w:rsidRDefault="007B3DA9" w:rsidP="007B3DA9">
      <w:pPr>
        <w:spacing w:before="100" w:beforeAutospacing="1" w:after="100" w:afterAutospacing="1"/>
        <w:rPr>
          <w:color w:val="000000"/>
        </w:rPr>
      </w:pPr>
      <w:r w:rsidRPr="00A50338">
        <w:rPr>
          <w:color w:val="000000"/>
        </w:rPr>
        <w:t>В Индии 12 больших портов, а также. 184 порта средней величины, девять верфей и 7517 км береговой линии. Примерно 140 корабельных компаний действуют в Индии. Проект «Сагар Мала», начатый в августе 2003 г. для расширения и модернизации портов, навигации и морского транспорта потребовал инвестиций 22 млрд. долларов США за период 10 лет. В то время, как Правительство инвестировало 15%,частный сектор позаботился об остальном. Ожидается, что объём грузоперевозок возрастёт до 565 миллионов тонн в 2006-2007 г. по сравнению с 412 млн. тонн в 2002-03 г.</w:t>
      </w:r>
    </w:p>
    <w:p w:rsidR="007B3DA9" w:rsidRPr="00A50338" w:rsidRDefault="007B3DA9" w:rsidP="007B3DA9">
      <w:pPr>
        <w:spacing w:before="100" w:beforeAutospacing="1" w:after="100" w:afterAutospacing="1"/>
        <w:rPr>
          <w:color w:val="000000"/>
        </w:rPr>
      </w:pPr>
      <w:r w:rsidRPr="00A50338">
        <w:rPr>
          <w:color w:val="000000"/>
        </w:rPr>
        <w:t>К 2008 г. только развитие автодорог потребует инвестиций,, равных 24 млрд. долларов, а железнодорожный сектор 22 млрд. долларов США в следующие 10 лет.</w:t>
      </w:r>
    </w:p>
    <w:p w:rsidR="007B3DA9" w:rsidRDefault="007B3DA9" w:rsidP="007B3DA9">
      <w:pPr>
        <w:jc w:val="center"/>
        <w:rPr>
          <w:b/>
          <w:bCs/>
          <w:color w:val="000000"/>
        </w:rPr>
      </w:pPr>
    </w:p>
    <w:p w:rsidR="007B3DA9" w:rsidRDefault="007B3DA9" w:rsidP="007B3DA9">
      <w:pPr>
        <w:jc w:val="center"/>
        <w:rPr>
          <w:b/>
          <w:bCs/>
          <w:color w:val="000000"/>
        </w:rPr>
      </w:pPr>
    </w:p>
    <w:p w:rsidR="007B3DA9" w:rsidRDefault="007B3DA9" w:rsidP="007B3DA9">
      <w:pPr>
        <w:jc w:val="center"/>
        <w:rPr>
          <w:b/>
          <w:bCs/>
          <w:color w:val="000000"/>
        </w:rPr>
      </w:pPr>
    </w:p>
    <w:p w:rsidR="007B3DA9" w:rsidRDefault="007B3DA9" w:rsidP="007B3DA9">
      <w:pPr>
        <w:jc w:val="center"/>
        <w:rPr>
          <w:b/>
          <w:bCs/>
          <w:color w:val="000000"/>
        </w:rPr>
      </w:pPr>
    </w:p>
    <w:p w:rsidR="007B3DA9" w:rsidRDefault="007B3DA9" w:rsidP="007B3DA9">
      <w:pPr>
        <w:jc w:val="center"/>
        <w:rPr>
          <w:b/>
          <w:bCs/>
          <w:color w:val="000000"/>
        </w:rPr>
      </w:pPr>
    </w:p>
    <w:p w:rsidR="007B3DA9" w:rsidRDefault="007B3DA9" w:rsidP="007B3DA9">
      <w:pPr>
        <w:jc w:val="center"/>
        <w:rPr>
          <w:b/>
          <w:bCs/>
          <w:color w:val="000000"/>
        </w:rPr>
      </w:pPr>
    </w:p>
    <w:p w:rsidR="007B3DA9" w:rsidRDefault="007B3DA9" w:rsidP="007B3DA9">
      <w:pPr>
        <w:jc w:val="center"/>
        <w:rPr>
          <w:b/>
          <w:bCs/>
          <w:color w:val="000000"/>
        </w:rPr>
      </w:pPr>
    </w:p>
    <w:p w:rsidR="007B3DA9" w:rsidRDefault="007B3DA9" w:rsidP="007B3DA9">
      <w:pPr>
        <w:jc w:val="center"/>
        <w:rPr>
          <w:b/>
          <w:bCs/>
          <w:color w:val="000000"/>
        </w:rPr>
      </w:pPr>
    </w:p>
    <w:p w:rsidR="007B3DA9" w:rsidRDefault="007B3DA9" w:rsidP="007B3DA9">
      <w:pPr>
        <w:jc w:val="center"/>
        <w:rPr>
          <w:b/>
          <w:bCs/>
          <w:color w:val="000000"/>
        </w:rPr>
      </w:pPr>
    </w:p>
    <w:p w:rsidR="007B3DA9" w:rsidRDefault="007B3DA9" w:rsidP="007B3DA9">
      <w:pPr>
        <w:jc w:val="center"/>
        <w:rPr>
          <w:b/>
          <w:bCs/>
          <w:color w:val="000000"/>
        </w:rPr>
      </w:pPr>
    </w:p>
    <w:p w:rsidR="007B3DA9" w:rsidRDefault="007B3DA9" w:rsidP="007B3DA9">
      <w:pPr>
        <w:jc w:val="center"/>
        <w:rPr>
          <w:b/>
          <w:bCs/>
          <w:color w:val="000000"/>
        </w:rPr>
      </w:pPr>
    </w:p>
    <w:p w:rsidR="007B3DA9" w:rsidRDefault="007B3DA9" w:rsidP="007B3DA9">
      <w:pPr>
        <w:jc w:val="center"/>
        <w:rPr>
          <w:b/>
          <w:bCs/>
          <w:color w:val="000000"/>
        </w:rPr>
      </w:pPr>
    </w:p>
    <w:p w:rsidR="007B3DA9" w:rsidRDefault="007B3DA9" w:rsidP="007B3DA9">
      <w:pPr>
        <w:jc w:val="center"/>
        <w:rPr>
          <w:b/>
          <w:bCs/>
          <w:color w:val="000000"/>
        </w:rPr>
      </w:pPr>
    </w:p>
    <w:p w:rsidR="007B3DA9" w:rsidRDefault="007B3DA9" w:rsidP="007B3DA9">
      <w:pPr>
        <w:jc w:val="center"/>
        <w:rPr>
          <w:b/>
          <w:bCs/>
          <w:color w:val="000000"/>
        </w:rPr>
      </w:pPr>
    </w:p>
    <w:p w:rsidR="007B3DA9" w:rsidRDefault="007B3DA9" w:rsidP="007B3DA9">
      <w:pPr>
        <w:jc w:val="center"/>
        <w:rPr>
          <w:b/>
          <w:bCs/>
          <w:color w:val="000000"/>
        </w:rPr>
      </w:pPr>
    </w:p>
    <w:p w:rsidR="007B3DA9" w:rsidRDefault="007B3DA9" w:rsidP="007B3DA9">
      <w:pPr>
        <w:jc w:val="center"/>
        <w:rPr>
          <w:b/>
          <w:bCs/>
          <w:color w:val="000000"/>
        </w:rPr>
      </w:pPr>
    </w:p>
    <w:p w:rsidR="007B3DA9" w:rsidRDefault="007B3DA9" w:rsidP="007B3DA9">
      <w:pPr>
        <w:jc w:val="center"/>
        <w:rPr>
          <w:b/>
          <w:bCs/>
          <w:color w:val="000000"/>
        </w:rPr>
      </w:pPr>
    </w:p>
    <w:p w:rsidR="007B3DA9" w:rsidRDefault="007B3DA9" w:rsidP="007B3DA9">
      <w:pPr>
        <w:jc w:val="center"/>
        <w:rPr>
          <w:b/>
          <w:bCs/>
          <w:color w:val="000000"/>
        </w:rPr>
      </w:pPr>
    </w:p>
    <w:p w:rsidR="007B3DA9" w:rsidRDefault="007B3DA9" w:rsidP="007B3DA9">
      <w:pPr>
        <w:jc w:val="center"/>
        <w:rPr>
          <w:b/>
          <w:bCs/>
          <w:color w:val="000000"/>
        </w:rPr>
      </w:pPr>
    </w:p>
    <w:p w:rsidR="007B3DA9" w:rsidRDefault="007B3DA9" w:rsidP="007B3DA9">
      <w:pPr>
        <w:jc w:val="center"/>
        <w:rPr>
          <w:b/>
          <w:bCs/>
          <w:color w:val="000000"/>
        </w:rPr>
      </w:pPr>
    </w:p>
    <w:p w:rsidR="007B3DA9" w:rsidRPr="00024D4F" w:rsidRDefault="007B3DA9" w:rsidP="007B3DA9">
      <w:pPr>
        <w:jc w:val="center"/>
        <w:rPr>
          <w:b/>
          <w:bCs/>
          <w:color w:val="000000"/>
        </w:rPr>
      </w:pPr>
      <w:r w:rsidRPr="00024D4F">
        <w:rPr>
          <w:b/>
          <w:bCs/>
          <w:color w:val="000000"/>
        </w:rPr>
        <w:t>Участие в интеграциональных группах</w:t>
      </w:r>
    </w:p>
    <w:p w:rsidR="007B3DA9" w:rsidRPr="00024D4F" w:rsidRDefault="007B3DA9" w:rsidP="007B3DA9">
      <w:pPr>
        <w:spacing w:before="100" w:beforeAutospacing="1" w:after="100" w:afterAutospacing="1"/>
        <w:rPr>
          <w:color w:val="000000"/>
        </w:rPr>
      </w:pPr>
      <w:r w:rsidRPr="00024D4F">
        <w:rPr>
          <w:color w:val="000000"/>
        </w:rPr>
        <w:t>Индия начала стратегию региональной интеграции и двусторонних FTA(свободные торговые отношения) и PTA(предпочтительные торговые отношения). Индия уже подписала FTA с Шри-Ланка, тем самым положив начало подписанию дальнейших соглашений/договоров.</w:t>
      </w:r>
    </w:p>
    <w:p w:rsidR="007B3DA9" w:rsidRPr="00024D4F" w:rsidRDefault="007B3DA9" w:rsidP="007B3DA9">
      <w:pPr>
        <w:spacing w:before="100" w:beforeAutospacing="1" w:after="100" w:afterAutospacing="1"/>
        <w:rPr>
          <w:color w:val="000000"/>
        </w:rPr>
      </w:pPr>
      <w:r w:rsidRPr="00024D4F">
        <w:rPr>
          <w:color w:val="000000"/>
        </w:rPr>
        <w:t>- Договор был подписан 6 января 2004 г. В соответствии с ним устанавливалась юго-азиатская зона свободной торговли среди семи стран региона, а именно: Индия, Пакистан, Шри-Ланка, Бангладеш, Непал, Бутан и Мальдивы. Зона начала действовать с 1 января 2006 г. К 2008 г. Индия, Пакистан и Шри-Ланка понизят свои тарифы до 0-5% к 2013, а другие страны к 2018.</w:t>
      </w:r>
      <w:r w:rsidRPr="00024D4F">
        <w:rPr>
          <w:color w:val="000000"/>
        </w:rPr>
        <w:br/>
        <w:t>- Соглашение об экономическом сотрудничестве (СЕСА) с Сингапуром было подписано в 2005, как составная часть политики «Взгляд на Восток». Экономическое сотрудничество между Бангладеш, Индией, Мьянмар, Шри-Ланка, Непалом, Бутаном и Таиландом (BIMST-EC) было подписано в рамках Соглашения FTA в феврале 2004 г.</w:t>
      </w:r>
      <w:r w:rsidRPr="00024D4F">
        <w:rPr>
          <w:color w:val="000000"/>
        </w:rPr>
        <w:br/>
        <w:t>- FTA (свободные торговые отношения) и PTA (предпочтительные торговые отношения) уже подписаны с Шри-Ланка, Таиландом, Бутаном, Афганистаном, SAPTA и MERCOSUR. Ведутся переговоры о подписании FTA и PTA с ASEAN.</w:t>
      </w:r>
      <w:r w:rsidRPr="00024D4F">
        <w:rPr>
          <w:color w:val="000000"/>
        </w:rPr>
        <w:br/>
        <w:t>- Индия либерализовала воздушные службы со странами SAАRС и ASEAN , а также разрешила своим самолётам летать в некоторые зарубежные страны.</w:t>
      </w:r>
      <w:r w:rsidRPr="00024D4F">
        <w:rPr>
          <w:color w:val="000000"/>
        </w:rPr>
        <w:br/>
        <w:t>- Была организована исследовательская рабочая группа для более тесного торгово-экономического сотрудничества с Китаем, который является важнейшим торговым партнёром Индии.</w:t>
      </w:r>
      <w:r w:rsidRPr="00024D4F">
        <w:rPr>
          <w:color w:val="000000"/>
        </w:rPr>
        <w:br/>
        <w:t>- Исследовательские рабочие группы также были образованы для СЕРА с Японией, Малайзией, Индонезией, Пакистаном, Израилем и Чили.</w:t>
      </w:r>
      <w:r w:rsidRPr="00024D4F">
        <w:rPr>
          <w:color w:val="000000"/>
        </w:rPr>
        <w:br/>
        <w:t>- Рамочные соглашения по сотрудничеству были подписаны с южно-африканским таможенным союзом и СОМЕSА в Африке. Соглашение об экономическом сотрудничестве с Маврикием и Шри-Ланка находится в стадии переговоров.</w:t>
      </w:r>
    </w:p>
    <w:p w:rsidR="007B3DA9" w:rsidRDefault="007B3DA9" w:rsidP="007B3DA9">
      <w:pPr>
        <w:jc w:val="center"/>
        <w:rPr>
          <w:b/>
          <w:bCs/>
          <w:color w:val="000000"/>
        </w:rPr>
      </w:pPr>
    </w:p>
    <w:p w:rsidR="007B3DA9" w:rsidRPr="00024D4F" w:rsidRDefault="007B3DA9" w:rsidP="007B3DA9">
      <w:pPr>
        <w:jc w:val="center"/>
        <w:rPr>
          <w:b/>
          <w:bCs/>
          <w:color w:val="000000"/>
        </w:rPr>
      </w:pPr>
    </w:p>
    <w:p w:rsidR="007B3DA9" w:rsidRPr="00A50338" w:rsidRDefault="007B3DA9" w:rsidP="007B3DA9">
      <w:pPr>
        <w:spacing w:before="100" w:beforeAutospacing="1" w:after="100" w:afterAutospacing="1"/>
        <w:rPr>
          <w:color w:val="000000"/>
        </w:rPr>
      </w:pPr>
    </w:p>
    <w:p w:rsidR="007B3DA9" w:rsidRDefault="007B3DA9" w:rsidP="007B3DA9">
      <w:r>
        <w:t>Список используемой литературы</w:t>
      </w:r>
    </w:p>
    <w:p w:rsidR="007B3DA9" w:rsidRDefault="007B3DA9" w:rsidP="007B3DA9">
      <w:pPr>
        <w:numPr>
          <w:ilvl w:val="0"/>
          <w:numId w:val="2"/>
        </w:numPr>
      </w:pPr>
      <w:r w:rsidRPr="00AB6FDB">
        <w:t>http://www.india.ru/business/review.shtml</w:t>
      </w:r>
    </w:p>
    <w:p w:rsidR="007B3DA9" w:rsidRDefault="007B3DA9" w:rsidP="007B3DA9">
      <w:pPr>
        <w:numPr>
          <w:ilvl w:val="0"/>
          <w:numId w:val="2"/>
        </w:numPr>
        <w:spacing w:before="100" w:beforeAutospacing="1" w:after="100" w:afterAutospacing="1"/>
        <w:rPr>
          <w:rFonts w:ascii="Arial" w:hAnsi="Arial" w:cs="Arial"/>
          <w:color w:val="000000"/>
          <w:sz w:val="21"/>
          <w:szCs w:val="21"/>
        </w:rPr>
      </w:pPr>
      <w:r w:rsidRPr="00AB6FDB">
        <w:rPr>
          <w:rFonts w:ascii="Arial" w:hAnsi="Arial" w:cs="Arial"/>
          <w:color w:val="000000"/>
          <w:sz w:val="21"/>
          <w:szCs w:val="21"/>
        </w:rPr>
        <w:t>http://www.indianembassy-tm.com/economics_branch.htm</w:t>
      </w:r>
    </w:p>
    <w:p w:rsidR="007B3DA9" w:rsidRDefault="007B3DA9" w:rsidP="007B3DA9">
      <w:pPr>
        <w:numPr>
          <w:ilvl w:val="0"/>
          <w:numId w:val="2"/>
        </w:numPr>
      </w:pPr>
      <w:r w:rsidRPr="00AB6FDB">
        <w:t>http://www.indianembassy-tm.com/economics_sectors.htm</w:t>
      </w:r>
    </w:p>
    <w:p w:rsidR="007B3DA9" w:rsidRPr="00A50338" w:rsidRDefault="007B3DA9" w:rsidP="007B3DA9">
      <w:pPr>
        <w:pStyle w:val="a7"/>
        <w:jc w:val="center"/>
        <w:rPr>
          <w:b/>
          <w:bCs/>
          <w:color w:val="000000"/>
        </w:rPr>
      </w:pPr>
    </w:p>
    <w:p w:rsidR="007B3DA9" w:rsidRDefault="007B3DA9" w:rsidP="007B3DA9">
      <w:pPr>
        <w:spacing w:before="100"/>
        <w:ind w:left="100" w:right="100" w:firstLine="397"/>
        <w:jc w:val="right"/>
        <w:rPr>
          <w:rFonts w:ascii="Arial" w:hAnsi="Arial" w:cs="Arial"/>
          <w:b/>
          <w:bCs/>
          <w:color w:val="000000"/>
        </w:rPr>
      </w:pPr>
    </w:p>
    <w:p w:rsidR="007B3DA9" w:rsidRDefault="007B3DA9" w:rsidP="007B3DA9">
      <w:pPr>
        <w:spacing w:before="100"/>
        <w:ind w:left="100" w:right="100" w:firstLine="397"/>
        <w:jc w:val="right"/>
        <w:rPr>
          <w:rFonts w:ascii="Arial" w:hAnsi="Arial" w:cs="Arial"/>
          <w:b/>
          <w:bCs/>
          <w:color w:val="000000"/>
        </w:rPr>
      </w:pPr>
    </w:p>
    <w:p w:rsidR="007B3DA9" w:rsidRDefault="007B3DA9" w:rsidP="007B3DA9">
      <w:pPr>
        <w:spacing w:before="100"/>
        <w:ind w:left="100" w:right="100" w:firstLine="397"/>
        <w:jc w:val="right"/>
        <w:rPr>
          <w:rFonts w:ascii="Arial" w:hAnsi="Arial" w:cs="Arial"/>
          <w:b/>
          <w:bCs/>
          <w:color w:val="000000"/>
        </w:rPr>
      </w:pPr>
    </w:p>
    <w:p w:rsidR="007B3DA9" w:rsidRDefault="007B3DA9" w:rsidP="007B3DA9">
      <w:pPr>
        <w:spacing w:before="100"/>
        <w:ind w:left="100" w:right="100" w:firstLine="397"/>
        <w:jc w:val="right"/>
        <w:rPr>
          <w:rFonts w:ascii="Arial" w:hAnsi="Arial" w:cs="Arial"/>
          <w:b/>
          <w:bCs/>
          <w:color w:val="000000"/>
        </w:rPr>
      </w:pPr>
    </w:p>
    <w:p w:rsidR="007B3DA9" w:rsidRDefault="007B3DA9" w:rsidP="007B3DA9">
      <w:pPr>
        <w:spacing w:before="100"/>
        <w:ind w:left="100" w:right="100" w:firstLine="397"/>
        <w:jc w:val="right"/>
        <w:rPr>
          <w:rFonts w:ascii="Arial" w:hAnsi="Arial" w:cs="Arial"/>
          <w:b/>
          <w:bCs/>
          <w:color w:val="000000"/>
        </w:rPr>
      </w:pPr>
    </w:p>
    <w:p w:rsidR="007B3DA9" w:rsidRDefault="007B3DA9" w:rsidP="007B3DA9">
      <w:pPr>
        <w:spacing w:before="100"/>
        <w:ind w:left="100" w:right="100" w:firstLine="397"/>
        <w:jc w:val="right"/>
        <w:rPr>
          <w:rFonts w:ascii="Arial" w:hAnsi="Arial" w:cs="Arial"/>
          <w:b/>
          <w:bCs/>
          <w:color w:val="000000"/>
        </w:rPr>
      </w:pPr>
    </w:p>
    <w:p w:rsidR="007B3DA9" w:rsidRDefault="007B3DA9" w:rsidP="007B3DA9">
      <w:pPr>
        <w:spacing w:before="100"/>
        <w:ind w:left="100" w:right="100" w:firstLine="397"/>
        <w:jc w:val="right"/>
        <w:rPr>
          <w:rFonts w:ascii="Arial" w:hAnsi="Arial" w:cs="Arial"/>
          <w:b/>
          <w:bCs/>
          <w:color w:val="000000"/>
        </w:rPr>
      </w:pPr>
    </w:p>
    <w:p w:rsidR="007B3DA9" w:rsidRDefault="007B3DA9" w:rsidP="007B3DA9">
      <w:pPr>
        <w:spacing w:before="100"/>
        <w:ind w:left="100" w:right="100" w:firstLine="397"/>
        <w:jc w:val="right"/>
        <w:rPr>
          <w:rFonts w:ascii="Arial" w:hAnsi="Arial" w:cs="Arial"/>
          <w:b/>
          <w:bCs/>
          <w:color w:val="000000"/>
        </w:rPr>
      </w:pPr>
    </w:p>
    <w:p w:rsidR="007B3DA9" w:rsidRDefault="007B3DA9" w:rsidP="007B3DA9">
      <w:pPr>
        <w:spacing w:before="100"/>
        <w:ind w:left="100" w:right="100" w:firstLine="397"/>
        <w:jc w:val="right"/>
        <w:rPr>
          <w:rFonts w:ascii="Arial" w:hAnsi="Arial" w:cs="Arial"/>
          <w:b/>
          <w:bCs/>
          <w:color w:val="000000"/>
        </w:rPr>
      </w:pPr>
    </w:p>
    <w:p w:rsidR="007B3DA9" w:rsidRDefault="007B3DA9" w:rsidP="007B3DA9">
      <w:pPr>
        <w:spacing w:before="100"/>
        <w:ind w:left="100" w:right="100" w:firstLine="397"/>
        <w:jc w:val="right"/>
        <w:rPr>
          <w:rFonts w:ascii="Arial" w:hAnsi="Arial" w:cs="Arial"/>
          <w:b/>
          <w:bCs/>
          <w:color w:val="000000"/>
        </w:rPr>
      </w:pPr>
      <w:r w:rsidRPr="00124709">
        <w:rPr>
          <w:rFonts w:ascii="Arial" w:hAnsi="Arial" w:cs="Arial"/>
          <w:b/>
          <w:bCs/>
          <w:color w:val="000000"/>
        </w:rPr>
        <w:t>Приложение</w:t>
      </w:r>
    </w:p>
    <w:p w:rsidR="007B3DA9" w:rsidRDefault="007B3DA9" w:rsidP="007B3DA9">
      <w:pPr>
        <w:spacing w:before="100"/>
        <w:ind w:left="100" w:right="100" w:firstLine="397"/>
        <w:jc w:val="right"/>
        <w:rPr>
          <w:rFonts w:ascii="Arial" w:hAnsi="Arial" w:cs="Arial"/>
          <w:b/>
          <w:bCs/>
          <w:color w:val="000000"/>
        </w:rPr>
      </w:pPr>
      <w:r>
        <w:rPr>
          <w:rFonts w:ascii="Arial" w:hAnsi="Arial" w:cs="Arial"/>
          <w:b/>
          <w:bCs/>
          <w:color w:val="000000"/>
        </w:rPr>
        <w:t>Рис.1</w:t>
      </w:r>
    </w:p>
    <w:p w:rsidR="007B3DA9" w:rsidRPr="00124709" w:rsidRDefault="007B3DA9" w:rsidP="007B3DA9">
      <w:pPr>
        <w:spacing w:before="100"/>
        <w:ind w:left="100" w:right="100" w:firstLine="397"/>
        <w:jc w:val="right"/>
        <w:rPr>
          <w:rFonts w:ascii="Arial" w:hAnsi="Arial" w:cs="Arial"/>
          <w:b/>
          <w:bCs/>
          <w:color w:val="000000"/>
        </w:rPr>
      </w:pPr>
    </w:p>
    <w:p w:rsidR="007B3DA9" w:rsidRPr="007B45F3" w:rsidRDefault="007B3DA9" w:rsidP="007B3DA9">
      <w:pPr>
        <w:spacing w:before="100"/>
        <w:ind w:left="100" w:right="100" w:firstLine="397"/>
        <w:jc w:val="right"/>
        <w:rPr>
          <w:rFonts w:ascii="Arial" w:hAnsi="Arial" w:cs="Arial"/>
          <w:color w:val="000000"/>
        </w:rPr>
      </w:pPr>
      <w:r>
        <w:rPr>
          <w:rFonts w:ascii="Arial" w:hAnsi="Arial" w:cs="Arial"/>
          <w:color w:val="000000"/>
        </w:rPr>
        <w:t>Таблица №1</w:t>
      </w:r>
    </w:p>
    <w:p w:rsidR="007B3DA9" w:rsidRPr="007B45F3" w:rsidRDefault="007B3DA9" w:rsidP="007B3DA9">
      <w:pPr>
        <w:spacing w:before="140" w:after="40"/>
        <w:outlineLvl w:val="2"/>
        <w:rPr>
          <w:rFonts w:ascii="Arial" w:hAnsi="Arial" w:cs="Arial"/>
          <w:b/>
          <w:bCs/>
          <w:color w:val="006666"/>
        </w:rPr>
      </w:pPr>
      <w:r w:rsidRPr="007B45F3">
        <w:rPr>
          <w:rFonts w:ascii="Arial" w:hAnsi="Arial" w:cs="Arial"/>
          <w:b/>
          <w:bCs/>
          <w:color w:val="006666"/>
        </w:rPr>
        <w:t>Международный рейтинг - Пятнадцать крупнейших стран-должников</w:t>
      </w:r>
    </w:p>
    <w:p w:rsidR="007B3DA9" w:rsidRPr="007B45F3" w:rsidRDefault="007B3DA9" w:rsidP="007B3DA9">
      <w:pPr>
        <w:rPr>
          <w:rFonts w:ascii="Arial" w:hAnsi="Arial" w:cs="Arial"/>
          <w:color w:val="000000"/>
        </w:rPr>
      </w:pPr>
    </w:p>
    <w:tbl>
      <w:tblPr>
        <w:tblW w:w="6000" w:type="dxa"/>
        <w:jc w:val="center"/>
        <w:tblCellSpacing w:w="37" w:type="dxa"/>
        <w:tblBorders>
          <w:top w:val="outset" w:sz="6" w:space="0" w:color="auto"/>
          <w:left w:val="outset" w:sz="6" w:space="0" w:color="auto"/>
          <w:bottom w:val="outset" w:sz="6" w:space="0" w:color="auto"/>
          <w:right w:val="outset" w:sz="6" w:space="0" w:color="auto"/>
        </w:tblBorders>
        <w:tblCellMar>
          <w:top w:w="75" w:type="dxa"/>
          <w:left w:w="75" w:type="dxa"/>
          <w:bottom w:w="75" w:type="dxa"/>
          <w:right w:w="75" w:type="dxa"/>
        </w:tblCellMar>
        <w:tblLook w:val="0000" w:firstRow="0" w:lastRow="0" w:firstColumn="0" w:lastColumn="0" w:noHBand="0" w:noVBand="0"/>
      </w:tblPr>
      <w:tblGrid>
        <w:gridCol w:w="311"/>
        <w:gridCol w:w="1554"/>
        <w:gridCol w:w="1072"/>
        <w:gridCol w:w="778"/>
        <w:gridCol w:w="1206"/>
        <w:gridCol w:w="2050"/>
      </w:tblGrid>
      <w:tr w:rsidR="007B3DA9" w:rsidRPr="007B45F3">
        <w:trPr>
          <w:tblCellSpacing w:w="37" w:type="dxa"/>
          <w:jc w:val="center"/>
        </w:trPr>
        <w:tc>
          <w:tcPr>
            <w:tcW w:w="0" w:type="auto"/>
            <w:tcBorders>
              <w:top w:val="outset" w:sz="6" w:space="0" w:color="auto"/>
              <w:bottom w:val="outset" w:sz="6" w:space="0" w:color="auto"/>
              <w:right w:val="outset" w:sz="6" w:space="0" w:color="auto"/>
            </w:tcBorders>
            <w:vAlign w:val="center"/>
          </w:tcPr>
          <w:p w:rsidR="007B3DA9" w:rsidRPr="007B45F3" w:rsidRDefault="007B3DA9" w:rsidP="00B82489">
            <w:pPr>
              <w:rPr>
                <w:rFonts w:ascii="Arial" w:hAnsi="Arial" w:cs="Arial"/>
                <w:color w:val="000000"/>
              </w:rPr>
            </w:pPr>
          </w:p>
        </w:tc>
        <w:tc>
          <w:tcPr>
            <w:tcW w:w="0" w:type="auto"/>
            <w:tcBorders>
              <w:top w:val="outset" w:sz="6" w:space="0" w:color="auto"/>
              <w:left w:val="outset" w:sz="6" w:space="0" w:color="auto"/>
              <w:bottom w:val="outset" w:sz="6" w:space="0" w:color="auto"/>
              <w:right w:val="outset" w:sz="6" w:space="0" w:color="auto"/>
            </w:tcBorders>
            <w:vAlign w:val="center"/>
          </w:tcPr>
          <w:p w:rsidR="007B3DA9" w:rsidRPr="007B45F3" w:rsidRDefault="007B3DA9" w:rsidP="00B82489">
            <w:pPr>
              <w:rPr>
                <w:rFonts w:ascii="Arial" w:hAnsi="Arial" w:cs="Arial"/>
                <w:color w:val="000000"/>
              </w:rPr>
            </w:pPr>
            <w:r w:rsidRPr="007B45F3">
              <w:rPr>
                <w:rFonts w:ascii="Arial" w:hAnsi="Arial" w:cs="Arial"/>
                <w:color w:val="000000"/>
              </w:rPr>
              <w:t>Страна</w:t>
            </w:r>
          </w:p>
        </w:tc>
        <w:tc>
          <w:tcPr>
            <w:tcW w:w="0" w:type="auto"/>
            <w:tcBorders>
              <w:top w:val="outset" w:sz="6" w:space="0" w:color="auto"/>
              <w:left w:val="outset" w:sz="6" w:space="0" w:color="auto"/>
              <w:bottom w:val="outset" w:sz="6" w:space="0" w:color="auto"/>
              <w:right w:val="outset" w:sz="6" w:space="0" w:color="auto"/>
            </w:tcBorders>
            <w:vAlign w:val="center"/>
          </w:tcPr>
          <w:p w:rsidR="007B3DA9" w:rsidRPr="007B45F3" w:rsidRDefault="007B3DA9" w:rsidP="00B82489">
            <w:pPr>
              <w:rPr>
                <w:rFonts w:ascii="Arial" w:hAnsi="Arial" w:cs="Arial"/>
                <w:color w:val="000000"/>
              </w:rPr>
            </w:pPr>
            <w:r w:rsidRPr="007B45F3">
              <w:rPr>
                <w:rFonts w:ascii="Arial" w:hAnsi="Arial" w:cs="Arial"/>
                <w:color w:val="000000"/>
              </w:rPr>
              <w:t>Общий Внешн. Долг</w:t>
            </w:r>
          </w:p>
        </w:tc>
        <w:tc>
          <w:tcPr>
            <w:tcW w:w="0" w:type="auto"/>
            <w:tcBorders>
              <w:top w:val="outset" w:sz="6" w:space="0" w:color="auto"/>
              <w:left w:val="outset" w:sz="6" w:space="0" w:color="auto"/>
              <w:bottom w:val="outset" w:sz="6" w:space="0" w:color="auto"/>
              <w:right w:val="outset" w:sz="6" w:space="0" w:color="auto"/>
            </w:tcBorders>
            <w:vAlign w:val="center"/>
          </w:tcPr>
          <w:p w:rsidR="007B3DA9" w:rsidRPr="007B45F3" w:rsidRDefault="007B3DA9" w:rsidP="00B82489">
            <w:pPr>
              <w:rPr>
                <w:rFonts w:ascii="Arial" w:hAnsi="Arial" w:cs="Arial"/>
                <w:color w:val="000000"/>
              </w:rPr>
            </w:pPr>
            <w:r w:rsidRPr="007B45F3">
              <w:rPr>
                <w:rFonts w:ascii="Arial" w:hAnsi="Arial" w:cs="Arial"/>
                <w:color w:val="000000"/>
              </w:rPr>
              <w:t>Долг GNP</w:t>
            </w:r>
          </w:p>
        </w:tc>
        <w:tc>
          <w:tcPr>
            <w:tcW w:w="0" w:type="auto"/>
            <w:tcBorders>
              <w:top w:val="outset" w:sz="6" w:space="0" w:color="auto"/>
              <w:left w:val="outset" w:sz="6" w:space="0" w:color="auto"/>
              <w:bottom w:val="outset" w:sz="6" w:space="0" w:color="auto"/>
              <w:right w:val="outset" w:sz="6" w:space="0" w:color="auto"/>
            </w:tcBorders>
            <w:vAlign w:val="center"/>
          </w:tcPr>
          <w:p w:rsidR="007B3DA9" w:rsidRPr="007B45F3" w:rsidRDefault="007B3DA9" w:rsidP="00B82489">
            <w:pPr>
              <w:rPr>
                <w:rFonts w:ascii="Arial" w:hAnsi="Arial" w:cs="Arial"/>
                <w:color w:val="000000"/>
              </w:rPr>
            </w:pPr>
            <w:r w:rsidRPr="007B45F3">
              <w:rPr>
                <w:rFonts w:ascii="Arial" w:hAnsi="Arial" w:cs="Arial"/>
                <w:color w:val="000000"/>
              </w:rPr>
              <w:t>Кратко-</w:t>
            </w:r>
            <w:r w:rsidRPr="007B45F3">
              <w:rPr>
                <w:rFonts w:ascii="Arial" w:hAnsi="Arial" w:cs="Arial"/>
                <w:color w:val="000000"/>
              </w:rPr>
              <w:br/>
              <w:t>срочный долг</w:t>
            </w:r>
          </w:p>
        </w:tc>
        <w:tc>
          <w:tcPr>
            <w:tcW w:w="0" w:type="auto"/>
            <w:tcBorders>
              <w:top w:val="outset" w:sz="6" w:space="0" w:color="auto"/>
              <w:left w:val="outset" w:sz="6" w:space="0" w:color="auto"/>
              <w:bottom w:val="outset" w:sz="6" w:space="0" w:color="auto"/>
            </w:tcBorders>
            <w:vAlign w:val="center"/>
          </w:tcPr>
          <w:p w:rsidR="007B3DA9" w:rsidRPr="007B45F3" w:rsidRDefault="007B3DA9" w:rsidP="00B82489">
            <w:pPr>
              <w:rPr>
                <w:rFonts w:ascii="Arial" w:hAnsi="Arial" w:cs="Arial"/>
                <w:color w:val="000000"/>
              </w:rPr>
            </w:pPr>
            <w:r w:rsidRPr="007B45F3">
              <w:rPr>
                <w:rFonts w:ascii="Arial" w:hAnsi="Arial" w:cs="Arial"/>
                <w:color w:val="000000"/>
              </w:rPr>
              <w:t>Классификация задолженности</w:t>
            </w:r>
          </w:p>
        </w:tc>
      </w:tr>
      <w:tr w:rsidR="007B3DA9" w:rsidRPr="007B45F3">
        <w:trPr>
          <w:tblCellSpacing w:w="37" w:type="dxa"/>
          <w:jc w:val="center"/>
        </w:trPr>
        <w:tc>
          <w:tcPr>
            <w:tcW w:w="0" w:type="auto"/>
            <w:tcBorders>
              <w:top w:val="outset" w:sz="6" w:space="0" w:color="auto"/>
              <w:bottom w:val="outset" w:sz="6" w:space="0" w:color="auto"/>
              <w:right w:val="outset" w:sz="6" w:space="0" w:color="auto"/>
            </w:tcBorders>
            <w:vAlign w:val="center"/>
          </w:tcPr>
          <w:p w:rsidR="007B3DA9" w:rsidRPr="007B45F3" w:rsidRDefault="007B3DA9" w:rsidP="00B82489">
            <w:pPr>
              <w:rPr>
                <w:rFonts w:ascii="Arial" w:hAnsi="Arial" w:cs="Arial"/>
                <w:color w:val="000000"/>
              </w:rPr>
            </w:pPr>
          </w:p>
        </w:tc>
        <w:tc>
          <w:tcPr>
            <w:tcW w:w="0" w:type="auto"/>
            <w:tcBorders>
              <w:top w:val="outset" w:sz="6" w:space="0" w:color="auto"/>
              <w:left w:val="outset" w:sz="6" w:space="0" w:color="auto"/>
              <w:bottom w:val="outset" w:sz="6" w:space="0" w:color="auto"/>
              <w:right w:val="outset" w:sz="6" w:space="0" w:color="auto"/>
            </w:tcBorders>
            <w:vAlign w:val="center"/>
          </w:tcPr>
          <w:p w:rsidR="007B3DA9" w:rsidRPr="007B45F3" w:rsidRDefault="007B3DA9" w:rsidP="00B82489">
            <w:pPr>
              <w:rPr>
                <w:rFonts w:ascii="Arial" w:hAnsi="Arial" w:cs="Arial"/>
                <w:color w:val="000000"/>
              </w:rPr>
            </w:pPr>
            <w:r w:rsidRPr="007B45F3">
              <w:rPr>
                <w:rFonts w:ascii="Arial" w:hAnsi="Arial" w:cs="Arial"/>
                <w:color w:val="000000"/>
              </w:rPr>
              <w:t> </w:t>
            </w:r>
          </w:p>
        </w:tc>
        <w:tc>
          <w:tcPr>
            <w:tcW w:w="0" w:type="auto"/>
            <w:tcBorders>
              <w:top w:val="outset" w:sz="6" w:space="0" w:color="auto"/>
              <w:left w:val="outset" w:sz="6" w:space="0" w:color="auto"/>
              <w:bottom w:val="outset" w:sz="6" w:space="0" w:color="auto"/>
              <w:right w:val="outset" w:sz="6" w:space="0" w:color="auto"/>
            </w:tcBorders>
            <w:vAlign w:val="center"/>
          </w:tcPr>
          <w:p w:rsidR="007B3DA9" w:rsidRPr="007B45F3" w:rsidRDefault="007B3DA9" w:rsidP="00B82489">
            <w:pPr>
              <w:rPr>
                <w:rFonts w:ascii="Arial" w:hAnsi="Arial" w:cs="Arial"/>
                <w:color w:val="000000"/>
              </w:rPr>
            </w:pPr>
            <w:r w:rsidRPr="007B45F3">
              <w:rPr>
                <w:rFonts w:ascii="Arial" w:hAnsi="Arial" w:cs="Arial"/>
                <w:color w:val="000000"/>
              </w:rPr>
              <w:t>US$ млрд</w:t>
            </w:r>
          </w:p>
        </w:tc>
        <w:tc>
          <w:tcPr>
            <w:tcW w:w="0" w:type="auto"/>
            <w:tcBorders>
              <w:top w:val="outset" w:sz="6" w:space="0" w:color="auto"/>
              <w:left w:val="outset" w:sz="6" w:space="0" w:color="auto"/>
              <w:bottom w:val="outset" w:sz="6" w:space="0" w:color="auto"/>
              <w:right w:val="outset" w:sz="6" w:space="0" w:color="auto"/>
            </w:tcBorders>
            <w:vAlign w:val="center"/>
          </w:tcPr>
          <w:p w:rsidR="007B3DA9" w:rsidRPr="007B45F3" w:rsidRDefault="007B3DA9" w:rsidP="00B82489">
            <w:pPr>
              <w:rPr>
                <w:rFonts w:ascii="Arial" w:hAnsi="Arial" w:cs="Arial"/>
                <w:color w:val="000000"/>
              </w:rPr>
            </w:pPr>
            <w:r w:rsidRPr="007B45F3">
              <w:rPr>
                <w:rFonts w:ascii="Arial" w:hAnsi="Arial" w:cs="Arial"/>
                <w:color w:val="000000"/>
              </w:rPr>
              <w:t>%</w:t>
            </w:r>
          </w:p>
        </w:tc>
        <w:tc>
          <w:tcPr>
            <w:tcW w:w="0" w:type="auto"/>
            <w:tcBorders>
              <w:top w:val="outset" w:sz="6" w:space="0" w:color="auto"/>
              <w:left w:val="outset" w:sz="6" w:space="0" w:color="auto"/>
              <w:bottom w:val="outset" w:sz="6" w:space="0" w:color="auto"/>
              <w:right w:val="outset" w:sz="6" w:space="0" w:color="auto"/>
            </w:tcBorders>
            <w:vAlign w:val="center"/>
          </w:tcPr>
          <w:p w:rsidR="007B3DA9" w:rsidRPr="007B45F3" w:rsidRDefault="007B3DA9" w:rsidP="00B82489">
            <w:pPr>
              <w:rPr>
                <w:rFonts w:ascii="Arial" w:hAnsi="Arial" w:cs="Arial"/>
                <w:color w:val="000000"/>
              </w:rPr>
            </w:pPr>
            <w:r w:rsidRPr="007B45F3">
              <w:rPr>
                <w:rFonts w:ascii="Arial" w:hAnsi="Arial" w:cs="Arial"/>
                <w:color w:val="000000"/>
              </w:rPr>
              <w:t> </w:t>
            </w:r>
          </w:p>
        </w:tc>
        <w:tc>
          <w:tcPr>
            <w:tcW w:w="0" w:type="auto"/>
            <w:tcBorders>
              <w:top w:val="outset" w:sz="6" w:space="0" w:color="auto"/>
              <w:left w:val="outset" w:sz="6" w:space="0" w:color="auto"/>
              <w:bottom w:val="outset" w:sz="6" w:space="0" w:color="auto"/>
            </w:tcBorders>
            <w:vAlign w:val="center"/>
          </w:tcPr>
          <w:p w:rsidR="007B3DA9" w:rsidRPr="007B45F3" w:rsidRDefault="007B3DA9" w:rsidP="00B82489">
            <w:pPr>
              <w:rPr>
                <w:rFonts w:ascii="Arial" w:hAnsi="Arial" w:cs="Arial"/>
                <w:color w:val="000000"/>
              </w:rPr>
            </w:pPr>
            <w:r w:rsidRPr="007B45F3">
              <w:rPr>
                <w:rFonts w:ascii="Arial" w:hAnsi="Arial" w:cs="Arial"/>
                <w:color w:val="000000"/>
              </w:rPr>
              <w:t> </w:t>
            </w:r>
          </w:p>
        </w:tc>
      </w:tr>
      <w:tr w:rsidR="007B3DA9" w:rsidRPr="007B45F3">
        <w:trPr>
          <w:tblCellSpacing w:w="37" w:type="dxa"/>
          <w:jc w:val="center"/>
        </w:trPr>
        <w:tc>
          <w:tcPr>
            <w:tcW w:w="0" w:type="auto"/>
            <w:tcBorders>
              <w:top w:val="outset" w:sz="6" w:space="0" w:color="auto"/>
              <w:bottom w:val="outset" w:sz="6" w:space="0" w:color="auto"/>
              <w:right w:val="outset" w:sz="6" w:space="0" w:color="auto"/>
            </w:tcBorders>
            <w:vAlign w:val="center"/>
          </w:tcPr>
          <w:p w:rsidR="007B3DA9" w:rsidRPr="007B45F3" w:rsidRDefault="007B3DA9" w:rsidP="00B82489">
            <w:pPr>
              <w:rPr>
                <w:rFonts w:ascii="Arial" w:hAnsi="Arial" w:cs="Arial"/>
                <w:color w:val="000000"/>
              </w:rPr>
            </w:pPr>
          </w:p>
        </w:tc>
        <w:tc>
          <w:tcPr>
            <w:tcW w:w="0" w:type="auto"/>
            <w:tcBorders>
              <w:top w:val="outset" w:sz="6" w:space="0" w:color="auto"/>
              <w:left w:val="outset" w:sz="6" w:space="0" w:color="auto"/>
              <w:bottom w:val="outset" w:sz="6" w:space="0" w:color="auto"/>
              <w:right w:val="outset" w:sz="6" w:space="0" w:color="auto"/>
            </w:tcBorders>
            <w:vAlign w:val="center"/>
          </w:tcPr>
          <w:p w:rsidR="007B3DA9" w:rsidRPr="007B45F3" w:rsidRDefault="007B3DA9" w:rsidP="00B82489">
            <w:pPr>
              <w:rPr>
                <w:rFonts w:ascii="Arial" w:hAnsi="Arial" w:cs="Arial"/>
                <w:color w:val="000000"/>
              </w:rPr>
            </w:pPr>
            <w:r w:rsidRPr="007B45F3">
              <w:rPr>
                <w:rFonts w:ascii="Arial" w:hAnsi="Arial" w:cs="Arial"/>
                <w:color w:val="000000"/>
              </w:rPr>
              <w:t>Бразилия</w:t>
            </w:r>
          </w:p>
        </w:tc>
        <w:tc>
          <w:tcPr>
            <w:tcW w:w="0" w:type="auto"/>
            <w:tcBorders>
              <w:top w:val="outset" w:sz="6" w:space="0" w:color="auto"/>
              <w:left w:val="outset" w:sz="6" w:space="0" w:color="auto"/>
              <w:bottom w:val="outset" w:sz="6" w:space="0" w:color="auto"/>
              <w:right w:val="outset" w:sz="6" w:space="0" w:color="auto"/>
            </w:tcBorders>
            <w:vAlign w:val="center"/>
          </w:tcPr>
          <w:p w:rsidR="007B3DA9" w:rsidRPr="007B45F3" w:rsidRDefault="007B3DA9" w:rsidP="00B82489">
            <w:pPr>
              <w:rPr>
                <w:rFonts w:ascii="Arial" w:hAnsi="Arial" w:cs="Arial"/>
                <w:color w:val="000000"/>
              </w:rPr>
            </w:pPr>
            <w:r w:rsidRPr="007B45F3">
              <w:rPr>
                <w:rFonts w:ascii="Arial" w:hAnsi="Arial" w:cs="Arial"/>
                <w:color w:val="000000"/>
              </w:rPr>
              <w:t>232</w:t>
            </w:r>
          </w:p>
        </w:tc>
        <w:tc>
          <w:tcPr>
            <w:tcW w:w="0" w:type="auto"/>
            <w:tcBorders>
              <w:top w:val="outset" w:sz="6" w:space="0" w:color="auto"/>
              <w:left w:val="outset" w:sz="6" w:space="0" w:color="auto"/>
              <w:bottom w:val="outset" w:sz="6" w:space="0" w:color="auto"/>
              <w:right w:val="outset" w:sz="6" w:space="0" w:color="auto"/>
            </w:tcBorders>
            <w:vAlign w:val="center"/>
          </w:tcPr>
          <w:p w:rsidR="007B3DA9" w:rsidRPr="007B45F3" w:rsidRDefault="007B3DA9" w:rsidP="00B82489">
            <w:pPr>
              <w:rPr>
                <w:rFonts w:ascii="Arial" w:hAnsi="Arial" w:cs="Arial"/>
                <w:color w:val="000000"/>
              </w:rPr>
            </w:pPr>
            <w:r w:rsidRPr="007B45F3">
              <w:rPr>
                <w:rFonts w:ascii="Arial" w:hAnsi="Arial" w:cs="Arial"/>
                <w:color w:val="000000"/>
              </w:rPr>
              <w:t>31</w:t>
            </w:r>
          </w:p>
        </w:tc>
        <w:tc>
          <w:tcPr>
            <w:tcW w:w="0" w:type="auto"/>
            <w:tcBorders>
              <w:top w:val="outset" w:sz="6" w:space="0" w:color="auto"/>
              <w:left w:val="outset" w:sz="6" w:space="0" w:color="auto"/>
              <w:bottom w:val="outset" w:sz="6" w:space="0" w:color="auto"/>
              <w:right w:val="outset" w:sz="6" w:space="0" w:color="auto"/>
            </w:tcBorders>
            <w:vAlign w:val="center"/>
          </w:tcPr>
          <w:p w:rsidR="007B3DA9" w:rsidRPr="007B45F3" w:rsidRDefault="007B3DA9" w:rsidP="00B82489">
            <w:pPr>
              <w:rPr>
                <w:rFonts w:ascii="Arial" w:hAnsi="Arial" w:cs="Arial"/>
                <w:color w:val="000000"/>
              </w:rPr>
            </w:pPr>
            <w:r w:rsidRPr="007B45F3">
              <w:rPr>
                <w:rFonts w:ascii="Arial" w:hAnsi="Arial" w:cs="Arial"/>
                <w:color w:val="000000"/>
              </w:rPr>
              <w:t>11</w:t>
            </w:r>
          </w:p>
        </w:tc>
        <w:tc>
          <w:tcPr>
            <w:tcW w:w="0" w:type="auto"/>
            <w:tcBorders>
              <w:top w:val="outset" w:sz="6" w:space="0" w:color="auto"/>
              <w:left w:val="outset" w:sz="6" w:space="0" w:color="auto"/>
              <w:bottom w:val="outset" w:sz="6" w:space="0" w:color="auto"/>
            </w:tcBorders>
            <w:vAlign w:val="center"/>
          </w:tcPr>
          <w:p w:rsidR="007B3DA9" w:rsidRPr="007B45F3" w:rsidRDefault="007B3DA9" w:rsidP="00B82489">
            <w:pPr>
              <w:rPr>
                <w:rFonts w:ascii="Arial" w:hAnsi="Arial" w:cs="Arial"/>
                <w:color w:val="000000"/>
              </w:rPr>
            </w:pPr>
            <w:r w:rsidRPr="007B45F3">
              <w:rPr>
                <w:rFonts w:ascii="Arial" w:hAnsi="Arial" w:cs="Arial"/>
                <w:color w:val="000000"/>
              </w:rPr>
              <w:t>Крупный</w:t>
            </w:r>
          </w:p>
        </w:tc>
      </w:tr>
      <w:tr w:rsidR="007B3DA9" w:rsidRPr="007B45F3">
        <w:trPr>
          <w:tblCellSpacing w:w="37" w:type="dxa"/>
          <w:jc w:val="center"/>
        </w:trPr>
        <w:tc>
          <w:tcPr>
            <w:tcW w:w="0" w:type="auto"/>
            <w:tcBorders>
              <w:top w:val="outset" w:sz="6" w:space="0" w:color="auto"/>
              <w:bottom w:val="outset" w:sz="6" w:space="0" w:color="auto"/>
              <w:right w:val="outset" w:sz="6" w:space="0" w:color="auto"/>
            </w:tcBorders>
            <w:vAlign w:val="center"/>
          </w:tcPr>
          <w:p w:rsidR="007B3DA9" w:rsidRPr="007B45F3" w:rsidRDefault="007B3DA9" w:rsidP="00B82489">
            <w:pPr>
              <w:rPr>
                <w:rFonts w:ascii="Arial" w:hAnsi="Arial" w:cs="Arial"/>
                <w:color w:val="000000"/>
              </w:rPr>
            </w:pPr>
          </w:p>
        </w:tc>
        <w:tc>
          <w:tcPr>
            <w:tcW w:w="0" w:type="auto"/>
            <w:tcBorders>
              <w:top w:val="outset" w:sz="6" w:space="0" w:color="auto"/>
              <w:left w:val="outset" w:sz="6" w:space="0" w:color="auto"/>
              <w:bottom w:val="outset" w:sz="6" w:space="0" w:color="auto"/>
              <w:right w:val="outset" w:sz="6" w:space="0" w:color="auto"/>
            </w:tcBorders>
            <w:vAlign w:val="center"/>
          </w:tcPr>
          <w:p w:rsidR="007B3DA9" w:rsidRPr="007B45F3" w:rsidRDefault="007B3DA9" w:rsidP="00B82489">
            <w:pPr>
              <w:rPr>
                <w:rFonts w:ascii="Arial" w:hAnsi="Arial" w:cs="Arial"/>
                <w:color w:val="000000"/>
              </w:rPr>
            </w:pPr>
            <w:r w:rsidRPr="007B45F3">
              <w:rPr>
                <w:rFonts w:ascii="Arial" w:hAnsi="Arial" w:cs="Arial"/>
                <w:color w:val="000000"/>
              </w:rPr>
              <w:t>Россия</w:t>
            </w:r>
          </w:p>
        </w:tc>
        <w:tc>
          <w:tcPr>
            <w:tcW w:w="0" w:type="auto"/>
            <w:tcBorders>
              <w:top w:val="outset" w:sz="6" w:space="0" w:color="auto"/>
              <w:left w:val="outset" w:sz="6" w:space="0" w:color="auto"/>
              <w:bottom w:val="outset" w:sz="6" w:space="0" w:color="auto"/>
              <w:right w:val="outset" w:sz="6" w:space="0" w:color="auto"/>
            </w:tcBorders>
            <w:vAlign w:val="center"/>
          </w:tcPr>
          <w:p w:rsidR="007B3DA9" w:rsidRPr="007B45F3" w:rsidRDefault="007B3DA9" w:rsidP="00B82489">
            <w:pPr>
              <w:rPr>
                <w:rFonts w:ascii="Arial" w:hAnsi="Arial" w:cs="Arial"/>
                <w:color w:val="000000"/>
              </w:rPr>
            </w:pPr>
            <w:r w:rsidRPr="007B45F3">
              <w:rPr>
                <w:rFonts w:ascii="Arial" w:hAnsi="Arial" w:cs="Arial"/>
                <w:color w:val="000000"/>
              </w:rPr>
              <w:t>183.6</w:t>
            </w:r>
          </w:p>
        </w:tc>
        <w:tc>
          <w:tcPr>
            <w:tcW w:w="0" w:type="auto"/>
            <w:tcBorders>
              <w:top w:val="outset" w:sz="6" w:space="0" w:color="auto"/>
              <w:left w:val="outset" w:sz="6" w:space="0" w:color="auto"/>
              <w:bottom w:val="outset" w:sz="6" w:space="0" w:color="auto"/>
              <w:right w:val="outset" w:sz="6" w:space="0" w:color="auto"/>
            </w:tcBorders>
            <w:vAlign w:val="center"/>
          </w:tcPr>
          <w:p w:rsidR="007B3DA9" w:rsidRPr="007B45F3" w:rsidRDefault="007B3DA9" w:rsidP="00B82489">
            <w:pPr>
              <w:rPr>
                <w:rFonts w:ascii="Arial" w:hAnsi="Arial" w:cs="Arial"/>
                <w:color w:val="000000"/>
              </w:rPr>
            </w:pPr>
            <w:r w:rsidRPr="007B45F3">
              <w:rPr>
                <w:rFonts w:ascii="Arial" w:hAnsi="Arial" w:cs="Arial"/>
                <w:color w:val="000000"/>
              </w:rPr>
              <w:t>69</w:t>
            </w:r>
          </w:p>
        </w:tc>
        <w:tc>
          <w:tcPr>
            <w:tcW w:w="0" w:type="auto"/>
            <w:tcBorders>
              <w:top w:val="outset" w:sz="6" w:space="0" w:color="auto"/>
              <w:left w:val="outset" w:sz="6" w:space="0" w:color="auto"/>
              <w:bottom w:val="outset" w:sz="6" w:space="0" w:color="auto"/>
              <w:right w:val="outset" w:sz="6" w:space="0" w:color="auto"/>
            </w:tcBorders>
            <w:vAlign w:val="center"/>
          </w:tcPr>
          <w:p w:rsidR="007B3DA9" w:rsidRPr="007B45F3" w:rsidRDefault="007B3DA9" w:rsidP="00B82489">
            <w:pPr>
              <w:rPr>
                <w:rFonts w:ascii="Arial" w:hAnsi="Arial" w:cs="Arial"/>
                <w:color w:val="000000"/>
              </w:rPr>
            </w:pPr>
            <w:r w:rsidRPr="007B45F3">
              <w:rPr>
                <w:rFonts w:ascii="Arial" w:hAnsi="Arial" w:cs="Arial"/>
                <w:color w:val="000000"/>
              </w:rPr>
              <w:t>10</w:t>
            </w:r>
          </w:p>
        </w:tc>
        <w:tc>
          <w:tcPr>
            <w:tcW w:w="0" w:type="auto"/>
            <w:tcBorders>
              <w:top w:val="outset" w:sz="6" w:space="0" w:color="auto"/>
              <w:left w:val="outset" w:sz="6" w:space="0" w:color="auto"/>
              <w:bottom w:val="outset" w:sz="6" w:space="0" w:color="auto"/>
            </w:tcBorders>
            <w:vAlign w:val="center"/>
          </w:tcPr>
          <w:p w:rsidR="007B3DA9" w:rsidRPr="007B45F3" w:rsidRDefault="007B3DA9" w:rsidP="00B82489">
            <w:pPr>
              <w:rPr>
                <w:rFonts w:ascii="Arial" w:hAnsi="Arial" w:cs="Arial"/>
                <w:color w:val="000000"/>
              </w:rPr>
            </w:pPr>
            <w:r w:rsidRPr="007B45F3">
              <w:rPr>
                <w:rFonts w:ascii="Arial" w:hAnsi="Arial" w:cs="Arial"/>
                <w:color w:val="000000"/>
              </w:rPr>
              <w:t>Умеренный</w:t>
            </w:r>
          </w:p>
        </w:tc>
      </w:tr>
      <w:tr w:rsidR="007B3DA9" w:rsidRPr="007B45F3">
        <w:trPr>
          <w:tblCellSpacing w:w="37" w:type="dxa"/>
          <w:jc w:val="center"/>
        </w:trPr>
        <w:tc>
          <w:tcPr>
            <w:tcW w:w="0" w:type="auto"/>
            <w:tcBorders>
              <w:top w:val="outset" w:sz="6" w:space="0" w:color="auto"/>
              <w:bottom w:val="outset" w:sz="6" w:space="0" w:color="auto"/>
              <w:right w:val="outset" w:sz="6" w:space="0" w:color="auto"/>
            </w:tcBorders>
            <w:vAlign w:val="center"/>
          </w:tcPr>
          <w:p w:rsidR="007B3DA9" w:rsidRPr="007B45F3" w:rsidRDefault="007B3DA9" w:rsidP="00B82489">
            <w:pPr>
              <w:rPr>
                <w:rFonts w:ascii="Arial" w:hAnsi="Arial" w:cs="Arial"/>
                <w:color w:val="000000"/>
              </w:rPr>
            </w:pPr>
          </w:p>
        </w:tc>
        <w:tc>
          <w:tcPr>
            <w:tcW w:w="0" w:type="auto"/>
            <w:tcBorders>
              <w:top w:val="outset" w:sz="6" w:space="0" w:color="auto"/>
              <w:left w:val="outset" w:sz="6" w:space="0" w:color="auto"/>
              <w:bottom w:val="outset" w:sz="6" w:space="0" w:color="auto"/>
              <w:right w:val="outset" w:sz="6" w:space="0" w:color="auto"/>
            </w:tcBorders>
            <w:vAlign w:val="center"/>
          </w:tcPr>
          <w:p w:rsidR="007B3DA9" w:rsidRPr="007B45F3" w:rsidRDefault="007B3DA9" w:rsidP="00B82489">
            <w:pPr>
              <w:rPr>
                <w:rFonts w:ascii="Arial" w:hAnsi="Arial" w:cs="Arial"/>
                <w:color w:val="000000"/>
              </w:rPr>
            </w:pPr>
            <w:r w:rsidRPr="007B45F3">
              <w:rPr>
                <w:rFonts w:ascii="Arial" w:hAnsi="Arial" w:cs="Arial"/>
                <w:color w:val="000000"/>
              </w:rPr>
              <w:t>Мексика</w:t>
            </w:r>
          </w:p>
        </w:tc>
        <w:tc>
          <w:tcPr>
            <w:tcW w:w="0" w:type="auto"/>
            <w:tcBorders>
              <w:top w:val="outset" w:sz="6" w:space="0" w:color="auto"/>
              <w:left w:val="outset" w:sz="6" w:space="0" w:color="auto"/>
              <w:bottom w:val="outset" w:sz="6" w:space="0" w:color="auto"/>
              <w:right w:val="outset" w:sz="6" w:space="0" w:color="auto"/>
            </w:tcBorders>
            <w:vAlign w:val="center"/>
          </w:tcPr>
          <w:p w:rsidR="007B3DA9" w:rsidRPr="007B45F3" w:rsidRDefault="007B3DA9" w:rsidP="00B82489">
            <w:pPr>
              <w:rPr>
                <w:rFonts w:ascii="Arial" w:hAnsi="Arial" w:cs="Arial"/>
                <w:color w:val="000000"/>
              </w:rPr>
            </w:pPr>
            <w:r w:rsidRPr="007B45F3">
              <w:rPr>
                <w:rFonts w:ascii="Arial" w:hAnsi="Arial" w:cs="Arial"/>
                <w:color w:val="000000"/>
              </w:rPr>
              <w:t>160.0</w:t>
            </w:r>
          </w:p>
        </w:tc>
        <w:tc>
          <w:tcPr>
            <w:tcW w:w="0" w:type="auto"/>
            <w:tcBorders>
              <w:top w:val="outset" w:sz="6" w:space="0" w:color="auto"/>
              <w:left w:val="outset" w:sz="6" w:space="0" w:color="auto"/>
              <w:bottom w:val="outset" w:sz="6" w:space="0" w:color="auto"/>
              <w:right w:val="outset" w:sz="6" w:space="0" w:color="auto"/>
            </w:tcBorders>
            <w:vAlign w:val="center"/>
          </w:tcPr>
          <w:p w:rsidR="007B3DA9" w:rsidRPr="007B45F3" w:rsidRDefault="007B3DA9" w:rsidP="00B82489">
            <w:pPr>
              <w:rPr>
                <w:rFonts w:ascii="Arial" w:hAnsi="Arial" w:cs="Arial"/>
                <w:color w:val="000000"/>
              </w:rPr>
            </w:pPr>
            <w:r w:rsidRPr="007B45F3">
              <w:rPr>
                <w:rFonts w:ascii="Arial" w:hAnsi="Arial" w:cs="Arial"/>
                <w:color w:val="000000"/>
              </w:rPr>
              <w:t>42</w:t>
            </w:r>
          </w:p>
        </w:tc>
        <w:tc>
          <w:tcPr>
            <w:tcW w:w="0" w:type="auto"/>
            <w:tcBorders>
              <w:top w:val="outset" w:sz="6" w:space="0" w:color="auto"/>
              <w:left w:val="outset" w:sz="6" w:space="0" w:color="auto"/>
              <w:bottom w:val="outset" w:sz="6" w:space="0" w:color="auto"/>
              <w:right w:val="outset" w:sz="6" w:space="0" w:color="auto"/>
            </w:tcBorders>
            <w:vAlign w:val="center"/>
          </w:tcPr>
          <w:p w:rsidR="007B3DA9" w:rsidRPr="007B45F3" w:rsidRDefault="007B3DA9" w:rsidP="00B82489">
            <w:pPr>
              <w:rPr>
                <w:rFonts w:ascii="Arial" w:hAnsi="Arial" w:cs="Arial"/>
                <w:color w:val="000000"/>
              </w:rPr>
            </w:pPr>
            <w:r w:rsidRPr="007B45F3">
              <w:rPr>
                <w:rFonts w:ascii="Arial" w:hAnsi="Arial" w:cs="Arial"/>
                <w:color w:val="000000"/>
              </w:rPr>
              <w:t>17</w:t>
            </w:r>
          </w:p>
        </w:tc>
        <w:tc>
          <w:tcPr>
            <w:tcW w:w="0" w:type="auto"/>
            <w:tcBorders>
              <w:top w:val="outset" w:sz="6" w:space="0" w:color="auto"/>
              <w:left w:val="outset" w:sz="6" w:space="0" w:color="auto"/>
              <w:bottom w:val="outset" w:sz="6" w:space="0" w:color="auto"/>
            </w:tcBorders>
            <w:vAlign w:val="center"/>
          </w:tcPr>
          <w:p w:rsidR="007B3DA9" w:rsidRPr="007B45F3" w:rsidRDefault="007B3DA9" w:rsidP="00B82489">
            <w:pPr>
              <w:rPr>
                <w:rFonts w:ascii="Arial" w:hAnsi="Arial" w:cs="Arial"/>
                <w:color w:val="000000"/>
              </w:rPr>
            </w:pPr>
            <w:r w:rsidRPr="007B45F3">
              <w:rPr>
                <w:rFonts w:ascii="Arial" w:hAnsi="Arial" w:cs="Arial"/>
                <w:color w:val="000000"/>
              </w:rPr>
              <w:t>Небольшой</w:t>
            </w:r>
          </w:p>
        </w:tc>
      </w:tr>
      <w:tr w:rsidR="007B3DA9" w:rsidRPr="007B45F3">
        <w:trPr>
          <w:tblCellSpacing w:w="37" w:type="dxa"/>
          <w:jc w:val="center"/>
        </w:trPr>
        <w:tc>
          <w:tcPr>
            <w:tcW w:w="0" w:type="auto"/>
            <w:tcBorders>
              <w:top w:val="outset" w:sz="6" w:space="0" w:color="auto"/>
              <w:bottom w:val="outset" w:sz="6" w:space="0" w:color="auto"/>
              <w:right w:val="outset" w:sz="6" w:space="0" w:color="auto"/>
            </w:tcBorders>
            <w:vAlign w:val="center"/>
          </w:tcPr>
          <w:p w:rsidR="007B3DA9" w:rsidRPr="007B45F3" w:rsidRDefault="007B3DA9" w:rsidP="00B82489">
            <w:pPr>
              <w:rPr>
                <w:rFonts w:ascii="Arial" w:hAnsi="Arial" w:cs="Arial"/>
                <w:color w:val="000000"/>
              </w:rPr>
            </w:pPr>
          </w:p>
        </w:tc>
        <w:tc>
          <w:tcPr>
            <w:tcW w:w="0" w:type="auto"/>
            <w:tcBorders>
              <w:top w:val="outset" w:sz="6" w:space="0" w:color="auto"/>
              <w:left w:val="outset" w:sz="6" w:space="0" w:color="auto"/>
              <w:bottom w:val="outset" w:sz="6" w:space="0" w:color="auto"/>
              <w:right w:val="outset" w:sz="6" w:space="0" w:color="auto"/>
            </w:tcBorders>
            <w:vAlign w:val="center"/>
          </w:tcPr>
          <w:p w:rsidR="007B3DA9" w:rsidRPr="007B45F3" w:rsidRDefault="007B3DA9" w:rsidP="00B82489">
            <w:pPr>
              <w:rPr>
                <w:rFonts w:ascii="Arial" w:hAnsi="Arial" w:cs="Arial"/>
                <w:color w:val="000000"/>
              </w:rPr>
            </w:pPr>
            <w:r w:rsidRPr="007B45F3">
              <w:rPr>
                <w:rFonts w:ascii="Arial" w:hAnsi="Arial" w:cs="Arial"/>
                <w:color w:val="000000"/>
              </w:rPr>
              <w:t>Китай</w:t>
            </w:r>
          </w:p>
        </w:tc>
        <w:tc>
          <w:tcPr>
            <w:tcW w:w="0" w:type="auto"/>
            <w:tcBorders>
              <w:top w:val="outset" w:sz="6" w:space="0" w:color="auto"/>
              <w:left w:val="outset" w:sz="6" w:space="0" w:color="auto"/>
              <w:bottom w:val="outset" w:sz="6" w:space="0" w:color="auto"/>
              <w:right w:val="outset" w:sz="6" w:space="0" w:color="auto"/>
            </w:tcBorders>
            <w:vAlign w:val="center"/>
          </w:tcPr>
          <w:p w:rsidR="007B3DA9" w:rsidRPr="007B45F3" w:rsidRDefault="007B3DA9" w:rsidP="00B82489">
            <w:pPr>
              <w:rPr>
                <w:rFonts w:ascii="Arial" w:hAnsi="Arial" w:cs="Arial"/>
                <w:color w:val="000000"/>
              </w:rPr>
            </w:pPr>
            <w:r w:rsidRPr="007B45F3">
              <w:rPr>
                <w:rFonts w:ascii="Arial" w:hAnsi="Arial" w:cs="Arial"/>
                <w:color w:val="000000"/>
              </w:rPr>
              <w:t>154.6</w:t>
            </w:r>
          </w:p>
        </w:tc>
        <w:tc>
          <w:tcPr>
            <w:tcW w:w="0" w:type="auto"/>
            <w:tcBorders>
              <w:top w:val="outset" w:sz="6" w:space="0" w:color="auto"/>
              <w:left w:val="outset" w:sz="6" w:space="0" w:color="auto"/>
              <w:bottom w:val="outset" w:sz="6" w:space="0" w:color="auto"/>
              <w:right w:val="outset" w:sz="6" w:space="0" w:color="auto"/>
            </w:tcBorders>
            <w:vAlign w:val="center"/>
          </w:tcPr>
          <w:p w:rsidR="007B3DA9" w:rsidRPr="007B45F3" w:rsidRDefault="007B3DA9" w:rsidP="00B82489">
            <w:pPr>
              <w:rPr>
                <w:rFonts w:ascii="Arial" w:hAnsi="Arial" w:cs="Arial"/>
                <w:color w:val="000000"/>
              </w:rPr>
            </w:pPr>
            <w:r w:rsidRPr="007B45F3">
              <w:rPr>
                <w:rFonts w:ascii="Arial" w:hAnsi="Arial" w:cs="Arial"/>
                <w:color w:val="000000"/>
              </w:rPr>
              <w:t>16</w:t>
            </w:r>
          </w:p>
        </w:tc>
        <w:tc>
          <w:tcPr>
            <w:tcW w:w="0" w:type="auto"/>
            <w:tcBorders>
              <w:top w:val="outset" w:sz="6" w:space="0" w:color="auto"/>
              <w:left w:val="outset" w:sz="6" w:space="0" w:color="auto"/>
              <w:bottom w:val="outset" w:sz="6" w:space="0" w:color="auto"/>
              <w:right w:val="outset" w:sz="6" w:space="0" w:color="auto"/>
            </w:tcBorders>
            <w:vAlign w:val="center"/>
          </w:tcPr>
          <w:p w:rsidR="007B3DA9" w:rsidRPr="007B45F3" w:rsidRDefault="007B3DA9" w:rsidP="00B82489">
            <w:pPr>
              <w:rPr>
                <w:rFonts w:ascii="Arial" w:hAnsi="Arial" w:cs="Arial"/>
                <w:color w:val="000000"/>
              </w:rPr>
            </w:pPr>
            <w:r w:rsidRPr="007B45F3">
              <w:rPr>
                <w:rFonts w:ascii="Arial" w:hAnsi="Arial" w:cs="Arial"/>
                <w:color w:val="000000"/>
              </w:rPr>
              <w:t>18</w:t>
            </w:r>
          </w:p>
        </w:tc>
        <w:tc>
          <w:tcPr>
            <w:tcW w:w="0" w:type="auto"/>
            <w:tcBorders>
              <w:top w:val="outset" w:sz="6" w:space="0" w:color="auto"/>
              <w:left w:val="outset" w:sz="6" w:space="0" w:color="auto"/>
              <w:bottom w:val="outset" w:sz="6" w:space="0" w:color="auto"/>
            </w:tcBorders>
            <w:vAlign w:val="center"/>
          </w:tcPr>
          <w:p w:rsidR="007B3DA9" w:rsidRPr="007B45F3" w:rsidRDefault="007B3DA9" w:rsidP="00B82489">
            <w:pPr>
              <w:rPr>
                <w:rFonts w:ascii="Arial" w:hAnsi="Arial" w:cs="Arial"/>
                <w:color w:val="000000"/>
              </w:rPr>
            </w:pPr>
            <w:r w:rsidRPr="007B45F3">
              <w:rPr>
                <w:rFonts w:ascii="Arial" w:hAnsi="Arial" w:cs="Arial"/>
                <w:color w:val="000000"/>
              </w:rPr>
              <w:t>Небольшой</w:t>
            </w:r>
          </w:p>
        </w:tc>
      </w:tr>
      <w:tr w:rsidR="007B3DA9" w:rsidRPr="007B45F3">
        <w:trPr>
          <w:tblCellSpacing w:w="37" w:type="dxa"/>
          <w:jc w:val="center"/>
        </w:trPr>
        <w:tc>
          <w:tcPr>
            <w:tcW w:w="0" w:type="auto"/>
            <w:tcBorders>
              <w:top w:val="outset" w:sz="6" w:space="0" w:color="auto"/>
              <w:bottom w:val="outset" w:sz="6" w:space="0" w:color="auto"/>
              <w:right w:val="outset" w:sz="6" w:space="0" w:color="auto"/>
            </w:tcBorders>
            <w:vAlign w:val="center"/>
          </w:tcPr>
          <w:p w:rsidR="007B3DA9" w:rsidRPr="007B45F3" w:rsidRDefault="007B3DA9" w:rsidP="00B82489">
            <w:pPr>
              <w:rPr>
                <w:rFonts w:ascii="Arial" w:hAnsi="Arial" w:cs="Arial"/>
                <w:color w:val="000000"/>
              </w:rPr>
            </w:pPr>
          </w:p>
        </w:tc>
        <w:tc>
          <w:tcPr>
            <w:tcW w:w="0" w:type="auto"/>
            <w:tcBorders>
              <w:top w:val="outset" w:sz="6" w:space="0" w:color="auto"/>
              <w:left w:val="outset" w:sz="6" w:space="0" w:color="auto"/>
              <w:bottom w:val="outset" w:sz="6" w:space="0" w:color="auto"/>
              <w:right w:val="outset" w:sz="6" w:space="0" w:color="auto"/>
            </w:tcBorders>
            <w:vAlign w:val="center"/>
          </w:tcPr>
          <w:p w:rsidR="007B3DA9" w:rsidRPr="007B45F3" w:rsidRDefault="007B3DA9" w:rsidP="00B82489">
            <w:pPr>
              <w:rPr>
                <w:rFonts w:ascii="Arial" w:hAnsi="Arial" w:cs="Arial"/>
                <w:color w:val="000000"/>
              </w:rPr>
            </w:pPr>
            <w:r w:rsidRPr="007B45F3">
              <w:rPr>
                <w:rFonts w:ascii="Arial" w:hAnsi="Arial" w:cs="Arial"/>
                <w:color w:val="000000"/>
              </w:rPr>
              <w:t>Индонезия</w:t>
            </w:r>
          </w:p>
        </w:tc>
        <w:tc>
          <w:tcPr>
            <w:tcW w:w="0" w:type="auto"/>
            <w:tcBorders>
              <w:top w:val="outset" w:sz="6" w:space="0" w:color="auto"/>
              <w:left w:val="outset" w:sz="6" w:space="0" w:color="auto"/>
              <w:bottom w:val="outset" w:sz="6" w:space="0" w:color="auto"/>
              <w:right w:val="outset" w:sz="6" w:space="0" w:color="auto"/>
            </w:tcBorders>
            <w:vAlign w:val="center"/>
          </w:tcPr>
          <w:p w:rsidR="007B3DA9" w:rsidRPr="007B45F3" w:rsidRDefault="007B3DA9" w:rsidP="00B82489">
            <w:pPr>
              <w:rPr>
                <w:rFonts w:ascii="Arial" w:hAnsi="Arial" w:cs="Arial"/>
                <w:color w:val="000000"/>
              </w:rPr>
            </w:pPr>
            <w:r w:rsidRPr="007B45F3">
              <w:rPr>
                <w:rFonts w:ascii="Arial" w:hAnsi="Arial" w:cs="Arial"/>
                <w:color w:val="000000"/>
              </w:rPr>
              <w:t>147.5</w:t>
            </w:r>
          </w:p>
        </w:tc>
        <w:tc>
          <w:tcPr>
            <w:tcW w:w="0" w:type="auto"/>
            <w:tcBorders>
              <w:top w:val="outset" w:sz="6" w:space="0" w:color="auto"/>
              <w:left w:val="outset" w:sz="6" w:space="0" w:color="auto"/>
              <w:bottom w:val="outset" w:sz="6" w:space="0" w:color="auto"/>
              <w:right w:val="outset" w:sz="6" w:space="0" w:color="auto"/>
            </w:tcBorders>
            <w:vAlign w:val="center"/>
          </w:tcPr>
          <w:p w:rsidR="007B3DA9" w:rsidRPr="007B45F3" w:rsidRDefault="007B3DA9" w:rsidP="00B82489">
            <w:pPr>
              <w:rPr>
                <w:rFonts w:ascii="Arial" w:hAnsi="Arial" w:cs="Arial"/>
                <w:color w:val="000000"/>
              </w:rPr>
            </w:pPr>
            <w:r w:rsidRPr="007B45F3">
              <w:rPr>
                <w:rFonts w:ascii="Arial" w:hAnsi="Arial" w:cs="Arial"/>
                <w:color w:val="000000"/>
              </w:rPr>
              <w:t>173</w:t>
            </w:r>
          </w:p>
        </w:tc>
        <w:tc>
          <w:tcPr>
            <w:tcW w:w="0" w:type="auto"/>
            <w:tcBorders>
              <w:top w:val="outset" w:sz="6" w:space="0" w:color="auto"/>
              <w:left w:val="outset" w:sz="6" w:space="0" w:color="auto"/>
              <w:bottom w:val="outset" w:sz="6" w:space="0" w:color="auto"/>
              <w:right w:val="outset" w:sz="6" w:space="0" w:color="auto"/>
            </w:tcBorders>
            <w:vAlign w:val="center"/>
          </w:tcPr>
          <w:p w:rsidR="007B3DA9" w:rsidRPr="007B45F3" w:rsidRDefault="007B3DA9" w:rsidP="00B82489">
            <w:pPr>
              <w:rPr>
                <w:rFonts w:ascii="Arial" w:hAnsi="Arial" w:cs="Arial"/>
                <w:color w:val="000000"/>
              </w:rPr>
            </w:pPr>
            <w:r w:rsidRPr="007B45F3">
              <w:rPr>
                <w:rFonts w:ascii="Arial" w:hAnsi="Arial" w:cs="Arial"/>
                <w:color w:val="000000"/>
              </w:rPr>
              <w:t>14</w:t>
            </w:r>
          </w:p>
        </w:tc>
        <w:tc>
          <w:tcPr>
            <w:tcW w:w="0" w:type="auto"/>
            <w:tcBorders>
              <w:top w:val="outset" w:sz="6" w:space="0" w:color="auto"/>
              <w:left w:val="outset" w:sz="6" w:space="0" w:color="auto"/>
              <w:bottom w:val="outset" w:sz="6" w:space="0" w:color="auto"/>
            </w:tcBorders>
            <w:vAlign w:val="center"/>
          </w:tcPr>
          <w:p w:rsidR="007B3DA9" w:rsidRPr="007B45F3" w:rsidRDefault="007B3DA9" w:rsidP="00B82489">
            <w:pPr>
              <w:rPr>
                <w:rFonts w:ascii="Arial" w:hAnsi="Arial" w:cs="Arial"/>
                <w:color w:val="000000"/>
              </w:rPr>
            </w:pPr>
            <w:r w:rsidRPr="007B45F3">
              <w:rPr>
                <w:rFonts w:ascii="Arial" w:hAnsi="Arial" w:cs="Arial"/>
                <w:color w:val="000000"/>
              </w:rPr>
              <w:t>Крупный</w:t>
            </w:r>
          </w:p>
        </w:tc>
      </w:tr>
      <w:tr w:rsidR="007B3DA9" w:rsidRPr="007B45F3">
        <w:trPr>
          <w:tblCellSpacing w:w="37" w:type="dxa"/>
          <w:jc w:val="center"/>
        </w:trPr>
        <w:tc>
          <w:tcPr>
            <w:tcW w:w="0" w:type="auto"/>
            <w:tcBorders>
              <w:top w:val="outset" w:sz="6" w:space="0" w:color="auto"/>
              <w:bottom w:val="outset" w:sz="6" w:space="0" w:color="auto"/>
              <w:right w:val="outset" w:sz="6" w:space="0" w:color="auto"/>
            </w:tcBorders>
            <w:vAlign w:val="center"/>
          </w:tcPr>
          <w:p w:rsidR="007B3DA9" w:rsidRPr="007B45F3" w:rsidRDefault="007B3DA9" w:rsidP="00B82489">
            <w:pPr>
              <w:rPr>
                <w:rFonts w:ascii="Arial" w:hAnsi="Arial" w:cs="Arial"/>
                <w:color w:val="000000"/>
              </w:rPr>
            </w:pPr>
          </w:p>
        </w:tc>
        <w:tc>
          <w:tcPr>
            <w:tcW w:w="0" w:type="auto"/>
            <w:tcBorders>
              <w:top w:val="outset" w:sz="6" w:space="0" w:color="auto"/>
              <w:left w:val="outset" w:sz="6" w:space="0" w:color="auto"/>
              <w:bottom w:val="outset" w:sz="6" w:space="0" w:color="auto"/>
              <w:right w:val="outset" w:sz="6" w:space="0" w:color="auto"/>
            </w:tcBorders>
            <w:vAlign w:val="center"/>
          </w:tcPr>
          <w:p w:rsidR="007B3DA9" w:rsidRPr="007B45F3" w:rsidRDefault="007B3DA9" w:rsidP="00B82489">
            <w:pPr>
              <w:rPr>
                <w:rFonts w:ascii="Arial" w:hAnsi="Arial" w:cs="Arial"/>
                <w:color w:val="000000"/>
              </w:rPr>
            </w:pPr>
            <w:r w:rsidRPr="007B45F3">
              <w:rPr>
                <w:rFonts w:ascii="Arial" w:hAnsi="Arial" w:cs="Arial"/>
                <w:color w:val="000000"/>
              </w:rPr>
              <w:t>Аргентина</w:t>
            </w:r>
          </w:p>
        </w:tc>
        <w:tc>
          <w:tcPr>
            <w:tcW w:w="0" w:type="auto"/>
            <w:tcBorders>
              <w:top w:val="outset" w:sz="6" w:space="0" w:color="auto"/>
              <w:left w:val="outset" w:sz="6" w:space="0" w:color="auto"/>
              <w:bottom w:val="outset" w:sz="6" w:space="0" w:color="auto"/>
              <w:right w:val="outset" w:sz="6" w:space="0" w:color="auto"/>
            </w:tcBorders>
            <w:vAlign w:val="center"/>
          </w:tcPr>
          <w:p w:rsidR="007B3DA9" w:rsidRPr="007B45F3" w:rsidRDefault="007B3DA9" w:rsidP="00B82489">
            <w:pPr>
              <w:rPr>
                <w:rFonts w:ascii="Arial" w:hAnsi="Arial" w:cs="Arial"/>
                <w:color w:val="000000"/>
              </w:rPr>
            </w:pPr>
            <w:r w:rsidRPr="007B45F3">
              <w:rPr>
                <w:rFonts w:ascii="Arial" w:hAnsi="Arial" w:cs="Arial"/>
                <w:color w:val="000000"/>
              </w:rPr>
              <w:t>144.1</w:t>
            </w:r>
          </w:p>
        </w:tc>
        <w:tc>
          <w:tcPr>
            <w:tcW w:w="0" w:type="auto"/>
            <w:tcBorders>
              <w:top w:val="outset" w:sz="6" w:space="0" w:color="auto"/>
              <w:left w:val="outset" w:sz="6" w:space="0" w:color="auto"/>
              <w:bottom w:val="outset" w:sz="6" w:space="0" w:color="auto"/>
              <w:right w:val="outset" w:sz="6" w:space="0" w:color="auto"/>
            </w:tcBorders>
            <w:vAlign w:val="center"/>
          </w:tcPr>
          <w:p w:rsidR="007B3DA9" w:rsidRPr="007B45F3" w:rsidRDefault="007B3DA9" w:rsidP="00B82489">
            <w:pPr>
              <w:rPr>
                <w:rFonts w:ascii="Arial" w:hAnsi="Arial" w:cs="Arial"/>
                <w:color w:val="000000"/>
              </w:rPr>
            </w:pPr>
            <w:r w:rsidRPr="007B45F3">
              <w:rPr>
                <w:rFonts w:ascii="Arial" w:hAnsi="Arial" w:cs="Arial"/>
                <w:color w:val="000000"/>
              </w:rPr>
              <w:t>50</w:t>
            </w:r>
          </w:p>
        </w:tc>
        <w:tc>
          <w:tcPr>
            <w:tcW w:w="0" w:type="auto"/>
            <w:tcBorders>
              <w:top w:val="outset" w:sz="6" w:space="0" w:color="auto"/>
              <w:left w:val="outset" w:sz="6" w:space="0" w:color="auto"/>
              <w:bottom w:val="outset" w:sz="6" w:space="0" w:color="auto"/>
              <w:right w:val="outset" w:sz="6" w:space="0" w:color="auto"/>
            </w:tcBorders>
            <w:vAlign w:val="center"/>
          </w:tcPr>
          <w:p w:rsidR="007B3DA9" w:rsidRPr="007B45F3" w:rsidRDefault="007B3DA9" w:rsidP="00B82489">
            <w:pPr>
              <w:rPr>
                <w:rFonts w:ascii="Arial" w:hAnsi="Arial" w:cs="Arial"/>
                <w:color w:val="000000"/>
              </w:rPr>
            </w:pPr>
            <w:r w:rsidRPr="007B45F3">
              <w:rPr>
                <w:rFonts w:ascii="Arial" w:hAnsi="Arial" w:cs="Arial"/>
                <w:color w:val="000000"/>
              </w:rPr>
              <w:t>22</w:t>
            </w:r>
          </w:p>
        </w:tc>
        <w:tc>
          <w:tcPr>
            <w:tcW w:w="0" w:type="auto"/>
            <w:tcBorders>
              <w:top w:val="outset" w:sz="6" w:space="0" w:color="auto"/>
              <w:left w:val="outset" w:sz="6" w:space="0" w:color="auto"/>
              <w:bottom w:val="outset" w:sz="6" w:space="0" w:color="auto"/>
            </w:tcBorders>
            <w:vAlign w:val="center"/>
          </w:tcPr>
          <w:p w:rsidR="007B3DA9" w:rsidRPr="007B45F3" w:rsidRDefault="007B3DA9" w:rsidP="00B82489">
            <w:pPr>
              <w:rPr>
                <w:rFonts w:ascii="Arial" w:hAnsi="Arial" w:cs="Arial"/>
                <w:color w:val="000000"/>
              </w:rPr>
            </w:pPr>
            <w:r w:rsidRPr="007B45F3">
              <w:rPr>
                <w:rFonts w:ascii="Arial" w:hAnsi="Arial" w:cs="Arial"/>
                <w:color w:val="000000"/>
              </w:rPr>
              <w:t>Крупный</w:t>
            </w:r>
          </w:p>
        </w:tc>
      </w:tr>
      <w:tr w:rsidR="007B3DA9" w:rsidRPr="007B45F3">
        <w:trPr>
          <w:tblCellSpacing w:w="37" w:type="dxa"/>
          <w:jc w:val="center"/>
        </w:trPr>
        <w:tc>
          <w:tcPr>
            <w:tcW w:w="0" w:type="auto"/>
            <w:tcBorders>
              <w:top w:val="outset" w:sz="6" w:space="0" w:color="auto"/>
              <w:bottom w:val="outset" w:sz="6" w:space="0" w:color="auto"/>
              <w:right w:val="outset" w:sz="6" w:space="0" w:color="auto"/>
            </w:tcBorders>
            <w:vAlign w:val="center"/>
          </w:tcPr>
          <w:p w:rsidR="007B3DA9" w:rsidRPr="007B45F3" w:rsidRDefault="007B3DA9" w:rsidP="00B82489">
            <w:pPr>
              <w:rPr>
                <w:rFonts w:ascii="Arial" w:hAnsi="Arial" w:cs="Arial"/>
                <w:color w:val="000000"/>
              </w:rPr>
            </w:pPr>
          </w:p>
        </w:tc>
        <w:tc>
          <w:tcPr>
            <w:tcW w:w="0" w:type="auto"/>
            <w:tcBorders>
              <w:top w:val="outset" w:sz="6" w:space="0" w:color="auto"/>
              <w:left w:val="outset" w:sz="6" w:space="0" w:color="auto"/>
              <w:bottom w:val="outset" w:sz="6" w:space="0" w:color="auto"/>
              <w:right w:val="outset" w:sz="6" w:space="0" w:color="auto"/>
            </w:tcBorders>
            <w:vAlign w:val="center"/>
          </w:tcPr>
          <w:p w:rsidR="007B3DA9" w:rsidRPr="007B45F3" w:rsidRDefault="007B3DA9" w:rsidP="00B82489">
            <w:pPr>
              <w:rPr>
                <w:rFonts w:ascii="Arial" w:hAnsi="Arial" w:cs="Arial"/>
                <w:color w:val="000000"/>
              </w:rPr>
            </w:pPr>
            <w:r w:rsidRPr="007B45F3">
              <w:rPr>
                <w:rFonts w:ascii="Arial" w:hAnsi="Arial" w:cs="Arial"/>
                <w:color w:val="000000"/>
              </w:rPr>
              <w:t>Корея</w:t>
            </w:r>
          </w:p>
        </w:tc>
        <w:tc>
          <w:tcPr>
            <w:tcW w:w="0" w:type="auto"/>
            <w:tcBorders>
              <w:top w:val="outset" w:sz="6" w:space="0" w:color="auto"/>
              <w:left w:val="outset" w:sz="6" w:space="0" w:color="auto"/>
              <w:bottom w:val="outset" w:sz="6" w:space="0" w:color="auto"/>
              <w:right w:val="outset" w:sz="6" w:space="0" w:color="auto"/>
            </w:tcBorders>
            <w:vAlign w:val="center"/>
          </w:tcPr>
          <w:p w:rsidR="007B3DA9" w:rsidRPr="007B45F3" w:rsidRDefault="007B3DA9" w:rsidP="00B82489">
            <w:pPr>
              <w:rPr>
                <w:rFonts w:ascii="Arial" w:hAnsi="Arial" w:cs="Arial"/>
                <w:color w:val="000000"/>
              </w:rPr>
            </w:pPr>
            <w:r w:rsidRPr="007B45F3">
              <w:rPr>
                <w:rFonts w:ascii="Arial" w:hAnsi="Arial" w:cs="Arial"/>
                <w:color w:val="000000"/>
              </w:rPr>
              <w:t>139.1</w:t>
            </w:r>
          </w:p>
        </w:tc>
        <w:tc>
          <w:tcPr>
            <w:tcW w:w="0" w:type="auto"/>
            <w:tcBorders>
              <w:top w:val="outset" w:sz="6" w:space="0" w:color="auto"/>
              <w:left w:val="outset" w:sz="6" w:space="0" w:color="auto"/>
              <w:bottom w:val="outset" w:sz="6" w:space="0" w:color="auto"/>
              <w:right w:val="outset" w:sz="6" w:space="0" w:color="auto"/>
            </w:tcBorders>
            <w:vAlign w:val="center"/>
          </w:tcPr>
          <w:p w:rsidR="007B3DA9" w:rsidRPr="007B45F3" w:rsidRDefault="007B3DA9" w:rsidP="00B82489">
            <w:pPr>
              <w:rPr>
                <w:rFonts w:ascii="Arial" w:hAnsi="Arial" w:cs="Arial"/>
                <w:color w:val="000000"/>
              </w:rPr>
            </w:pPr>
            <w:r w:rsidRPr="007B45F3">
              <w:rPr>
                <w:rFonts w:ascii="Arial" w:hAnsi="Arial" w:cs="Arial"/>
                <w:color w:val="000000"/>
              </w:rPr>
              <w:t>44</w:t>
            </w:r>
          </w:p>
        </w:tc>
        <w:tc>
          <w:tcPr>
            <w:tcW w:w="0" w:type="auto"/>
            <w:tcBorders>
              <w:top w:val="outset" w:sz="6" w:space="0" w:color="auto"/>
              <w:left w:val="outset" w:sz="6" w:space="0" w:color="auto"/>
              <w:bottom w:val="outset" w:sz="6" w:space="0" w:color="auto"/>
              <w:right w:val="outset" w:sz="6" w:space="0" w:color="auto"/>
            </w:tcBorders>
            <w:vAlign w:val="center"/>
          </w:tcPr>
          <w:p w:rsidR="007B3DA9" w:rsidRPr="007B45F3" w:rsidRDefault="007B3DA9" w:rsidP="00B82489">
            <w:pPr>
              <w:rPr>
                <w:rFonts w:ascii="Arial" w:hAnsi="Arial" w:cs="Arial"/>
                <w:color w:val="000000"/>
              </w:rPr>
            </w:pPr>
            <w:r w:rsidRPr="007B45F3">
              <w:rPr>
                <w:rFonts w:ascii="Arial" w:hAnsi="Arial" w:cs="Arial"/>
                <w:color w:val="000000"/>
              </w:rPr>
              <w:t>20</w:t>
            </w:r>
          </w:p>
        </w:tc>
        <w:tc>
          <w:tcPr>
            <w:tcW w:w="0" w:type="auto"/>
            <w:tcBorders>
              <w:top w:val="outset" w:sz="6" w:space="0" w:color="auto"/>
              <w:left w:val="outset" w:sz="6" w:space="0" w:color="auto"/>
              <w:bottom w:val="outset" w:sz="6" w:space="0" w:color="auto"/>
            </w:tcBorders>
            <w:vAlign w:val="center"/>
          </w:tcPr>
          <w:p w:rsidR="007B3DA9" w:rsidRPr="007B45F3" w:rsidRDefault="007B3DA9" w:rsidP="00B82489">
            <w:pPr>
              <w:rPr>
                <w:rFonts w:ascii="Arial" w:hAnsi="Arial" w:cs="Arial"/>
                <w:color w:val="000000"/>
              </w:rPr>
            </w:pPr>
            <w:r w:rsidRPr="007B45F3">
              <w:rPr>
                <w:rFonts w:ascii="Arial" w:hAnsi="Arial" w:cs="Arial"/>
                <w:color w:val="000000"/>
              </w:rPr>
              <w:t>Небольшой</w:t>
            </w:r>
          </w:p>
        </w:tc>
      </w:tr>
      <w:tr w:rsidR="007B3DA9" w:rsidRPr="007B45F3">
        <w:trPr>
          <w:tblCellSpacing w:w="37" w:type="dxa"/>
          <w:jc w:val="center"/>
        </w:trPr>
        <w:tc>
          <w:tcPr>
            <w:tcW w:w="0" w:type="auto"/>
            <w:tcBorders>
              <w:top w:val="outset" w:sz="6" w:space="0" w:color="auto"/>
              <w:bottom w:val="outset" w:sz="6" w:space="0" w:color="auto"/>
              <w:right w:val="outset" w:sz="6" w:space="0" w:color="auto"/>
            </w:tcBorders>
            <w:vAlign w:val="center"/>
          </w:tcPr>
          <w:p w:rsidR="007B3DA9" w:rsidRPr="007B45F3" w:rsidRDefault="007B3DA9" w:rsidP="00B82489">
            <w:pPr>
              <w:rPr>
                <w:rFonts w:ascii="Arial" w:hAnsi="Arial" w:cs="Arial"/>
                <w:color w:val="000000"/>
              </w:rPr>
            </w:pPr>
          </w:p>
        </w:tc>
        <w:tc>
          <w:tcPr>
            <w:tcW w:w="0" w:type="auto"/>
            <w:tcBorders>
              <w:top w:val="outset" w:sz="6" w:space="0" w:color="auto"/>
              <w:left w:val="outset" w:sz="6" w:space="0" w:color="auto"/>
              <w:bottom w:val="outset" w:sz="6" w:space="0" w:color="auto"/>
              <w:right w:val="outset" w:sz="6" w:space="0" w:color="auto"/>
            </w:tcBorders>
            <w:vAlign w:val="center"/>
          </w:tcPr>
          <w:p w:rsidR="007B3DA9" w:rsidRPr="007B45F3" w:rsidRDefault="007B3DA9" w:rsidP="00B82489">
            <w:pPr>
              <w:rPr>
                <w:rFonts w:ascii="Arial" w:hAnsi="Arial" w:cs="Arial"/>
                <w:color w:val="000000"/>
              </w:rPr>
            </w:pPr>
            <w:r w:rsidRPr="007B45F3">
              <w:rPr>
                <w:rFonts w:ascii="Arial" w:hAnsi="Arial" w:cs="Arial"/>
                <w:color w:val="000000"/>
              </w:rPr>
              <w:t>Турция</w:t>
            </w:r>
          </w:p>
        </w:tc>
        <w:tc>
          <w:tcPr>
            <w:tcW w:w="0" w:type="auto"/>
            <w:tcBorders>
              <w:top w:val="outset" w:sz="6" w:space="0" w:color="auto"/>
              <w:left w:val="outset" w:sz="6" w:space="0" w:color="auto"/>
              <w:bottom w:val="outset" w:sz="6" w:space="0" w:color="auto"/>
              <w:right w:val="outset" w:sz="6" w:space="0" w:color="auto"/>
            </w:tcBorders>
            <w:vAlign w:val="center"/>
          </w:tcPr>
          <w:p w:rsidR="007B3DA9" w:rsidRPr="007B45F3" w:rsidRDefault="007B3DA9" w:rsidP="00B82489">
            <w:pPr>
              <w:rPr>
                <w:rFonts w:ascii="Arial" w:hAnsi="Arial" w:cs="Arial"/>
                <w:color w:val="000000"/>
              </w:rPr>
            </w:pPr>
            <w:r w:rsidRPr="007B45F3">
              <w:rPr>
                <w:rFonts w:ascii="Arial" w:hAnsi="Arial" w:cs="Arial"/>
                <w:color w:val="000000"/>
              </w:rPr>
              <w:t>102.1</w:t>
            </w:r>
          </w:p>
        </w:tc>
        <w:tc>
          <w:tcPr>
            <w:tcW w:w="0" w:type="auto"/>
            <w:tcBorders>
              <w:top w:val="outset" w:sz="6" w:space="0" w:color="auto"/>
              <w:left w:val="outset" w:sz="6" w:space="0" w:color="auto"/>
              <w:bottom w:val="outset" w:sz="6" w:space="0" w:color="auto"/>
              <w:right w:val="outset" w:sz="6" w:space="0" w:color="auto"/>
            </w:tcBorders>
            <w:vAlign w:val="center"/>
          </w:tcPr>
          <w:p w:rsidR="007B3DA9" w:rsidRPr="007B45F3" w:rsidRDefault="007B3DA9" w:rsidP="00B82489">
            <w:pPr>
              <w:rPr>
                <w:rFonts w:ascii="Arial" w:hAnsi="Arial" w:cs="Arial"/>
                <w:color w:val="000000"/>
              </w:rPr>
            </w:pPr>
            <w:r w:rsidRPr="007B45F3">
              <w:rPr>
                <w:rFonts w:ascii="Arial" w:hAnsi="Arial" w:cs="Arial"/>
                <w:color w:val="000000"/>
              </w:rPr>
              <w:t>50</w:t>
            </w:r>
          </w:p>
        </w:tc>
        <w:tc>
          <w:tcPr>
            <w:tcW w:w="0" w:type="auto"/>
            <w:tcBorders>
              <w:top w:val="outset" w:sz="6" w:space="0" w:color="auto"/>
              <w:left w:val="outset" w:sz="6" w:space="0" w:color="auto"/>
              <w:bottom w:val="outset" w:sz="6" w:space="0" w:color="auto"/>
              <w:right w:val="outset" w:sz="6" w:space="0" w:color="auto"/>
            </w:tcBorders>
            <w:vAlign w:val="center"/>
          </w:tcPr>
          <w:p w:rsidR="007B3DA9" w:rsidRPr="007B45F3" w:rsidRDefault="007B3DA9" w:rsidP="00B82489">
            <w:pPr>
              <w:rPr>
                <w:rFonts w:ascii="Arial" w:hAnsi="Arial" w:cs="Arial"/>
                <w:color w:val="000000"/>
              </w:rPr>
            </w:pPr>
            <w:r w:rsidRPr="007B45F3">
              <w:rPr>
                <w:rFonts w:ascii="Arial" w:hAnsi="Arial" w:cs="Arial"/>
                <w:color w:val="000000"/>
              </w:rPr>
              <w:t>27</w:t>
            </w:r>
          </w:p>
        </w:tc>
        <w:tc>
          <w:tcPr>
            <w:tcW w:w="0" w:type="auto"/>
            <w:tcBorders>
              <w:top w:val="outset" w:sz="6" w:space="0" w:color="auto"/>
              <w:left w:val="outset" w:sz="6" w:space="0" w:color="auto"/>
              <w:bottom w:val="outset" w:sz="6" w:space="0" w:color="auto"/>
            </w:tcBorders>
            <w:vAlign w:val="center"/>
          </w:tcPr>
          <w:p w:rsidR="007B3DA9" w:rsidRPr="007B45F3" w:rsidRDefault="007B3DA9" w:rsidP="00B82489">
            <w:pPr>
              <w:rPr>
                <w:rFonts w:ascii="Arial" w:hAnsi="Arial" w:cs="Arial"/>
                <w:color w:val="000000"/>
              </w:rPr>
            </w:pPr>
            <w:r w:rsidRPr="007B45F3">
              <w:rPr>
                <w:rFonts w:ascii="Arial" w:hAnsi="Arial" w:cs="Arial"/>
                <w:color w:val="000000"/>
              </w:rPr>
              <w:t>Умеренный</w:t>
            </w:r>
          </w:p>
        </w:tc>
      </w:tr>
      <w:tr w:rsidR="007B3DA9" w:rsidRPr="007B45F3">
        <w:trPr>
          <w:tblCellSpacing w:w="37" w:type="dxa"/>
          <w:jc w:val="center"/>
        </w:trPr>
        <w:tc>
          <w:tcPr>
            <w:tcW w:w="0" w:type="auto"/>
            <w:tcBorders>
              <w:top w:val="outset" w:sz="6" w:space="0" w:color="auto"/>
              <w:bottom w:val="outset" w:sz="6" w:space="0" w:color="auto"/>
              <w:right w:val="outset" w:sz="6" w:space="0" w:color="auto"/>
            </w:tcBorders>
            <w:vAlign w:val="center"/>
          </w:tcPr>
          <w:p w:rsidR="007B3DA9" w:rsidRPr="007B45F3" w:rsidRDefault="007B3DA9" w:rsidP="00B82489">
            <w:pPr>
              <w:rPr>
                <w:rFonts w:ascii="Arial" w:hAnsi="Arial" w:cs="Arial"/>
                <w:color w:val="000000"/>
              </w:rPr>
            </w:pPr>
          </w:p>
        </w:tc>
        <w:tc>
          <w:tcPr>
            <w:tcW w:w="0" w:type="auto"/>
            <w:tcBorders>
              <w:top w:val="outset" w:sz="6" w:space="0" w:color="auto"/>
              <w:left w:val="outset" w:sz="6" w:space="0" w:color="auto"/>
              <w:bottom w:val="outset" w:sz="6" w:space="0" w:color="auto"/>
              <w:right w:val="outset" w:sz="6" w:space="0" w:color="auto"/>
            </w:tcBorders>
            <w:vAlign w:val="center"/>
          </w:tcPr>
          <w:p w:rsidR="007B3DA9" w:rsidRPr="007B45F3" w:rsidRDefault="007B3DA9" w:rsidP="00B82489">
            <w:pPr>
              <w:rPr>
                <w:rFonts w:ascii="Arial" w:hAnsi="Arial" w:cs="Arial"/>
                <w:color w:val="000000"/>
              </w:rPr>
            </w:pPr>
            <w:r w:rsidRPr="007B45F3">
              <w:rPr>
                <w:rFonts w:ascii="Arial" w:hAnsi="Arial" w:cs="Arial"/>
                <w:color w:val="000000"/>
              </w:rPr>
              <w:t>Индия</w:t>
            </w:r>
          </w:p>
        </w:tc>
        <w:tc>
          <w:tcPr>
            <w:tcW w:w="0" w:type="auto"/>
            <w:tcBorders>
              <w:top w:val="outset" w:sz="6" w:space="0" w:color="auto"/>
              <w:left w:val="outset" w:sz="6" w:space="0" w:color="auto"/>
              <w:bottom w:val="outset" w:sz="6" w:space="0" w:color="auto"/>
              <w:right w:val="outset" w:sz="6" w:space="0" w:color="auto"/>
            </w:tcBorders>
            <w:vAlign w:val="center"/>
          </w:tcPr>
          <w:p w:rsidR="007B3DA9" w:rsidRPr="007B45F3" w:rsidRDefault="007B3DA9" w:rsidP="00B82489">
            <w:pPr>
              <w:rPr>
                <w:rFonts w:ascii="Arial" w:hAnsi="Arial" w:cs="Arial"/>
                <w:color w:val="000000"/>
              </w:rPr>
            </w:pPr>
            <w:r w:rsidRPr="007B45F3">
              <w:rPr>
                <w:rFonts w:ascii="Arial" w:hAnsi="Arial" w:cs="Arial"/>
                <w:color w:val="000000"/>
              </w:rPr>
              <w:t>98.2</w:t>
            </w:r>
          </w:p>
        </w:tc>
        <w:tc>
          <w:tcPr>
            <w:tcW w:w="0" w:type="auto"/>
            <w:tcBorders>
              <w:top w:val="outset" w:sz="6" w:space="0" w:color="auto"/>
              <w:left w:val="outset" w:sz="6" w:space="0" w:color="auto"/>
              <w:bottom w:val="outset" w:sz="6" w:space="0" w:color="auto"/>
              <w:right w:val="outset" w:sz="6" w:space="0" w:color="auto"/>
            </w:tcBorders>
            <w:vAlign w:val="center"/>
          </w:tcPr>
          <w:p w:rsidR="007B3DA9" w:rsidRPr="007B45F3" w:rsidRDefault="007B3DA9" w:rsidP="00B82489">
            <w:pPr>
              <w:rPr>
                <w:rFonts w:ascii="Arial" w:hAnsi="Arial" w:cs="Arial"/>
                <w:color w:val="000000"/>
              </w:rPr>
            </w:pPr>
            <w:r w:rsidRPr="007B45F3">
              <w:rPr>
                <w:rFonts w:ascii="Arial" w:hAnsi="Arial" w:cs="Arial"/>
                <w:color w:val="000000"/>
              </w:rPr>
              <w:t>23</w:t>
            </w:r>
          </w:p>
        </w:tc>
        <w:tc>
          <w:tcPr>
            <w:tcW w:w="0" w:type="auto"/>
            <w:tcBorders>
              <w:top w:val="outset" w:sz="6" w:space="0" w:color="auto"/>
              <w:left w:val="outset" w:sz="6" w:space="0" w:color="auto"/>
              <w:bottom w:val="outset" w:sz="6" w:space="0" w:color="auto"/>
              <w:right w:val="outset" w:sz="6" w:space="0" w:color="auto"/>
            </w:tcBorders>
            <w:vAlign w:val="center"/>
          </w:tcPr>
          <w:p w:rsidR="007B3DA9" w:rsidRPr="007B45F3" w:rsidRDefault="007B3DA9" w:rsidP="00B82489">
            <w:pPr>
              <w:rPr>
                <w:rFonts w:ascii="Arial" w:hAnsi="Arial" w:cs="Arial"/>
                <w:color w:val="000000"/>
              </w:rPr>
            </w:pPr>
            <w:r w:rsidRPr="007B45F3">
              <w:rPr>
                <w:rFonts w:ascii="Arial" w:hAnsi="Arial" w:cs="Arial"/>
                <w:color w:val="000000"/>
              </w:rPr>
              <w:t>4</w:t>
            </w:r>
          </w:p>
        </w:tc>
        <w:tc>
          <w:tcPr>
            <w:tcW w:w="0" w:type="auto"/>
            <w:tcBorders>
              <w:top w:val="outset" w:sz="6" w:space="0" w:color="auto"/>
              <w:left w:val="outset" w:sz="6" w:space="0" w:color="auto"/>
              <w:bottom w:val="outset" w:sz="6" w:space="0" w:color="auto"/>
            </w:tcBorders>
            <w:vAlign w:val="center"/>
          </w:tcPr>
          <w:p w:rsidR="007B3DA9" w:rsidRPr="007B45F3" w:rsidRDefault="007B3DA9" w:rsidP="00B82489">
            <w:pPr>
              <w:rPr>
                <w:rFonts w:ascii="Arial" w:hAnsi="Arial" w:cs="Arial"/>
                <w:color w:val="000000"/>
              </w:rPr>
            </w:pPr>
            <w:r w:rsidRPr="007B45F3">
              <w:rPr>
                <w:rFonts w:ascii="Arial" w:hAnsi="Arial" w:cs="Arial"/>
                <w:color w:val="000000"/>
              </w:rPr>
              <w:t>Умеренный</w:t>
            </w:r>
          </w:p>
        </w:tc>
      </w:tr>
      <w:tr w:rsidR="007B3DA9" w:rsidRPr="007B45F3">
        <w:trPr>
          <w:tblCellSpacing w:w="37" w:type="dxa"/>
          <w:jc w:val="center"/>
        </w:trPr>
        <w:tc>
          <w:tcPr>
            <w:tcW w:w="0" w:type="auto"/>
            <w:tcBorders>
              <w:top w:val="outset" w:sz="6" w:space="0" w:color="auto"/>
              <w:bottom w:val="outset" w:sz="6" w:space="0" w:color="auto"/>
              <w:right w:val="outset" w:sz="6" w:space="0" w:color="auto"/>
            </w:tcBorders>
            <w:vAlign w:val="center"/>
          </w:tcPr>
          <w:p w:rsidR="007B3DA9" w:rsidRPr="007B45F3" w:rsidRDefault="007B3DA9" w:rsidP="00B82489">
            <w:pPr>
              <w:rPr>
                <w:rFonts w:ascii="Arial" w:hAnsi="Arial" w:cs="Arial"/>
                <w:color w:val="000000"/>
              </w:rPr>
            </w:pPr>
          </w:p>
        </w:tc>
        <w:tc>
          <w:tcPr>
            <w:tcW w:w="0" w:type="auto"/>
            <w:tcBorders>
              <w:top w:val="outset" w:sz="6" w:space="0" w:color="auto"/>
              <w:left w:val="outset" w:sz="6" w:space="0" w:color="auto"/>
              <w:bottom w:val="outset" w:sz="6" w:space="0" w:color="auto"/>
              <w:right w:val="outset" w:sz="6" w:space="0" w:color="auto"/>
            </w:tcBorders>
            <w:vAlign w:val="center"/>
          </w:tcPr>
          <w:p w:rsidR="007B3DA9" w:rsidRPr="007B45F3" w:rsidRDefault="007B3DA9" w:rsidP="00B82489">
            <w:pPr>
              <w:rPr>
                <w:rFonts w:ascii="Arial" w:hAnsi="Arial" w:cs="Arial"/>
                <w:color w:val="000000"/>
              </w:rPr>
            </w:pPr>
            <w:r w:rsidRPr="007B45F3">
              <w:rPr>
                <w:rFonts w:ascii="Arial" w:hAnsi="Arial" w:cs="Arial"/>
                <w:color w:val="000000"/>
              </w:rPr>
              <w:t>Таиланд</w:t>
            </w:r>
          </w:p>
        </w:tc>
        <w:tc>
          <w:tcPr>
            <w:tcW w:w="0" w:type="auto"/>
            <w:tcBorders>
              <w:top w:val="outset" w:sz="6" w:space="0" w:color="auto"/>
              <w:left w:val="outset" w:sz="6" w:space="0" w:color="auto"/>
              <w:bottom w:val="outset" w:sz="6" w:space="0" w:color="auto"/>
              <w:right w:val="outset" w:sz="6" w:space="0" w:color="auto"/>
            </w:tcBorders>
            <w:vAlign w:val="center"/>
          </w:tcPr>
          <w:p w:rsidR="007B3DA9" w:rsidRPr="007B45F3" w:rsidRDefault="007B3DA9" w:rsidP="00B82489">
            <w:pPr>
              <w:rPr>
                <w:rFonts w:ascii="Arial" w:hAnsi="Arial" w:cs="Arial"/>
                <w:color w:val="000000"/>
              </w:rPr>
            </w:pPr>
            <w:r w:rsidRPr="007B45F3">
              <w:rPr>
                <w:rFonts w:ascii="Arial" w:hAnsi="Arial" w:cs="Arial"/>
                <w:color w:val="000000"/>
              </w:rPr>
              <w:t>86.2</w:t>
            </w:r>
          </w:p>
        </w:tc>
        <w:tc>
          <w:tcPr>
            <w:tcW w:w="0" w:type="auto"/>
            <w:tcBorders>
              <w:top w:val="outset" w:sz="6" w:space="0" w:color="auto"/>
              <w:left w:val="outset" w:sz="6" w:space="0" w:color="auto"/>
              <w:bottom w:val="outset" w:sz="6" w:space="0" w:color="auto"/>
              <w:right w:val="outset" w:sz="6" w:space="0" w:color="auto"/>
            </w:tcBorders>
            <w:vAlign w:val="center"/>
          </w:tcPr>
          <w:p w:rsidR="007B3DA9" w:rsidRPr="007B45F3" w:rsidRDefault="007B3DA9" w:rsidP="00B82489">
            <w:pPr>
              <w:rPr>
                <w:rFonts w:ascii="Arial" w:hAnsi="Arial" w:cs="Arial"/>
                <w:color w:val="000000"/>
              </w:rPr>
            </w:pPr>
            <w:r w:rsidRPr="007B45F3">
              <w:rPr>
                <w:rFonts w:ascii="Arial" w:hAnsi="Arial" w:cs="Arial"/>
                <w:color w:val="000000"/>
              </w:rPr>
              <w:t>77</w:t>
            </w:r>
          </w:p>
        </w:tc>
        <w:tc>
          <w:tcPr>
            <w:tcW w:w="0" w:type="auto"/>
            <w:tcBorders>
              <w:top w:val="outset" w:sz="6" w:space="0" w:color="auto"/>
              <w:left w:val="outset" w:sz="6" w:space="0" w:color="auto"/>
              <w:bottom w:val="outset" w:sz="6" w:space="0" w:color="auto"/>
              <w:right w:val="outset" w:sz="6" w:space="0" w:color="auto"/>
            </w:tcBorders>
            <w:vAlign w:val="center"/>
          </w:tcPr>
          <w:p w:rsidR="007B3DA9" w:rsidRPr="007B45F3" w:rsidRDefault="007B3DA9" w:rsidP="00B82489">
            <w:pPr>
              <w:rPr>
                <w:rFonts w:ascii="Arial" w:hAnsi="Arial" w:cs="Arial"/>
                <w:color w:val="000000"/>
              </w:rPr>
            </w:pPr>
            <w:r w:rsidRPr="007B45F3">
              <w:rPr>
                <w:rFonts w:ascii="Arial" w:hAnsi="Arial" w:cs="Arial"/>
                <w:color w:val="000000"/>
              </w:rPr>
              <w:t>27</w:t>
            </w:r>
          </w:p>
        </w:tc>
        <w:tc>
          <w:tcPr>
            <w:tcW w:w="0" w:type="auto"/>
            <w:tcBorders>
              <w:top w:val="outset" w:sz="6" w:space="0" w:color="auto"/>
              <w:left w:val="outset" w:sz="6" w:space="0" w:color="auto"/>
              <w:bottom w:val="outset" w:sz="6" w:space="0" w:color="auto"/>
            </w:tcBorders>
            <w:vAlign w:val="center"/>
          </w:tcPr>
          <w:p w:rsidR="007B3DA9" w:rsidRPr="007B45F3" w:rsidRDefault="007B3DA9" w:rsidP="00B82489">
            <w:pPr>
              <w:rPr>
                <w:rFonts w:ascii="Arial" w:hAnsi="Arial" w:cs="Arial"/>
                <w:color w:val="000000"/>
              </w:rPr>
            </w:pPr>
            <w:r w:rsidRPr="007B45F3">
              <w:rPr>
                <w:rFonts w:ascii="Arial" w:hAnsi="Arial" w:cs="Arial"/>
                <w:color w:val="000000"/>
              </w:rPr>
              <w:t>Умеренный</w:t>
            </w:r>
          </w:p>
        </w:tc>
      </w:tr>
      <w:tr w:rsidR="007B3DA9" w:rsidRPr="007B45F3">
        <w:trPr>
          <w:tblCellSpacing w:w="37" w:type="dxa"/>
          <w:jc w:val="center"/>
        </w:trPr>
        <w:tc>
          <w:tcPr>
            <w:tcW w:w="0" w:type="auto"/>
            <w:tcBorders>
              <w:top w:val="outset" w:sz="6" w:space="0" w:color="auto"/>
              <w:bottom w:val="outset" w:sz="6" w:space="0" w:color="auto"/>
              <w:right w:val="outset" w:sz="6" w:space="0" w:color="auto"/>
            </w:tcBorders>
            <w:vAlign w:val="center"/>
          </w:tcPr>
          <w:p w:rsidR="007B3DA9" w:rsidRPr="007B45F3" w:rsidRDefault="007B3DA9" w:rsidP="00B82489">
            <w:pPr>
              <w:rPr>
                <w:rFonts w:ascii="Arial" w:hAnsi="Arial" w:cs="Arial"/>
                <w:color w:val="000000"/>
              </w:rPr>
            </w:pPr>
          </w:p>
        </w:tc>
        <w:tc>
          <w:tcPr>
            <w:tcW w:w="0" w:type="auto"/>
            <w:tcBorders>
              <w:top w:val="outset" w:sz="6" w:space="0" w:color="auto"/>
              <w:left w:val="outset" w:sz="6" w:space="0" w:color="auto"/>
              <w:bottom w:val="outset" w:sz="6" w:space="0" w:color="auto"/>
              <w:right w:val="outset" w:sz="6" w:space="0" w:color="auto"/>
            </w:tcBorders>
            <w:vAlign w:val="center"/>
          </w:tcPr>
          <w:p w:rsidR="007B3DA9" w:rsidRPr="007B45F3" w:rsidRDefault="007B3DA9" w:rsidP="00B82489">
            <w:pPr>
              <w:rPr>
                <w:rFonts w:ascii="Arial" w:hAnsi="Arial" w:cs="Arial"/>
                <w:color w:val="000000"/>
              </w:rPr>
            </w:pPr>
            <w:r w:rsidRPr="007B45F3">
              <w:rPr>
                <w:rFonts w:ascii="Arial" w:hAnsi="Arial" w:cs="Arial"/>
                <w:color w:val="000000"/>
              </w:rPr>
              <w:t>Филлипины</w:t>
            </w:r>
          </w:p>
        </w:tc>
        <w:tc>
          <w:tcPr>
            <w:tcW w:w="0" w:type="auto"/>
            <w:tcBorders>
              <w:top w:val="outset" w:sz="6" w:space="0" w:color="auto"/>
              <w:left w:val="outset" w:sz="6" w:space="0" w:color="auto"/>
              <w:bottom w:val="outset" w:sz="6" w:space="0" w:color="auto"/>
              <w:right w:val="outset" w:sz="6" w:space="0" w:color="auto"/>
            </w:tcBorders>
            <w:vAlign w:val="center"/>
          </w:tcPr>
          <w:p w:rsidR="007B3DA9" w:rsidRPr="007B45F3" w:rsidRDefault="007B3DA9" w:rsidP="00B82489">
            <w:pPr>
              <w:rPr>
                <w:rFonts w:ascii="Arial" w:hAnsi="Arial" w:cs="Arial"/>
                <w:color w:val="000000"/>
              </w:rPr>
            </w:pPr>
            <w:r w:rsidRPr="007B45F3">
              <w:rPr>
                <w:rFonts w:ascii="Arial" w:hAnsi="Arial" w:cs="Arial"/>
                <w:color w:val="000000"/>
              </w:rPr>
              <w:t>47.8</w:t>
            </w:r>
          </w:p>
        </w:tc>
        <w:tc>
          <w:tcPr>
            <w:tcW w:w="0" w:type="auto"/>
            <w:tcBorders>
              <w:top w:val="outset" w:sz="6" w:space="0" w:color="auto"/>
              <w:left w:val="outset" w:sz="6" w:space="0" w:color="auto"/>
              <w:bottom w:val="outset" w:sz="6" w:space="0" w:color="auto"/>
              <w:right w:val="outset" w:sz="6" w:space="0" w:color="auto"/>
            </w:tcBorders>
            <w:vAlign w:val="center"/>
          </w:tcPr>
          <w:p w:rsidR="007B3DA9" w:rsidRPr="007B45F3" w:rsidRDefault="007B3DA9" w:rsidP="00B82489">
            <w:pPr>
              <w:rPr>
                <w:rFonts w:ascii="Arial" w:hAnsi="Arial" w:cs="Arial"/>
                <w:color w:val="000000"/>
              </w:rPr>
            </w:pPr>
            <w:r w:rsidRPr="007B45F3">
              <w:rPr>
                <w:rFonts w:ascii="Arial" w:hAnsi="Arial" w:cs="Arial"/>
                <w:color w:val="000000"/>
              </w:rPr>
              <w:t>70</w:t>
            </w:r>
          </w:p>
        </w:tc>
        <w:tc>
          <w:tcPr>
            <w:tcW w:w="0" w:type="auto"/>
            <w:tcBorders>
              <w:top w:val="outset" w:sz="6" w:space="0" w:color="auto"/>
              <w:left w:val="outset" w:sz="6" w:space="0" w:color="auto"/>
              <w:bottom w:val="outset" w:sz="6" w:space="0" w:color="auto"/>
              <w:right w:val="outset" w:sz="6" w:space="0" w:color="auto"/>
            </w:tcBorders>
            <w:vAlign w:val="center"/>
          </w:tcPr>
          <w:p w:rsidR="007B3DA9" w:rsidRPr="007B45F3" w:rsidRDefault="007B3DA9" w:rsidP="00B82489">
            <w:pPr>
              <w:rPr>
                <w:rFonts w:ascii="Arial" w:hAnsi="Arial" w:cs="Arial"/>
                <w:color w:val="000000"/>
              </w:rPr>
            </w:pPr>
            <w:r w:rsidRPr="007B45F3">
              <w:rPr>
                <w:rFonts w:ascii="Arial" w:hAnsi="Arial" w:cs="Arial"/>
                <w:color w:val="000000"/>
              </w:rPr>
              <w:t>15</w:t>
            </w:r>
          </w:p>
        </w:tc>
        <w:tc>
          <w:tcPr>
            <w:tcW w:w="0" w:type="auto"/>
            <w:tcBorders>
              <w:top w:val="outset" w:sz="6" w:space="0" w:color="auto"/>
              <w:left w:val="outset" w:sz="6" w:space="0" w:color="auto"/>
              <w:bottom w:val="outset" w:sz="6" w:space="0" w:color="auto"/>
            </w:tcBorders>
            <w:vAlign w:val="center"/>
          </w:tcPr>
          <w:p w:rsidR="007B3DA9" w:rsidRPr="007B45F3" w:rsidRDefault="007B3DA9" w:rsidP="00B82489">
            <w:pPr>
              <w:rPr>
                <w:rFonts w:ascii="Arial" w:hAnsi="Arial" w:cs="Arial"/>
                <w:color w:val="000000"/>
              </w:rPr>
            </w:pPr>
            <w:r w:rsidRPr="007B45F3">
              <w:rPr>
                <w:rFonts w:ascii="Arial" w:hAnsi="Arial" w:cs="Arial"/>
                <w:color w:val="000000"/>
              </w:rPr>
              <w:t>Умеренный</w:t>
            </w:r>
          </w:p>
        </w:tc>
      </w:tr>
      <w:tr w:rsidR="007B3DA9" w:rsidRPr="007B45F3">
        <w:trPr>
          <w:tblCellSpacing w:w="37" w:type="dxa"/>
          <w:jc w:val="center"/>
        </w:trPr>
        <w:tc>
          <w:tcPr>
            <w:tcW w:w="0" w:type="auto"/>
            <w:tcBorders>
              <w:top w:val="outset" w:sz="6" w:space="0" w:color="auto"/>
              <w:bottom w:val="outset" w:sz="6" w:space="0" w:color="auto"/>
              <w:right w:val="outset" w:sz="6" w:space="0" w:color="auto"/>
            </w:tcBorders>
            <w:vAlign w:val="center"/>
          </w:tcPr>
          <w:p w:rsidR="007B3DA9" w:rsidRPr="007B45F3" w:rsidRDefault="007B3DA9" w:rsidP="00B82489">
            <w:pPr>
              <w:rPr>
                <w:rFonts w:ascii="Arial" w:hAnsi="Arial" w:cs="Arial"/>
                <w:color w:val="000000"/>
              </w:rPr>
            </w:pPr>
          </w:p>
        </w:tc>
        <w:tc>
          <w:tcPr>
            <w:tcW w:w="0" w:type="auto"/>
            <w:tcBorders>
              <w:top w:val="outset" w:sz="6" w:space="0" w:color="auto"/>
              <w:left w:val="outset" w:sz="6" w:space="0" w:color="auto"/>
              <w:bottom w:val="outset" w:sz="6" w:space="0" w:color="auto"/>
              <w:right w:val="outset" w:sz="6" w:space="0" w:color="auto"/>
            </w:tcBorders>
            <w:vAlign w:val="center"/>
          </w:tcPr>
          <w:p w:rsidR="007B3DA9" w:rsidRPr="007B45F3" w:rsidRDefault="007B3DA9" w:rsidP="00B82489">
            <w:pPr>
              <w:rPr>
                <w:rFonts w:ascii="Arial" w:hAnsi="Arial" w:cs="Arial"/>
                <w:color w:val="000000"/>
              </w:rPr>
            </w:pPr>
            <w:r w:rsidRPr="007B45F3">
              <w:rPr>
                <w:rFonts w:ascii="Arial" w:hAnsi="Arial" w:cs="Arial"/>
                <w:color w:val="000000"/>
              </w:rPr>
              <w:t>Польша</w:t>
            </w:r>
          </w:p>
        </w:tc>
        <w:tc>
          <w:tcPr>
            <w:tcW w:w="0" w:type="auto"/>
            <w:tcBorders>
              <w:top w:val="outset" w:sz="6" w:space="0" w:color="auto"/>
              <w:left w:val="outset" w:sz="6" w:space="0" w:color="auto"/>
              <w:bottom w:val="outset" w:sz="6" w:space="0" w:color="auto"/>
              <w:right w:val="outset" w:sz="6" w:space="0" w:color="auto"/>
            </w:tcBorders>
            <w:vAlign w:val="center"/>
          </w:tcPr>
          <w:p w:rsidR="007B3DA9" w:rsidRPr="007B45F3" w:rsidRDefault="007B3DA9" w:rsidP="00B82489">
            <w:pPr>
              <w:rPr>
                <w:rFonts w:ascii="Arial" w:hAnsi="Arial" w:cs="Arial"/>
                <w:color w:val="000000"/>
              </w:rPr>
            </w:pPr>
            <w:r w:rsidRPr="007B45F3">
              <w:rPr>
                <w:rFonts w:ascii="Arial" w:hAnsi="Arial" w:cs="Arial"/>
                <w:color w:val="000000"/>
              </w:rPr>
              <w:t>47.7</w:t>
            </w:r>
          </w:p>
        </w:tc>
        <w:tc>
          <w:tcPr>
            <w:tcW w:w="0" w:type="auto"/>
            <w:tcBorders>
              <w:top w:val="outset" w:sz="6" w:space="0" w:color="auto"/>
              <w:left w:val="outset" w:sz="6" w:space="0" w:color="auto"/>
              <w:bottom w:val="outset" w:sz="6" w:space="0" w:color="auto"/>
              <w:right w:val="outset" w:sz="6" w:space="0" w:color="auto"/>
            </w:tcBorders>
            <w:vAlign w:val="center"/>
          </w:tcPr>
          <w:p w:rsidR="007B3DA9" w:rsidRPr="007B45F3" w:rsidRDefault="007B3DA9" w:rsidP="00B82489">
            <w:pPr>
              <w:rPr>
                <w:rFonts w:ascii="Arial" w:hAnsi="Arial" w:cs="Arial"/>
                <w:color w:val="000000"/>
              </w:rPr>
            </w:pPr>
            <w:r w:rsidRPr="007B45F3">
              <w:rPr>
                <w:rFonts w:ascii="Arial" w:hAnsi="Arial" w:cs="Arial"/>
                <w:color w:val="000000"/>
              </w:rPr>
              <w:t>31</w:t>
            </w:r>
          </w:p>
        </w:tc>
        <w:tc>
          <w:tcPr>
            <w:tcW w:w="0" w:type="auto"/>
            <w:tcBorders>
              <w:top w:val="outset" w:sz="6" w:space="0" w:color="auto"/>
              <w:left w:val="outset" w:sz="6" w:space="0" w:color="auto"/>
              <w:bottom w:val="outset" w:sz="6" w:space="0" w:color="auto"/>
              <w:right w:val="outset" w:sz="6" w:space="0" w:color="auto"/>
            </w:tcBorders>
            <w:vAlign w:val="center"/>
          </w:tcPr>
          <w:p w:rsidR="007B3DA9" w:rsidRPr="007B45F3" w:rsidRDefault="007B3DA9" w:rsidP="00B82489">
            <w:pPr>
              <w:rPr>
                <w:rFonts w:ascii="Arial" w:hAnsi="Arial" w:cs="Arial"/>
                <w:color w:val="000000"/>
              </w:rPr>
            </w:pPr>
            <w:r w:rsidRPr="007B45F3">
              <w:rPr>
                <w:rFonts w:ascii="Arial" w:hAnsi="Arial" w:cs="Arial"/>
                <w:color w:val="000000"/>
              </w:rPr>
              <w:t>13</w:t>
            </w:r>
          </w:p>
        </w:tc>
        <w:tc>
          <w:tcPr>
            <w:tcW w:w="0" w:type="auto"/>
            <w:tcBorders>
              <w:top w:val="outset" w:sz="6" w:space="0" w:color="auto"/>
              <w:left w:val="outset" w:sz="6" w:space="0" w:color="auto"/>
              <w:bottom w:val="outset" w:sz="6" w:space="0" w:color="auto"/>
            </w:tcBorders>
            <w:vAlign w:val="center"/>
          </w:tcPr>
          <w:p w:rsidR="007B3DA9" w:rsidRPr="007B45F3" w:rsidRDefault="007B3DA9" w:rsidP="00B82489">
            <w:pPr>
              <w:rPr>
                <w:rFonts w:ascii="Arial" w:hAnsi="Arial" w:cs="Arial"/>
                <w:color w:val="000000"/>
              </w:rPr>
            </w:pPr>
            <w:r w:rsidRPr="007B45F3">
              <w:rPr>
                <w:rFonts w:ascii="Arial" w:hAnsi="Arial" w:cs="Arial"/>
                <w:color w:val="000000"/>
              </w:rPr>
              <w:t>Небольшой</w:t>
            </w:r>
          </w:p>
        </w:tc>
      </w:tr>
      <w:tr w:rsidR="007B3DA9" w:rsidRPr="007B45F3">
        <w:trPr>
          <w:tblCellSpacing w:w="37" w:type="dxa"/>
          <w:jc w:val="center"/>
        </w:trPr>
        <w:tc>
          <w:tcPr>
            <w:tcW w:w="0" w:type="auto"/>
            <w:tcBorders>
              <w:top w:val="outset" w:sz="6" w:space="0" w:color="auto"/>
              <w:bottom w:val="outset" w:sz="6" w:space="0" w:color="auto"/>
              <w:right w:val="outset" w:sz="6" w:space="0" w:color="auto"/>
            </w:tcBorders>
            <w:vAlign w:val="center"/>
          </w:tcPr>
          <w:p w:rsidR="007B3DA9" w:rsidRPr="007B45F3" w:rsidRDefault="007B3DA9" w:rsidP="00B82489">
            <w:pPr>
              <w:rPr>
                <w:rFonts w:ascii="Arial" w:hAnsi="Arial" w:cs="Arial"/>
                <w:color w:val="000000"/>
              </w:rPr>
            </w:pPr>
          </w:p>
        </w:tc>
        <w:tc>
          <w:tcPr>
            <w:tcW w:w="0" w:type="auto"/>
            <w:tcBorders>
              <w:top w:val="outset" w:sz="6" w:space="0" w:color="auto"/>
              <w:left w:val="outset" w:sz="6" w:space="0" w:color="auto"/>
              <w:bottom w:val="outset" w:sz="6" w:space="0" w:color="auto"/>
              <w:right w:val="outset" w:sz="6" w:space="0" w:color="auto"/>
            </w:tcBorders>
            <w:vAlign w:val="center"/>
          </w:tcPr>
          <w:p w:rsidR="007B3DA9" w:rsidRPr="007B45F3" w:rsidRDefault="007B3DA9" w:rsidP="00B82489">
            <w:pPr>
              <w:rPr>
                <w:rFonts w:ascii="Arial" w:hAnsi="Arial" w:cs="Arial"/>
                <w:color w:val="000000"/>
              </w:rPr>
            </w:pPr>
            <w:r w:rsidRPr="007B45F3">
              <w:rPr>
                <w:rFonts w:ascii="Arial" w:hAnsi="Arial" w:cs="Arial"/>
                <w:color w:val="000000"/>
              </w:rPr>
              <w:t>Малайзия</w:t>
            </w:r>
          </w:p>
        </w:tc>
        <w:tc>
          <w:tcPr>
            <w:tcW w:w="0" w:type="auto"/>
            <w:tcBorders>
              <w:top w:val="outset" w:sz="6" w:space="0" w:color="auto"/>
              <w:left w:val="outset" w:sz="6" w:space="0" w:color="auto"/>
              <w:bottom w:val="outset" w:sz="6" w:space="0" w:color="auto"/>
              <w:right w:val="outset" w:sz="6" w:space="0" w:color="auto"/>
            </w:tcBorders>
            <w:vAlign w:val="center"/>
          </w:tcPr>
          <w:p w:rsidR="007B3DA9" w:rsidRPr="007B45F3" w:rsidRDefault="007B3DA9" w:rsidP="00B82489">
            <w:pPr>
              <w:rPr>
                <w:rFonts w:ascii="Arial" w:hAnsi="Arial" w:cs="Arial"/>
                <w:color w:val="000000"/>
              </w:rPr>
            </w:pPr>
            <w:r w:rsidRPr="007B45F3">
              <w:rPr>
                <w:rFonts w:ascii="Arial" w:hAnsi="Arial" w:cs="Arial"/>
                <w:color w:val="000000"/>
              </w:rPr>
              <w:t>44.8</w:t>
            </w:r>
          </w:p>
        </w:tc>
        <w:tc>
          <w:tcPr>
            <w:tcW w:w="0" w:type="auto"/>
            <w:tcBorders>
              <w:top w:val="outset" w:sz="6" w:space="0" w:color="auto"/>
              <w:left w:val="outset" w:sz="6" w:space="0" w:color="auto"/>
              <w:bottom w:val="outset" w:sz="6" w:space="0" w:color="auto"/>
              <w:right w:val="outset" w:sz="6" w:space="0" w:color="auto"/>
            </w:tcBorders>
            <w:vAlign w:val="center"/>
          </w:tcPr>
          <w:p w:rsidR="007B3DA9" w:rsidRPr="007B45F3" w:rsidRDefault="007B3DA9" w:rsidP="00B82489">
            <w:pPr>
              <w:rPr>
                <w:rFonts w:ascii="Arial" w:hAnsi="Arial" w:cs="Arial"/>
                <w:color w:val="000000"/>
              </w:rPr>
            </w:pPr>
            <w:r w:rsidRPr="007B45F3">
              <w:rPr>
                <w:rFonts w:ascii="Arial" w:hAnsi="Arial" w:cs="Arial"/>
                <w:color w:val="000000"/>
              </w:rPr>
              <w:t>65</w:t>
            </w:r>
          </w:p>
        </w:tc>
        <w:tc>
          <w:tcPr>
            <w:tcW w:w="0" w:type="auto"/>
            <w:tcBorders>
              <w:top w:val="outset" w:sz="6" w:space="0" w:color="auto"/>
              <w:left w:val="outset" w:sz="6" w:space="0" w:color="auto"/>
              <w:bottom w:val="outset" w:sz="6" w:space="0" w:color="auto"/>
              <w:right w:val="outset" w:sz="6" w:space="0" w:color="auto"/>
            </w:tcBorders>
            <w:vAlign w:val="center"/>
          </w:tcPr>
          <w:p w:rsidR="007B3DA9" w:rsidRPr="007B45F3" w:rsidRDefault="007B3DA9" w:rsidP="00B82489">
            <w:pPr>
              <w:rPr>
                <w:rFonts w:ascii="Arial" w:hAnsi="Arial" w:cs="Arial"/>
                <w:color w:val="000000"/>
              </w:rPr>
            </w:pPr>
            <w:r w:rsidRPr="007B45F3">
              <w:rPr>
                <w:rFonts w:ascii="Arial" w:hAnsi="Arial" w:cs="Arial"/>
                <w:color w:val="000000"/>
              </w:rPr>
              <w:t>19</w:t>
            </w:r>
          </w:p>
        </w:tc>
        <w:tc>
          <w:tcPr>
            <w:tcW w:w="0" w:type="auto"/>
            <w:tcBorders>
              <w:top w:val="outset" w:sz="6" w:space="0" w:color="auto"/>
              <w:left w:val="outset" w:sz="6" w:space="0" w:color="auto"/>
              <w:bottom w:val="outset" w:sz="6" w:space="0" w:color="auto"/>
            </w:tcBorders>
            <w:vAlign w:val="center"/>
          </w:tcPr>
          <w:p w:rsidR="007B3DA9" w:rsidRPr="007B45F3" w:rsidRDefault="007B3DA9" w:rsidP="00B82489">
            <w:pPr>
              <w:rPr>
                <w:rFonts w:ascii="Arial" w:hAnsi="Arial" w:cs="Arial"/>
                <w:color w:val="000000"/>
              </w:rPr>
            </w:pPr>
            <w:r w:rsidRPr="007B45F3">
              <w:rPr>
                <w:rFonts w:ascii="Arial" w:hAnsi="Arial" w:cs="Arial"/>
                <w:color w:val="000000"/>
              </w:rPr>
              <w:t>Умеренный</w:t>
            </w:r>
          </w:p>
        </w:tc>
      </w:tr>
      <w:tr w:rsidR="007B3DA9" w:rsidRPr="007B45F3">
        <w:trPr>
          <w:tblCellSpacing w:w="37" w:type="dxa"/>
          <w:jc w:val="center"/>
        </w:trPr>
        <w:tc>
          <w:tcPr>
            <w:tcW w:w="0" w:type="auto"/>
            <w:tcBorders>
              <w:top w:val="outset" w:sz="6" w:space="0" w:color="auto"/>
              <w:bottom w:val="outset" w:sz="6" w:space="0" w:color="auto"/>
              <w:right w:val="outset" w:sz="6" w:space="0" w:color="auto"/>
            </w:tcBorders>
            <w:vAlign w:val="center"/>
          </w:tcPr>
          <w:p w:rsidR="007B3DA9" w:rsidRPr="007B45F3" w:rsidRDefault="007B3DA9" w:rsidP="00B82489">
            <w:pPr>
              <w:rPr>
                <w:rFonts w:ascii="Arial" w:hAnsi="Arial" w:cs="Arial"/>
                <w:color w:val="000000"/>
              </w:rPr>
            </w:pPr>
          </w:p>
        </w:tc>
        <w:tc>
          <w:tcPr>
            <w:tcW w:w="0" w:type="auto"/>
            <w:tcBorders>
              <w:top w:val="outset" w:sz="6" w:space="0" w:color="auto"/>
              <w:left w:val="outset" w:sz="6" w:space="0" w:color="auto"/>
              <w:bottom w:val="outset" w:sz="6" w:space="0" w:color="auto"/>
              <w:right w:val="outset" w:sz="6" w:space="0" w:color="auto"/>
            </w:tcBorders>
            <w:vAlign w:val="center"/>
          </w:tcPr>
          <w:p w:rsidR="007B3DA9" w:rsidRPr="007B45F3" w:rsidRDefault="007B3DA9" w:rsidP="00B82489">
            <w:pPr>
              <w:rPr>
                <w:rFonts w:ascii="Arial" w:hAnsi="Arial" w:cs="Arial"/>
                <w:color w:val="000000"/>
              </w:rPr>
            </w:pPr>
            <w:r w:rsidRPr="007B45F3">
              <w:rPr>
                <w:rFonts w:ascii="Arial" w:hAnsi="Arial" w:cs="Arial"/>
                <w:color w:val="000000"/>
              </w:rPr>
              <w:t>Венесуэла</w:t>
            </w:r>
          </w:p>
        </w:tc>
        <w:tc>
          <w:tcPr>
            <w:tcW w:w="0" w:type="auto"/>
            <w:tcBorders>
              <w:top w:val="outset" w:sz="6" w:space="0" w:color="auto"/>
              <w:left w:val="outset" w:sz="6" w:space="0" w:color="auto"/>
              <w:bottom w:val="outset" w:sz="6" w:space="0" w:color="auto"/>
              <w:right w:val="outset" w:sz="6" w:space="0" w:color="auto"/>
            </w:tcBorders>
            <w:vAlign w:val="center"/>
          </w:tcPr>
          <w:p w:rsidR="007B3DA9" w:rsidRPr="007B45F3" w:rsidRDefault="007B3DA9" w:rsidP="00B82489">
            <w:pPr>
              <w:rPr>
                <w:rFonts w:ascii="Arial" w:hAnsi="Arial" w:cs="Arial"/>
                <w:color w:val="000000"/>
              </w:rPr>
            </w:pPr>
            <w:r w:rsidRPr="007B45F3">
              <w:rPr>
                <w:rFonts w:ascii="Arial" w:hAnsi="Arial" w:cs="Arial"/>
                <w:color w:val="000000"/>
              </w:rPr>
              <w:t>37.0</w:t>
            </w:r>
          </w:p>
        </w:tc>
        <w:tc>
          <w:tcPr>
            <w:tcW w:w="0" w:type="auto"/>
            <w:tcBorders>
              <w:top w:val="outset" w:sz="6" w:space="0" w:color="auto"/>
              <w:left w:val="outset" w:sz="6" w:space="0" w:color="auto"/>
              <w:bottom w:val="outset" w:sz="6" w:space="0" w:color="auto"/>
              <w:right w:val="outset" w:sz="6" w:space="0" w:color="auto"/>
            </w:tcBorders>
            <w:vAlign w:val="center"/>
          </w:tcPr>
          <w:p w:rsidR="007B3DA9" w:rsidRPr="007B45F3" w:rsidRDefault="007B3DA9" w:rsidP="00B82489">
            <w:pPr>
              <w:rPr>
                <w:rFonts w:ascii="Arial" w:hAnsi="Arial" w:cs="Arial"/>
                <w:color w:val="000000"/>
              </w:rPr>
            </w:pPr>
            <w:r w:rsidRPr="007B45F3">
              <w:rPr>
                <w:rFonts w:ascii="Arial" w:hAnsi="Arial" w:cs="Arial"/>
                <w:color w:val="000000"/>
              </w:rPr>
              <w:t>40</w:t>
            </w:r>
          </w:p>
        </w:tc>
        <w:tc>
          <w:tcPr>
            <w:tcW w:w="0" w:type="auto"/>
            <w:tcBorders>
              <w:top w:val="outset" w:sz="6" w:space="0" w:color="auto"/>
              <w:left w:val="outset" w:sz="6" w:space="0" w:color="auto"/>
              <w:bottom w:val="outset" w:sz="6" w:space="0" w:color="auto"/>
              <w:right w:val="outset" w:sz="6" w:space="0" w:color="auto"/>
            </w:tcBorders>
            <w:vAlign w:val="center"/>
          </w:tcPr>
          <w:p w:rsidR="007B3DA9" w:rsidRPr="007B45F3" w:rsidRDefault="007B3DA9" w:rsidP="00B82489">
            <w:pPr>
              <w:rPr>
                <w:rFonts w:ascii="Arial" w:hAnsi="Arial" w:cs="Arial"/>
                <w:color w:val="000000"/>
              </w:rPr>
            </w:pPr>
            <w:r w:rsidRPr="007B45F3">
              <w:rPr>
                <w:rFonts w:ascii="Arial" w:hAnsi="Arial" w:cs="Arial"/>
                <w:color w:val="000000"/>
              </w:rPr>
              <w:t>7</w:t>
            </w:r>
          </w:p>
        </w:tc>
        <w:tc>
          <w:tcPr>
            <w:tcW w:w="0" w:type="auto"/>
            <w:tcBorders>
              <w:top w:val="outset" w:sz="6" w:space="0" w:color="auto"/>
              <w:left w:val="outset" w:sz="6" w:space="0" w:color="auto"/>
              <w:bottom w:val="outset" w:sz="6" w:space="0" w:color="auto"/>
            </w:tcBorders>
            <w:vAlign w:val="center"/>
          </w:tcPr>
          <w:p w:rsidR="007B3DA9" w:rsidRPr="007B45F3" w:rsidRDefault="007B3DA9" w:rsidP="00B82489">
            <w:pPr>
              <w:rPr>
                <w:rFonts w:ascii="Arial" w:hAnsi="Arial" w:cs="Arial"/>
                <w:color w:val="000000"/>
              </w:rPr>
            </w:pPr>
            <w:r w:rsidRPr="007B45F3">
              <w:rPr>
                <w:rFonts w:ascii="Arial" w:hAnsi="Arial" w:cs="Arial"/>
                <w:color w:val="000000"/>
              </w:rPr>
              <w:t>Умеренный</w:t>
            </w:r>
          </w:p>
        </w:tc>
      </w:tr>
      <w:tr w:rsidR="007B3DA9" w:rsidRPr="007B45F3">
        <w:trPr>
          <w:tblCellSpacing w:w="37" w:type="dxa"/>
          <w:jc w:val="center"/>
        </w:trPr>
        <w:tc>
          <w:tcPr>
            <w:tcW w:w="0" w:type="auto"/>
            <w:tcBorders>
              <w:top w:val="outset" w:sz="6" w:space="0" w:color="auto"/>
              <w:bottom w:val="outset" w:sz="6" w:space="0" w:color="auto"/>
              <w:right w:val="outset" w:sz="6" w:space="0" w:color="auto"/>
            </w:tcBorders>
            <w:vAlign w:val="center"/>
          </w:tcPr>
          <w:p w:rsidR="007B3DA9" w:rsidRPr="007B45F3" w:rsidRDefault="007B3DA9" w:rsidP="00B82489">
            <w:pPr>
              <w:rPr>
                <w:rFonts w:ascii="Arial" w:hAnsi="Arial" w:cs="Arial"/>
                <w:color w:val="000000"/>
              </w:rPr>
            </w:pPr>
          </w:p>
        </w:tc>
        <w:tc>
          <w:tcPr>
            <w:tcW w:w="0" w:type="auto"/>
            <w:tcBorders>
              <w:top w:val="outset" w:sz="6" w:space="0" w:color="auto"/>
              <w:left w:val="outset" w:sz="6" w:space="0" w:color="auto"/>
              <w:bottom w:val="outset" w:sz="6" w:space="0" w:color="auto"/>
              <w:right w:val="outset" w:sz="6" w:space="0" w:color="auto"/>
            </w:tcBorders>
            <w:vAlign w:val="center"/>
          </w:tcPr>
          <w:p w:rsidR="007B3DA9" w:rsidRPr="007B45F3" w:rsidRDefault="007B3DA9" w:rsidP="00B82489">
            <w:pPr>
              <w:rPr>
                <w:rFonts w:ascii="Arial" w:hAnsi="Arial" w:cs="Arial"/>
                <w:color w:val="000000"/>
              </w:rPr>
            </w:pPr>
            <w:r w:rsidRPr="007B45F3">
              <w:rPr>
                <w:rFonts w:ascii="Arial" w:hAnsi="Arial" w:cs="Arial"/>
                <w:color w:val="000000"/>
              </w:rPr>
              <w:t>Чили</w:t>
            </w:r>
          </w:p>
        </w:tc>
        <w:tc>
          <w:tcPr>
            <w:tcW w:w="0" w:type="auto"/>
            <w:tcBorders>
              <w:top w:val="outset" w:sz="6" w:space="0" w:color="auto"/>
              <w:left w:val="outset" w:sz="6" w:space="0" w:color="auto"/>
              <w:bottom w:val="outset" w:sz="6" w:space="0" w:color="auto"/>
              <w:right w:val="outset" w:sz="6" w:space="0" w:color="auto"/>
            </w:tcBorders>
            <w:vAlign w:val="center"/>
          </w:tcPr>
          <w:p w:rsidR="007B3DA9" w:rsidRPr="007B45F3" w:rsidRDefault="007B3DA9" w:rsidP="00B82489">
            <w:pPr>
              <w:rPr>
                <w:rFonts w:ascii="Arial" w:hAnsi="Arial" w:cs="Arial"/>
                <w:color w:val="000000"/>
              </w:rPr>
            </w:pPr>
            <w:r w:rsidRPr="007B45F3">
              <w:rPr>
                <w:rFonts w:ascii="Arial" w:hAnsi="Arial" w:cs="Arial"/>
                <w:color w:val="000000"/>
              </w:rPr>
              <w:t>36.3</w:t>
            </w:r>
          </w:p>
        </w:tc>
        <w:tc>
          <w:tcPr>
            <w:tcW w:w="0" w:type="auto"/>
            <w:tcBorders>
              <w:top w:val="outset" w:sz="6" w:space="0" w:color="auto"/>
              <w:left w:val="outset" w:sz="6" w:space="0" w:color="auto"/>
              <w:bottom w:val="outset" w:sz="6" w:space="0" w:color="auto"/>
              <w:right w:val="outset" w:sz="6" w:space="0" w:color="auto"/>
            </w:tcBorders>
            <w:vAlign w:val="center"/>
          </w:tcPr>
          <w:p w:rsidR="007B3DA9" w:rsidRPr="007B45F3" w:rsidRDefault="007B3DA9" w:rsidP="00B82489">
            <w:pPr>
              <w:rPr>
                <w:rFonts w:ascii="Arial" w:hAnsi="Arial" w:cs="Arial"/>
                <w:color w:val="000000"/>
              </w:rPr>
            </w:pPr>
            <w:r w:rsidRPr="007B45F3">
              <w:rPr>
                <w:rFonts w:ascii="Arial" w:hAnsi="Arial" w:cs="Arial"/>
                <w:color w:val="000000"/>
              </w:rPr>
              <w:t>48</w:t>
            </w:r>
          </w:p>
        </w:tc>
        <w:tc>
          <w:tcPr>
            <w:tcW w:w="0" w:type="auto"/>
            <w:tcBorders>
              <w:top w:val="outset" w:sz="6" w:space="0" w:color="auto"/>
              <w:left w:val="outset" w:sz="6" w:space="0" w:color="auto"/>
              <w:bottom w:val="outset" w:sz="6" w:space="0" w:color="auto"/>
              <w:right w:val="outset" w:sz="6" w:space="0" w:color="auto"/>
            </w:tcBorders>
            <w:vAlign w:val="center"/>
          </w:tcPr>
          <w:p w:rsidR="007B3DA9" w:rsidRPr="007B45F3" w:rsidRDefault="007B3DA9" w:rsidP="00B82489">
            <w:pPr>
              <w:rPr>
                <w:rFonts w:ascii="Arial" w:hAnsi="Arial" w:cs="Arial"/>
                <w:color w:val="000000"/>
              </w:rPr>
            </w:pPr>
            <w:r w:rsidRPr="007B45F3">
              <w:rPr>
                <w:rFonts w:ascii="Arial" w:hAnsi="Arial" w:cs="Arial"/>
                <w:color w:val="000000"/>
              </w:rPr>
              <w:t>21</w:t>
            </w:r>
          </w:p>
        </w:tc>
        <w:tc>
          <w:tcPr>
            <w:tcW w:w="0" w:type="auto"/>
            <w:tcBorders>
              <w:top w:val="outset" w:sz="6" w:space="0" w:color="auto"/>
              <w:left w:val="outset" w:sz="6" w:space="0" w:color="auto"/>
              <w:bottom w:val="outset" w:sz="6" w:space="0" w:color="auto"/>
            </w:tcBorders>
            <w:vAlign w:val="center"/>
          </w:tcPr>
          <w:p w:rsidR="007B3DA9" w:rsidRPr="007B45F3" w:rsidRDefault="007B3DA9" w:rsidP="00B82489">
            <w:pPr>
              <w:rPr>
                <w:rFonts w:ascii="Arial" w:hAnsi="Arial" w:cs="Arial"/>
                <w:color w:val="000000"/>
              </w:rPr>
            </w:pPr>
            <w:r w:rsidRPr="007B45F3">
              <w:rPr>
                <w:rFonts w:ascii="Arial" w:hAnsi="Arial" w:cs="Arial"/>
                <w:color w:val="000000"/>
              </w:rPr>
              <w:t>Умеренный</w:t>
            </w:r>
          </w:p>
        </w:tc>
      </w:tr>
    </w:tbl>
    <w:p w:rsidR="007B3DA9" w:rsidRPr="007B45F3" w:rsidRDefault="007B3DA9" w:rsidP="007B3DA9">
      <w:pPr>
        <w:spacing w:after="280"/>
        <w:rPr>
          <w:rFonts w:ascii="Arial" w:hAnsi="Arial" w:cs="Arial"/>
          <w:color w:val="000000"/>
        </w:rPr>
      </w:pPr>
    </w:p>
    <w:p w:rsidR="007B3DA9" w:rsidRPr="007B45F3" w:rsidRDefault="007B3DA9" w:rsidP="007B3DA9">
      <w:pPr>
        <w:spacing w:before="20" w:after="20"/>
        <w:ind w:left="40" w:right="40"/>
        <w:jc w:val="center"/>
        <w:outlineLvl w:val="4"/>
        <w:rPr>
          <w:rFonts w:ascii="Arial" w:hAnsi="Arial" w:cs="Arial"/>
          <w:b/>
          <w:bCs/>
          <w:color w:val="003333"/>
        </w:rPr>
      </w:pPr>
      <w:r w:rsidRPr="007B45F3">
        <w:rPr>
          <w:rFonts w:ascii="Arial" w:hAnsi="Arial" w:cs="Arial"/>
          <w:b/>
          <w:bCs/>
          <w:color w:val="003333"/>
        </w:rPr>
        <w:t>Экономический обзор индийского рынка 2000-2001</w:t>
      </w:r>
    </w:p>
    <w:p w:rsidR="007B3DA9" w:rsidRDefault="007B3DA9" w:rsidP="007B3DA9"/>
    <w:p w:rsidR="007B3DA9" w:rsidRPr="00A50338" w:rsidRDefault="007B3DA9" w:rsidP="007B3DA9">
      <w:pPr>
        <w:rPr>
          <w:color w:val="000000"/>
        </w:rPr>
      </w:pPr>
    </w:p>
    <w:p w:rsidR="001246B2" w:rsidRDefault="001246B2">
      <w:bookmarkStart w:id="3" w:name="_GoBack"/>
      <w:bookmarkEnd w:id="3"/>
    </w:p>
    <w:sectPr w:rsidR="001246B2">
      <w:headerReference w:type="default" r:id="rId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77067" w:rsidRDefault="00677067">
      <w:r>
        <w:separator/>
      </w:r>
    </w:p>
  </w:endnote>
  <w:endnote w:type="continuationSeparator" w:id="0">
    <w:p w:rsidR="00677067" w:rsidRDefault="0067706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Times New Roman CYR">
    <w:panose1 w:val="02020603050405020304"/>
    <w:charset w:val="CC"/>
    <w:family w:val="roman"/>
    <w:pitch w:val="variable"/>
    <w:sig w:usb0="E0002E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77067" w:rsidRDefault="00677067">
      <w:r>
        <w:separator/>
      </w:r>
    </w:p>
  </w:footnote>
  <w:footnote w:type="continuationSeparator" w:id="0">
    <w:p w:rsidR="00677067" w:rsidRDefault="0067706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B3DA9" w:rsidRPr="007B3DA9" w:rsidRDefault="007B3DA9" w:rsidP="007B3DA9">
    <w:pPr>
      <w:pStyle w:val="a3"/>
      <w:jc w:val="right"/>
      <w:rPr>
        <w:lang w:val="en-GB"/>
      </w:rPr>
    </w:pPr>
    <w:r w:rsidRPr="007B3DA9">
      <w:rPr>
        <w:lang w:val="en-US"/>
      </w:rPr>
      <w:t>Economy of India</w:t>
    </w:r>
    <w:r>
      <w:rPr>
        <w:lang w:val="en-GB"/>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30E34308"/>
    <w:multiLevelType w:val="singleLevel"/>
    <w:tmpl w:val="0419000F"/>
    <w:lvl w:ilvl="0">
      <w:start w:val="1"/>
      <w:numFmt w:val="decimal"/>
      <w:lvlText w:val="%1."/>
      <w:lvlJc w:val="left"/>
      <w:pPr>
        <w:tabs>
          <w:tab w:val="num" w:pos="720"/>
        </w:tabs>
        <w:ind w:left="720" w:hanging="360"/>
      </w:pPr>
    </w:lvl>
  </w:abstractNum>
  <w:abstractNum w:abstractNumId="1">
    <w:nsid w:val="35B10B3D"/>
    <w:multiLevelType w:val="hybridMultilevel"/>
    <w:tmpl w:val="F130559E"/>
    <w:lvl w:ilvl="0" w:tplc="FFFFFFFF">
      <w:start w:val="1"/>
      <w:numFmt w:val="decimal"/>
      <w:lvlText w:val="%1."/>
      <w:lvlJc w:val="left"/>
      <w:pPr>
        <w:tabs>
          <w:tab w:val="num" w:pos="720"/>
        </w:tabs>
        <w:ind w:left="720" w:hanging="360"/>
      </w:pPr>
    </w:lvl>
    <w:lvl w:ilvl="1" w:tplc="FFFFFFFF">
      <w:start w:val="1"/>
      <w:numFmt w:val="lowerLetter"/>
      <w:lvlText w:val="%2."/>
      <w:lvlJc w:val="left"/>
      <w:pPr>
        <w:tabs>
          <w:tab w:val="num" w:pos="1440"/>
        </w:tabs>
        <w:ind w:left="1440" w:hanging="360"/>
      </w:pPr>
    </w:lvl>
    <w:lvl w:ilvl="2" w:tplc="FFFFFFFF">
      <w:start w:val="1"/>
      <w:numFmt w:val="lowerRoman"/>
      <w:lvlText w:val="%3."/>
      <w:lvlJc w:val="right"/>
      <w:pPr>
        <w:tabs>
          <w:tab w:val="num" w:pos="2160"/>
        </w:tabs>
        <w:ind w:left="2160" w:hanging="180"/>
      </w:pPr>
    </w:lvl>
    <w:lvl w:ilvl="3" w:tplc="FFFFFFFF">
      <w:start w:val="1"/>
      <w:numFmt w:val="decimal"/>
      <w:lvlText w:val="%4."/>
      <w:lvlJc w:val="left"/>
      <w:pPr>
        <w:tabs>
          <w:tab w:val="num" w:pos="2880"/>
        </w:tabs>
        <w:ind w:left="2880" w:hanging="360"/>
      </w:pPr>
    </w:lvl>
    <w:lvl w:ilvl="4" w:tplc="FFFFFFFF">
      <w:start w:val="1"/>
      <w:numFmt w:val="lowerLetter"/>
      <w:lvlText w:val="%5."/>
      <w:lvlJc w:val="left"/>
      <w:pPr>
        <w:tabs>
          <w:tab w:val="num" w:pos="3600"/>
        </w:tabs>
        <w:ind w:left="3600" w:hanging="360"/>
      </w:pPr>
    </w:lvl>
    <w:lvl w:ilvl="5" w:tplc="FFFFFFFF">
      <w:start w:val="1"/>
      <w:numFmt w:val="lowerRoman"/>
      <w:lvlText w:val="%6."/>
      <w:lvlJc w:val="right"/>
      <w:pPr>
        <w:tabs>
          <w:tab w:val="num" w:pos="4320"/>
        </w:tabs>
        <w:ind w:left="4320" w:hanging="180"/>
      </w:pPr>
    </w:lvl>
    <w:lvl w:ilvl="6" w:tplc="FFFFFFFF">
      <w:start w:val="1"/>
      <w:numFmt w:val="decimal"/>
      <w:lvlText w:val="%7."/>
      <w:lvlJc w:val="left"/>
      <w:pPr>
        <w:tabs>
          <w:tab w:val="num" w:pos="5040"/>
        </w:tabs>
        <w:ind w:left="5040" w:hanging="360"/>
      </w:pPr>
    </w:lvl>
    <w:lvl w:ilvl="7" w:tplc="FFFFFFFF">
      <w:start w:val="1"/>
      <w:numFmt w:val="lowerLetter"/>
      <w:lvlText w:val="%8."/>
      <w:lvlJc w:val="left"/>
      <w:pPr>
        <w:tabs>
          <w:tab w:val="num" w:pos="5760"/>
        </w:tabs>
        <w:ind w:left="5760" w:hanging="360"/>
      </w:pPr>
    </w:lvl>
    <w:lvl w:ilvl="8" w:tplc="FFFFFFFF">
      <w:start w:val="1"/>
      <w:numFmt w:val="lowerRoman"/>
      <w:lvlText w:val="%9."/>
      <w:lvlJc w:val="right"/>
      <w:pPr>
        <w:tabs>
          <w:tab w:val="num" w:pos="6480"/>
        </w:tabs>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characterSpacingControl w:val="doNotCompress"/>
  <w:doNotValidateAgainstSchema/>
  <w:doNotDemarcateInvalidXml/>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B3DA9"/>
    <w:rsid w:val="00024D4F"/>
    <w:rsid w:val="001246B2"/>
    <w:rsid w:val="00124709"/>
    <w:rsid w:val="00354754"/>
    <w:rsid w:val="00671C9C"/>
    <w:rsid w:val="00677067"/>
    <w:rsid w:val="006B3CB4"/>
    <w:rsid w:val="00736691"/>
    <w:rsid w:val="00783CE9"/>
    <w:rsid w:val="00790364"/>
    <w:rsid w:val="007976BF"/>
    <w:rsid w:val="007B3DA9"/>
    <w:rsid w:val="007B45F3"/>
    <w:rsid w:val="008523DC"/>
    <w:rsid w:val="00915131"/>
    <w:rsid w:val="00A50338"/>
    <w:rsid w:val="00A57C21"/>
    <w:rsid w:val="00AB6FDB"/>
    <w:rsid w:val="00AF39EA"/>
    <w:rsid w:val="00B82489"/>
    <w:rsid w:val="00C93F56"/>
    <w:rsid w:val="00E24F32"/>
    <w:rsid w:val="00EC080E"/>
    <w:rsid w:val="00F1122F"/>
    <w:rsid w:val="00F1371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8"/>
    <o:shapelayout v:ext="edit">
      <o:idmap v:ext="edit" data="1"/>
    </o:shapelayout>
  </w:shapeDefaults>
  <w:decimalSymbol w:val=","/>
  <w:listSeparator w:val=";"/>
  <w14:defaultImageDpi w14:val="0"/>
  <w15:chartTrackingRefBased/>
  <w15:docId w15:val="{B40729A8-7AEC-417A-91F7-0F9EED66CBB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lsdException w:name="footer" w:semiHidden="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7B3DA9"/>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rsid w:val="007B3DA9"/>
    <w:pPr>
      <w:tabs>
        <w:tab w:val="center" w:pos="4677"/>
        <w:tab w:val="right" w:pos="9355"/>
      </w:tabs>
    </w:pPr>
  </w:style>
  <w:style w:type="character" w:customStyle="1" w:styleId="a4">
    <w:name w:val="Верхний колонтитул Знак"/>
    <w:link w:val="a3"/>
    <w:uiPriority w:val="99"/>
    <w:semiHidden/>
    <w:rPr>
      <w:sz w:val="24"/>
      <w:szCs w:val="24"/>
    </w:rPr>
  </w:style>
  <w:style w:type="paragraph" w:styleId="a5">
    <w:name w:val="footer"/>
    <w:basedOn w:val="a"/>
    <w:link w:val="a6"/>
    <w:uiPriority w:val="99"/>
    <w:rsid w:val="007B3DA9"/>
    <w:pPr>
      <w:tabs>
        <w:tab w:val="center" w:pos="4677"/>
        <w:tab w:val="right" w:pos="9355"/>
      </w:tabs>
    </w:pPr>
  </w:style>
  <w:style w:type="character" w:customStyle="1" w:styleId="a6">
    <w:name w:val="Нижний колонтитул Знак"/>
    <w:link w:val="a5"/>
    <w:uiPriority w:val="99"/>
    <w:semiHidden/>
    <w:rPr>
      <w:sz w:val="24"/>
      <w:szCs w:val="24"/>
    </w:rPr>
  </w:style>
  <w:style w:type="paragraph" w:styleId="a7">
    <w:name w:val="Normal (Web)"/>
    <w:basedOn w:val="a"/>
    <w:uiPriority w:val="99"/>
    <w:rsid w:val="007B3DA9"/>
    <w:pPr>
      <w:spacing w:before="100" w:beforeAutospacing="1" w:after="100" w:afterAutospacing="1"/>
    </w:pPr>
  </w:style>
  <w:style w:type="character" w:styleId="a8">
    <w:name w:val="Hyperlink"/>
    <w:uiPriority w:val="99"/>
    <w:rsid w:val="007B3DA9"/>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3686</Words>
  <Characters>21011</Characters>
  <Application>Microsoft Office Word</Application>
  <DocSecurity>0</DocSecurity>
  <Lines>175</Lines>
  <Paragraphs>49</Paragraphs>
  <ScaleCrop>false</ScaleCrop>
  <HeadingPairs>
    <vt:vector size="2" baseType="variant">
      <vt:variant>
        <vt:lpstr>Название</vt:lpstr>
      </vt:variant>
      <vt:variant>
        <vt:i4>1</vt:i4>
      </vt:variant>
    </vt:vector>
  </HeadingPairs>
  <TitlesOfParts>
    <vt:vector size="1" baseType="lpstr">
      <vt:lpstr>ГОСУДАРСТВЕННЫЙ КОМИТЕТ РОССИЙСКОЙ ФЕДЕРАЦИИ</vt:lpstr>
    </vt:vector>
  </TitlesOfParts>
  <Company>Home</Company>
  <LinksUpToDate>false</LinksUpToDate>
  <CharactersWithSpaces>24648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ГОСУДАРСТВЕННЫЙ КОМИТЕТ РОССИЙСКОЙ ФЕДЕРАЦИИ</dc:title>
  <dc:subject/>
  <dc:creator>Home</dc:creator>
  <cp:keywords/>
  <dc:description/>
  <cp:lastModifiedBy>admin</cp:lastModifiedBy>
  <cp:revision>2</cp:revision>
  <dcterms:created xsi:type="dcterms:W3CDTF">2014-03-21T12:48:00Z</dcterms:created>
  <dcterms:modified xsi:type="dcterms:W3CDTF">2014-03-21T12:48:00Z</dcterms:modified>
</cp:coreProperties>
</file>