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80" w:rsidRDefault="007A4980">
      <w:pPr>
        <w:pStyle w:val="1"/>
        <w:spacing w:before="0" w:after="0"/>
      </w:pPr>
      <w:bookmarkStart w:id="0" w:name="_Toc470286873"/>
      <w:r>
        <w:t>Содержание:</w:t>
      </w:r>
      <w:bookmarkEnd w:id="0"/>
    </w:p>
    <w:p w:rsidR="007A4980" w:rsidRDefault="007A4980">
      <w:pPr>
        <w:pStyle w:val="1"/>
        <w:spacing w:before="0" w:after="0"/>
      </w:pPr>
    </w:p>
    <w:p w:rsidR="007A4980" w:rsidRDefault="007A4980">
      <w:pPr>
        <w:pStyle w:val="10"/>
        <w:ind w:firstLine="0"/>
        <w:rPr>
          <w:noProof/>
        </w:rPr>
      </w:pPr>
      <w:r>
        <w:rPr>
          <w:noProof/>
        </w:rPr>
        <w:t>Содержание:</w:t>
      </w:r>
      <w:r>
        <w:rPr>
          <w:noProof/>
        </w:rPr>
        <w:tab/>
        <w:t>2</w:t>
      </w:r>
    </w:p>
    <w:p w:rsidR="007A4980" w:rsidRDefault="007A4980">
      <w:pPr>
        <w:pStyle w:val="10"/>
        <w:ind w:firstLine="0"/>
        <w:rPr>
          <w:noProof/>
        </w:rPr>
      </w:pPr>
      <w:r>
        <w:rPr>
          <w:noProof/>
        </w:rPr>
        <w:t>Введение</w:t>
      </w:r>
      <w:r>
        <w:rPr>
          <w:noProof/>
        </w:rPr>
        <w:tab/>
        <w:t>3</w:t>
      </w:r>
    </w:p>
    <w:p w:rsidR="007A4980" w:rsidRDefault="007A4980">
      <w:pPr>
        <w:pStyle w:val="10"/>
        <w:ind w:firstLine="0"/>
        <w:rPr>
          <w:noProof/>
        </w:rPr>
      </w:pPr>
      <w:r>
        <w:rPr>
          <w:noProof/>
        </w:rPr>
        <w:t>Использование экологической информации в стратегии природопользования и взаимодействие товаропроизводителей на рынках.</w:t>
      </w:r>
      <w:r>
        <w:rPr>
          <w:noProof/>
        </w:rPr>
        <w:tab/>
        <w:t>5</w:t>
      </w:r>
    </w:p>
    <w:p w:rsidR="007A4980" w:rsidRDefault="007A4980">
      <w:pPr>
        <w:pStyle w:val="22"/>
        <w:ind w:firstLine="0"/>
        <w:rPr>
          <w:noProof/>
        </w:rPr>
      </w:pPr>
      <w:r>
        <w:rPr>
          <w:noProof/>
        </w:rPr>
        <w:t>Использование лесных ресурсов</w:t>
      </w:r>
      <w:r>
        <w:rPr>
          <w:noProof/>
        </w:rPr>
        <w:tab/>
        <w:t>5</w:t>
      </w:r>
    </w:p>
    <w:p w:rsidR="007A4980" w:rsidRDefault="007A4980">
      <w:pPr>
        <w:pStyle w:val="22"/>
        <w:ind w:firstLine="0"/>
        <w:rPr>
          <w:noProof/>
        </w:rPr>
      </w:pPr>
      <w:r>
        <w:rPr>
          <w:noProof/>
        </w:rPr>
        <w:t>Загрязнение атмосферы и рыночные позиции товаропроизводителей в топливно-энергетическом комплексе.</w:t>
      </w:r>
      <w:r>
        <w:rPr>
          <w:noProof/>
        </w:rPr>
        <w:tab/>
        <w:t>7</w:t>
      </w:r>
    </w:p>
    <w:p w:rsidR="007A4980" w:rsidRDefault="007A4980">
      <w:pPr>
        <w:pStyle w:val="10"/>
        <w:ind w:firstLine="0"/>
        <w:rPr>
          <w:noProof/>
        </w:rPr>
      </w:pPr>
      <w:r>
        <w:rPr>
          <w:noProof/>
        </w:rPr>
        <w:t>Использование экологических проблем для достижения экономических целей при международном сотрудничестве.</w:t>
      </w:r>
      <w:r>
        <w:rPr>
          <w:noProof/>
        </w:rPr>
        <w:tab/>
        <w:t>12</w:t>
      </w:r>
    </w:p>
    <w:p w:rsidR="007A4980" w:rsidRDefault="007A4980">
      <w:pPr>
        <w:pStyle w:val="10"/>
        <w:ind w:firstLine="0"/>
        <w:rPr>
          <w:noProof/>
        </w:rPr>
      </w:pPr>
      <w:r>
        <w:rPr>
          <w:noProof/>
        </w:rPr>
        <w:t>Экологические проблемы как элемент производственной политики.</w:t>
      </w:r>
      <w:r>
        <w:rPr>
          <w:noProof/>
        </w:rPr>
        <w:tab/>
        <w:t>18</w:t>
      </w:r>
    </w:p>
    <w:p w:rsidR="007A4980" w:rsidRDefault="007A4980">
      <w:pPr>
        <w:pStyle w:val="10"/>
        <w:ind w:firstLine="0"/>
        <w:rPr>
          <w:noProof/>
        </w:rPr>
      </w:pPr>
      <w:r>
        <w:rPr>
          <w:noProof/>
        </w:rPr>
        <w:t>Литература:</w:t>
      </w:r>
      <w:r>
        <w:rPr>
          <w:noProof/>
        </w:rPr>
        <w:tab/>
        <w:t>20</w:t>
      </w: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pPr>
    </w:p>
    <w:p w:rsidR="007A4980" w:rsidRDefault="007A4980">
      <w:pPr>
        <w:pStyle w:val="1"/>
        <w:keepNext w:val="0"/>
        <w:spacing w:before="0" w:after="0"/>
        <w:rPr>
          <w:b w:val="0"/>
        </w:rPr>
      </w:pPr>
      <w:bookmarkStart w:id="1" w:name="_Toc470286874"/>
      <w:r>
        <w:t>Введение</w:t>
      </w:r>
      <w:bookmarkEnd w:id="1"/>
    </w:p>
    <w:p w:rsidR="007A4980" w:rsidRDefault="007A4980">
      <w:pPr>
        <w:ind w:firstLine="720"/>
      </w:pPr>
    </w:p>
    <w:p w:rsidR="007A4980" w:rsidRDefault="007A4980">
      <w:pPr>
        <w:ind w:firstLine="720"/>
      </w:pPr>
      <w:r>
        <w:t xml:space="preserve">К началу 90-х годов стало очевидным, что дальнейшее экономическое развитие человечества, ориентированное на рост благосостояния людей в сочетании с социальными гарантиями становится возможным только в рамках "экологически устойчивого развития". Соответствующие правовые нормы, а также экономические инструменты, принятые как на национальном, так и международном уровне могли бы обеспечить равновесие между экономическим ростом, увеличением производства материальных благ и сохранением окружающей средой. К настоящему времени основные сырьевые ресурсы развитых стран мира (Северная Америка, Западная Европа) на грани исчерпания или зарезервированы. Значительные разведанные и доступные для использования природные ресурсы имеются лишь в отдельных странах третьего мира (Бразилия, Индия, Китай, Индонезия и др.), России и других государствах на территории бывшего СССР. За доступ к этим ресурсам идет борьба, в которой используются разные средства, в том числе и "экологическая аргументация". </w:t>
      </w:r>
    </w:p>
    <w:p w:rsidR="007A4980" w:rsidRDefault="007A4980">
      <w:pPr>
        <w:ind w:firstLine="720"/>
      </w:pPr>
      <w:r>
        <w:t>То, что эти аспекты становятся все более актуальными для перспективного развития земной цивилизации, подтверждается сменой акцентов повестки дня на встречах лидеров развитых стран мира - "большая семерка". Начиная с саммита в Токио в 1979 году члены "большой семерки" все больше внимания уделяют вопросам справедливого обеспечения энергией и охраны окружающей среды.</w:t>
      </w:r>
    </w:p>
    <w:p w:rsidR="007A4980" w:rsidRDefault="007A4980">
      <w:pPr>
        <w:ind w:firstLine="720"/>
      </w:pPr>
      <w:r>
        <w:t xml:space="preserve">Возникшие в последние десятилетия проблемы в сфере использования природных ресурсов обусловлены многочисленными технологическими прорывами. Это позволяет, с одной стороны, более эффективно использовать уже разведанные и осваиваемые виды ресурсов, а с другой, включать в производство и потребление новые, ранее не известные компоненты природной среды. Не менее важным аспектом проблемы является все возрастающие и слабо регламентируемые потребности человека в различного рода благах цивилизации. Верхнюю планку этих потребностей как бы "заказывают" самые богатые страны мира. Некоторые государства мира ставят целью своего развития достижение именно этого материального уровня жизни. Такое потребительское отношение к будущему человеческой цивилизации предполагает неограниченную эксплуатацию ресурсов Земли. По мере исчерпания тех или иных видов природных ресурсов будут происходить конфликты различного уровня: межрегиональные, межгосударственные, межкорпоративные.  </w:t>
      </w: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rPr>
          <w:b w:val="0"/>
        </w:rPr>
      </w:pPr>
      <w:bookmarkStart w:id="2" w:name="_Toc470286875"/>
      <w:r>
        <w:t>Использование экологической информации в стратегии природопользования и взаимодействие товаропроизводителей на рынках.</w:t>
      </w:r>
      <w:bookmarkEnd w:id="2"/>
      <w:r>
        <w:rPr>
          <w:b w:val="0"/>
        </w:rPr>
        <w:t xml:space="preserve"> </w:t>
      </w:r>
    </w:p>
    <w:p w:rsidR="007A4980" w:rsidRDefault="007A4980"/>
    <w:p w:rsidR="007A4980" w:rsidRDefault="007A4980">
      <w:pPr>
        <w:pStyle w:val="2"/>
        <w:keepNext w:val="0"/>
      </w:pPr>
      <w:bookmarkStart w:id="3" w:name="_Toc470286876"/>
      <w:r>
        <w:t>Использование лесных ресурсов</w:t>
      </w:r>
      <w:bookmarkEnd w:id="3"/>
    </w:p>
    <w:p w:rsidR="007A4980" w:rsidRDefault="007A4980">
      <w:pPr>
        <w:ind w:firstLine="720"/>
      </w:pPr>
    </w:p>
    <w:p w:rsidR="007A4980" w:rsidRDefault="007A4980">
      <w:pPr>
        <w:ind w:firstLine="720"/>
      </w:pPr>
      <w:r>
        <w:rPr>
          <w:b/>
        </w:rPr>
        <w:t>На состояние лесов влияет не только тот кто рубит, но и тот кто потребляет срубленное.</w:t>
      </w:r>
      <w:r>
        <w:t xml:space="preserve"> В "Повестке </w:t>
      </w:r>
      <w:r>
        <w:rPr>
          <w:lang w:val="en-US"/>
        </w:rPr>
        <w:t>XXI</w:t>
      </w:r>
      <w:r>
        <w:t xml:space="preserve"> века", выражает признание того факта, что основная причина ухудшения состояния окружающей среды в глобальном масштабе – отсутствие устойчивых структур потребления, в частности, подчеркивается необходимость изменения (сокращения) спроса на древесное сырье в промышленно развитых странах. Потребление промышленного древесного сырья на душу населения в развивающихся странах составляет 0,10 куб. м, тогда как в развитых - 1,04. Установлен принцип устойчивого развития – требование справедливого распределения потребляемого сырья. Великобритания – один из крупнейших в мире потребителей древесины на душу населения, но около 85% спроса на древесную продукцию в ней удовлетворяется за счет импорта. Таким образом, при анализе устойчивого лесного хозяйства следует учитывать и влияние, оказываемое, например, Великобританией как страной-потребителем, на состояние лесов в Канаде, Финляндии, Швеции, Бразилии, Индонезии. Согласно докладу Института мировых ресурсов в результате чрезмерного потребления древесной продукции под угрозой оказываются самые разнообразные естественные леса.</w:t>
      </w:r>
    </w:p>
    <w:p w:rsidR="007A4980" w:rsidRDefault="007A4980">
      <w:pPr>
        <w:ind w:firstLine="720"/>
      </w:pPr>
      <w:r>
        <w:rPr>
          <w:b/>
        </w:rPr>
        <w:t>Сохранение лесов и эмиссия углекислоты в США и России</w:t>
      </w:r>
      <w:r>
        <w:rPr>
          <w:i/>
        </w:rPr>
        <w:t>.</w:t>
      </w:r>
      <w:r>
        <w:t xml:space="preserve"> Имея 21% всех мировых лесов, Россия дает в год (1995 г.) лишь 7% всей мировой эмиссии углекислого газа. США выбрасывают в атмосферу Земли около полутора миллиарда тонн  углекислого газа, что составляет 23% всей эмиссии СО при наличии в США лишь 4% мирового населения и 6% всего лесного покрытия планеты. В этой связи широко рекламируемое намерение администрации Клинтона поддержать борцов за сохранение лесов от вырубки вполне актуально для США, но не для России. </w:t>
      </w:r>
    </w:p>
    <w:p w:rsidR="007A4980" w:rsidRDefault="007A4980">
      <w:pPr>
        <w:ind w:firstLine="720"/>
      </w:pPr>
      <w:r>
        <w:rPr>
          <w:b/>
        </w:rPr>
        <w:t>Содействие ограничениям рубок лесов в некоторых регионах России</w:t>
      </w:r>
      <w:r>
        <w:t>. Политика организации на Российском Севере природных парков активно поддерживается странами Скандинавии, которые даже вкладывают в эти программы некоторые средства. Так, Финляндия выделила деньги – 4 миллиона финских марок. Швеция же лишь похвалила правительство Карелии за прекрасное намерение сохранить леса. Получив финские деньги, научные организации стали разрабатывать проектную документацию на создание парков и обследование лесов приграничной полосы. "Гринпис" и другие природоохранные НПО  потребовали, чтобы ряд районов Карелии, в т.ч. Калевальский, где сохранилось много старовозрастных реликтовых лесов, были объявлены национальными парками и получили статус охраняемых территорий.</w:t>
      </w:r>
    </w:p>
    <w:p w:rsidR="007A4980" w:rsidRDefault="007A4980">
      <w:pPr>
        <w:ind w:firstLine="720"/>
      </w:pPr>
      <w:r>
        <w:rPr>
          <w:b/>
        </w:rPr>
        <w:t>Борьба природоохранных НПО и лесозаготовительных компаний, эксплуатирующих леса</w:t>
      </w:r>
      <w:r>
        <w:t>.  В последние десятилетия нарастали жесткие конфликты между природоохранными неправительственными организациями, входящими в систему  RAN (Rainforest astion network),  и лесозаготовительными компаниями, транснациональными корпорациями (например, Mitsu</w:t>
      </w:r>
      <w:r>
        <w:rPr>
          <w:lang w:val="en-US"/>
        </w:rPr>
        <w:t>b</w:t>
      </w:r>
      <w:r>
        <w:t xml:space="preserve">ishi), правительства некоторых государств (в частности, Индонезии и  Малайзии). Приоритетным направлением этих схваток оказались влажные тропические леса.     </w:t>
      </w:r>
    </w:p>
    <w:p w:rsidR="007A4980" w:rsidRDefault="007A4980">
      <w:pPr>
        <w:ind w:firstLine="720"/>
      </w:pPr>
      <w:r>
        <w:t>В лесах умеренного пояса одной из горячих территорий является Британская Колумбия (Канада). Массовые протесты "зеленых" против истребления в процессе лесозаготовок последних остатков сохранившихся старовозрастных девственных лесов не вызывали какой-либо конструктивной реакции у местных властей.   В  1993-94 годах ситуация перешла в фразу массовых акций протеста, приведших  к  широкомасштабным  арестам  (около 1000 человек). Эти события естественно широко освещены СМИ и оказали сильнейшее негативное влияние на имидж, как Канады в целом, так и ее ведущих лесопромышленных компаний (Мак-Милан Блодель, Интерфор и др.)</w:t>
      </w:r>
    </w:p>
    <w:p w:rsidR="007A4980" w:rsidRDefault="007A4980">
      <w:pPr>
        <w:ind w:firstLine="720"/>
      </w:pPr>
      <w:r>
        <w:t>Компании были вынуждены тратить значительные финансовые средства на контрпропаганду, работать в условиях постепенно увеличивающихся административных ограничений, принимаемых под давлением природоохранного движения. Их имиджу был нанесен существенный удар, что привело к  отказу крупнейших покупателей от услуг этих корпораций.</w:t>
      </w:r>
    </w:p>
    <w:p w:rsidR="007A4980" w:rsidRDefault="007A4980">
      <w:pPr>
        <w:ind w:firstLine="720"/>
      </w:pPr>
      <w:r>
        <w:t>Другой зоной конфликта на территории Канады является провинция Альберта с размещенными там целлюлозно-бумажными заводами, принадлежащими японским компаниям "Дайшова" и "Оджи Пейпер". Заводы работают по новейшим технологиям и по экологическим параметрам собственно целлюлозно-бумажного производства особых проблем нет.  Однако огромные объемы сырья, необходимого для обеспечения работы этих гигантов, нерешенность вопросов лесопользования, игнорирование интересов коренного индейского населения, грубый административный нажим при лоббировании проектов на стадии строительства заводов, привели к обострению ситуации. Канадские "зеленые" активисты установили контакты со своими японскими коллегами и организовали компанию бойкота товаров, производимых этими компаниями.</w:t>
      </w:r>
    </w:p>
    <w:p w:rsidR="007A4980" w:rsidRDefault="007A4980">
      <w:pPr>
        <w:ind w:firstLine="720"/>
      </w:pPr>
      <w:r>
        <w:t>В результате многолетней борьбы, в процессе которой кое-кто из активистов был уволен с весьма респектабельной работы, природоохранные НПО подвергались судебному преследованию со стороны японских компаний (что вызвало поворот дискуссии в направлении обсуждения проблемы прав человека, похоже весьма неприятной для канадских властей). Сегодня со стороны японских компаний появляются первые предложения по переговорам с "зелеными" для решения имеющихся проблем в  конструктивном русле.</w:t>
      </w:r>
    </w:p>
    <w:p w:rsidR="007A4980" w:rsidRDefault="007A4980"/>
    <w:p w:rsidR="007A4980" w:rsidRDefault="007A4980">
      <w:pPr>
        <w:pStyle w:val="2"/>
      </w:pPr>
      <w:bookmarkStart w:id="4" w:name="_Toc470286877"/>
      <w:r>
        <w:t>Загрязнение атмосферы и рыночные позиции товаропроизводителей в топливно-энергетическом комплексе.</w:t>
      </w:r>
      <w:bookmarkEnd w:id="4"/>
    </w:p>
    <w:p w:rsidR="007A4980" w:rsidRDefault="007A4980">
      <w:pPr>
        <w:ind w:firstLine="720"/>
      </w:pPr>
    </w:p>
    <w:p w:rsidR="007A4980" w:rsidRDefault="007A4980">
      <w:pPr>
        <w:ind w:firstLine="720"/>
      </w:pPr>
      <w:r>
        <w:rPr>
          <w:b/>
        </w:rPr>
        <w:t>Парниковый эффект и рыночные позиции Газпрома</w:t>
      </w:r>
      <w:r>
        <w:t>. Следствием роста антропогенного выброса парниковых газов и, в первую очередь двуокиси углерода, концентрация которого в настоящее время увеличилась в атмосфере на 25% по сравнению с доиндустриальной эпохой, будет удвоение его содержания к 2050-2070 гг. Это произойдет, если не будет принято каких либо мер по сокращению промышленной эмиссии. Усиление парникового эффекта обусловлено в настоящее время накоплением в атмосфере ряда парниковых газов, вклады которых составляют: двуокись углерода – 61%, метан – 23%, хлорфторуглероды – 12%, закись азота – 4%.</w:t>
      </w:r>
    </w:p>
    <w:p w:rsidR="007A4980" w:rsidRDefault="007A4980">
      <w:pPr>
        <w:ind w:firstLine="720"/>
      </w:pPr>
      <w:r>
        <w:t>Как известно, наименьшие удельные выбросы этих веществ обеспечиваются при энергетическом использовании природного газа. В топливно-энергетическом балансе России природный газ составляет более 40% среди различных видов органического топлива.  В мировом топливном балансе газ составляет только около 25%. Таким образом, структура российской энергетики с точки зрения воздействия на климатические изменения, оказывается более нейтральной, по сравнению с энергетикой других стран.</w:t>
      </w:r>
    </w:p>
    <w:p w:rsidR="007A4980" w:rsidRDefault="007A4980">
      <w:pPr>
        <w:ind w:firstLine="720"/>
      </w:pPr>
      <w:r>
        <w:t>В этой связи продвижение российского газа в Западную Европу, казалось бы, должно только приветствоваться, ибо это снизит объемы использования мазута и угля в энергетике европейских государств, а значит и оздоровит экологическую обстановку. Но противодействие "Газпрому" со стороны международных корпораций в этом плане очень велико. Время от времени европейскую общественность будоражат сообщения, что российская газовая промышленность является источником высокого уровня метановых эмиссий, которые якобы достигают 7-8% от объема транспортируемого в Европу сырья. Западные ученые считают, что негативное воздействие метана на биосферу, в 20-25 раз сильнее чем углекислого газа. И если при добыче или транспортировке метана потери составляют 5% от объема, то вред от этого настолько велик, что экологически безопаснее Европе использовать в энергетике мазут.</w:t>
      </w:r>
    </w:p>
    <w:p w:rsidR="007A4980" w:rsidRDefault="007A4980">
      <w:pPr>
        <w:ind w:firstLine="720"/>
      </w:pPr>
      <w:r>
        <w:t>В 1997 году выбросы вредных веществ на предприятиях РАО "Газпром" составил 2 345,2 тыс. т, утечки в атмосферу - 2 млрд. куб.м. природного газа. Таким образом общие потери природного газа на его предприятиях не превысили 1,5% от общего объема транспортируемого сырья. А слухи о российских трубопроводах, "усеянных дырками, как швейцарский сыр", оказались не более чем домыслами.</w:t>
      </w:r>
    </w:p>
    <w:p w:rsidR="007A4980" w:rsidRDefault="007A4980">
      <w:pPr>
        <w:pStyle w:val="20"/>
        <w:ind w:left="0" w:firstLine="720"/>
      </w:pPr>
      <w:r>
        <w:rPr>
          <w:b/>
        </w:rPr>
        <w:t>Парниковый эффект и рынок газомоторного топлива</w:t>
      </w:r>
      <w:r>
        <w:t>. К сожалению, рынок газомоторного топлива разрушается при всей его экономической и экологической целесообразности. Хотя перевод одной тысячи автомобилей на сжатый природный газ позволяет заместить около семи тысяч тонн бензина в год и дает существенную прибыль.  Переоборудование автомобиля в зависимости от его типа для работы на газе окупается от шести месяцев до двух лет. При этом каждый автомобиль, работающий на природном газе, сокращает вредные выбросы в атмосферу углекислого газа в пять раз, а окислов азота – в 2,5 раза. Надо помнить, что загрязнение окружающей среды от использования бензина и дизельного топлива составляет 19 миллионов тонн вредных выбросов в год по всей России. Использование же природного газа на автотранспорте при полной загрузке только действующей сети АГНКС позволило бы снизить эти выбросы более чем на 10%. По расчетам западных специалистов,  цена природного газа на треть ниже цены эквивалентного объема бензина, у нас административным путем она установлена на уровне 50 процентов. Но не в этом конечно, дело. Доказывать, что использование газа в качестве моторного топлива экономически более эффективно, экологически чище и в конечном счете улучшает среду обитания наших граждан, нет смысла – это очевидно.</w:t>
      </w:r>
    </w:p>
    <w:p w:rsidR="007A4980" w:rsidRDefault="007A4980">
      <w:pPr>
        <w:ind w:firstLine="720"/>
      </w:pPr>
      <w:r>
        <w:t>В последние десятилетия все кандидаты в президенты Америки обещают оказывать поддержку реализации программ по расширению применения альтернативных видов топлива, а президент Клинтон даже официально заявил, что намерен показать личный пример и ездить на автомобиле с использованием "голубого" топлива. В Европе практически экологически чистый БМВ оказался настолько престижным, что цены на него подскочили на 7000 марок по сравнению с обычным бензиновым автомобилем этой фирмы. Однако во всех странах существует развитая система бензоколонок. Создание системы газовых заправок требует средств, и не малых. Потребитель же купит автомобиль, работающий на газовом топливе, только в том случае, если заправка не будет доставлять ему хлопот, а стоимость газа в качестве горючего будет ниже бензина.</w:t>
      </w:r>
    </w:p>
    <w:p w:rsidR="007A4980" w:rsidRDefault="007A4980">
      <w:pPr>
        <w:ind w:firstLine="720"/>
      </w:pPr>
      <w:r>
        <w:t>Автомобили на газе могут значительно улучшить экологическую обстановку в Москве – одном из самых загрязненных городов Европы. Фирма БМВ готова продавать машины с газовыми двигателями по себестоимости, ничего не зарабатывая на этом, в обмен на возможность рекламы в Москве. Весь мир узнал бы, что Москва начала работу по очистке городского воздуха и перешла на автомобили, работающие на природном газе. Это было бы выгодно и для Москвы и для фирмы БМВ. Программа перехода на экологически более чистые газовые двигатели компанией "Катерпиллар" во многом вызвана озабоченностью качеством окружающего нас воздуха и расходами, которые приходится нести при сжигании органических топлив.</w:t>
      </w:r>
    </w:p>
    <w:p w:rsidR="007A4980" w:rsidRDefault="007A4980">
      <w:pPr>
        <w:ind w:firstLine="720"/>
      </w:pPr>
      <w:r>
        <w:rPr>
          <w:b/>
        </w:rPr>
        <w:t>Роль России в депонировании углерода атмосферы</w:t>
      </w:r>
      <w:r>
        <w:t>. В оценке перспектив нашего участия в осуществлении конвенционных обязательств и, в частности, российского вклада в глобальное накопление двуокиси углерода в атмосфере, особое место занимают имеющиеся уникальные природные факторы Российской Федерации – способность лесных массивов и болот связывать или "консервировать" атмосферный углерод. Из общего объема наших выбросов в 650-700 млн. т. углерода в год в настоящее время до 30% эмиссии поглощается лесами. Таким образом, вложение средств в  комплекс лесоустроительных мероприятий в России может оказаться наиболее рентабельным с точки зрения компенсации антропогенных выбросов двуокиси углерода.</w:t>
      </w:r>
    </w:p>
    <w:p w:rsidR="007A4980" w:rsidRDefault="007A4980">
      <w:pPr>
        <w:ind w:firstLine="567"/>
      </w:pPr>
      <w:r>
        <w:t xml:space="preserve">Однако имеются серьезные претензии к лесоводческим оценкам депонирования углерода, которые уже представлены от имени России для использования в расчетах взаимных обязательств стран участниц конвенции по глобальному климату. При их расчете специалисты лесного ведомства опирались на ошибочную точку зрения лесозаготовителей, согласно  которой лесом считается лишь древесина. В полном соответствии с этим тезисом был подсчитан лишь углерод аккумулированный в древесине. При этом без внимания осталось депонирование углерода в лесном опаде, мертвой древесине и подстилке и болотами тундровой и лесной зон. По оценкам проф. Г.А. Заварзина поглощение двуокиси углерода болотными системами в процессе торфообразования может составлять до 200 млн.т. углерода в год. Учет лишь этих двух факторов существенно повышает оценку роли России в глобальном регулировании климата. Подобная небрежность расчетов может впоследствии дорого (в прямом экономическом смысле) обойтись стране. Трудно рассчитывать на понимание и адекватные компенсации мировым сообществом и развитыми странами усилий России по сохранению лесов, если простейший учет этих глобальных ресурсов дает погрешности, превышающие величину тех компенсаций, на которые вправе рассчитывать Россия как лесная держава в наибольшей степени обеспечивающая поддержание глобальной устойчивости планеты. </w:t>
      </w:r>
    </w:p>
    <w:p w:rsidR="007A4980" w:rsidRDefault="007A4980">
      <w:pPr>
        <w:ind w:firstLine="720"/>
      </w:pPr>
      <w:r>
        <w:rPr>
          <w:b/>
        </w:rPr>
        <w:t>Озоновый слой - потери и выгоды отдельных товаропроизводителей.</w:t>
      </w:r>
      <w:r>
        <w:t xml:space="preserve"> Роль проблемы "озоновых дыр" в процессе смены целого поколения холодильного оборудования хорошо известна. Очевидно, что компании производящие новое холодильное оборудование неплохо на нем заработали. Однако связь между возникновением "озоновых дыр" и выбросами фреонов в атмосферу как была так и остается научно не доказанной. Последние исследования ученых геологического факультета МГУ имени М.В.Ломоносова позволили дать принципиально новое объяснение причин разрушения озонового слоя Земли. Согласно их данным виноваты глубинные потоки водорода и метана из разломов срединно-океанических хребтов и трещин материковых платформ. Объем газов, выделяющихся из этих источников, минимум на четыре порядка выше объемов промышленных выбросов фреоновых газов.</w:t>
      </w:r>
    </w:p>
    <w:p w:rsidR="007A4980" w:rsidRDefault="007A4980">
      <w:pPr>
        <w:ind w:firstLine="720"/>
      </w:pPr>
      <w:r>
        <w:t xml:space="preserve"> По мнению отечественных ученых, "южные концы океанических хребтов наиболее активны по выбросам газов". Они соединяются между собой в районе Антарктиды, что объясняет возникновение Антарктической озоновой аномалии. Также выявлены еще три наиболее устойчивые озоновые дыры Северного полушария - над Исландией, Красным морем и Гавайскими островами. Все они расположены как раз над участками наиболее активного выделения глубинных газов. На территории России такими местами являются алмазные месторождения Якутии, области в районе Байкала и Белого моря. </w:t>
      </w:r>
    </w:p>
    <w:p w:rsidR="007A4980" w:rsidRDefault="007A4980">
      <w:pPr>
        <w:ind w:firstLine="720"/>
      </w:pPr>
      <w:r>
        <w:t>Тот факт, что скрытыми рычагами в антифреоновой кампании были коммерческие интересы подтверждаются следующим примером. Так в Институте имени Курчатова разработали технологию производства озонобезопасной смеси, которая может использоваться без переоборудования существующих устройств. Однако иностранные инвесторы предлагают  деньги под реконструкцию предприятий, но с использованием оборудования ими рекомендуемых фирм и с будущими поставками хладагента их марки. Соответственно Россия получила заем, в т.ч. на переоборудование производств холодильных установок. Это уже экономическая борьба. И экологический аспект стал очень серьезным фактором давления на экономическом рынке.</w:t>
      </w:r>
    </w:p>
    <w:p w:rsidR="007A4980" w:rsidRDefault="007A4980"/>
    <w:p w:rsidR="007A4980" w:rsidRDefault="007A4980"/>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rPr>
          <w:b w:val="0"/>
          <w:u w:val="single"/>
        </w:rPr>
      </w:pPr>
      <w:bookmarkStart w:id="5" w:name="_Toc470286878"/>
      <w:r>
        <w:t>Использование экологических проблем для достижения экономических целей при международном сотрудничестве.</w:t>
      </w:r>
      <w:bookmarkEnd w:id="5"/>
    </w:p>
    <w:p w:rsidR="007A4980" w:rsidRDefault="007A4980"/>
    <w:p w:rsidR="007A4980" w:rsidRDefault="007A4980">
      <w:pPr>
        <w:ind w:firstLine="720"/>
      </w:pPr>
      <w:r>
        <w:t>В Декларации по окружающей среде и развитию, принятой в Рио-де-Жанейро, заявляется, что государства должны сотрудничать для создании открытой международной экономической системы, которая приведет к экономическому росту и устойчивому развитию во всех странах. Экологичные и ресурсосберегающие технологии по возможности должны быть доступны для всех стран. Экологическая политика не должна использоваться для неоправданного ограничения международной торговли. Однако, по словам представителя Госкомитета РФ по охране окружающей среды В.И. Данилова-Данильяна, решения конференции Рио-92 не выполнили ни США, ни Франция, Англия и Греция. Академик Н.Н.Моисеев идет в своих оценках гораздо дальше – он считает, что планета превращается в единую экономическую систему, управляемую рыночными принципами транснациональных корпораций, т. е. сиюминутными выгодами. При этом всему остальному миру рекомендуются такие экономические правила поведения, которые уже апробированы богатыми государствами. В первую очередь, это относится к таким понятиям как открытая конкуренция, свободная торговля, отказ от государственного протекционизма национальных товаров, жесткие стандарты. Однако внедрение этих современных методов хозяйствования, в том числе и с позиций сохранения окружающей среды,   в развивающихся странах невозможно в силу отсутствия достаточных финансовых средств и экономического опыта.</w:t>
      </w:r>
    </w:p>
    <w:p w:rsidR="007A4980" w:rsidRDefault="007A4980">
      <w:pPr>
        <w:ind w:firstLine="720"/>
      </w:pPr>
      <w:r>
        <w:rPr>
          <w:b/>
        </w:rPr>
        <w:t>Борьба вокруг потребления энергии и выбросов углекислого газа</w:t>
      </w:r>
      <w:r>
        <w:t xml:space="preserve">. Хотя в США насчитывается лишь 4% жителей планеты, на их долю приходится 25% выбросов углекислого газа, а потребление энергии на душу населения уже много лет неизмеримо выше, чем в развивающихся странах. Также использует чужие возможности для своих газовых отходов Германия. Имея лишь 0,3% лесов Земли и 1% мирового населения, Германия выделяет в атмосферу 4% окиси углерода промышленностью. По мнению стран Юга, именно те, кто больше других повинен в неблагоприятных изменениях мирового климата (то есть в загрязнении воздуха и "парниковом  эффекте"), должны жестче ограничить себя. </w:t>
      </w:r>
    </w:p>
    <w:p w:rsidR="007A4980" w:rsidRDefault="007A4980">
      <w:pPr>
        <w:ind w:firstLine="720"/>
      </w:pPr>
      <w:r>
        <w:t>Однако в самом мощном государстве Севера США отвергают подобную логику. Его Конгресс единогласно выступил против подписания любого соглашения, которое сковало бы развитие американской энергетики, давая поблажки развивающимся странам в области ограничения выбросов углекислоты в атмосферу. "США хотят во что бы то ни стало сохранить свое экономическое превосходство и свой образ жизни – даже за счет интересов мирового сообщества", - говорит Тони Джунипер, руководитель международного природозащитного движения "Друзья Земли".</w:t>
      </w:r>
    </w:p>
    <w:p w:rsidR="007A4980" w:rsidRDefault="007A4980">
      <w:pPr>
        <w:ind w:firstLine="720"/>
      </w:pPr>
      <w:r>
        <w:t>Различный подход к экологическим проблемам, и особенно связанным с ним обязательствам, выявился на встрече "большой восьмерки" в Денвере и на последовавшей  за ней специальной сессии Генеральной Ассамблеи ООН в Нью-Йорке. В результате ожесточенных споров, из-за которых специальная сессия закрылась на целые сутки позже намеченного срока, была принята расплывчатая резолюция, ратующая за "значительное" сокращение выбросов углекислоты. А вот упоминание о 2010 г. исчезло вовсе. Резолюция сената США, приуроченная к боннской встрече, показала, что Вашингтон не только не намерен идти дальше договоренностей в Рио-де-Жанейро, но по существу отказывается от них.</w:t>
      </w:r>
    </w:p>
    <w:p w:rsidR="007A4980" w:rsidRDefault="007A4980">
      <w:pPr>
        <w:ind w:firstLine="720"/>
      </w:pPr>
      <w:r>
        <w:rPr>
          <w:b/>
        </w:rPr>
        <w:t>Продажа квот на выбросы парниковых газов</w:t>
      </w:r>
      <w:r>
        <w:t>. У России появилась уникальная возможность продавать воздух. Японское правительство всерьез рассматривает возможность выкупа у России неиспользованной части квоты на выбросы в атмосферу "парниковых газов", установленной конференцией ООН по проблемам глобального потепления. На прошедшей в конце 1997 года в Японии международной конференции ООН по глобальному потеплению впервые были четко определены обязательства государств по сокращению выбросов в атмосферу так называемых парниковых газов. В соответствии с протоколом конференции Япония должна сократить эти выбросы на 6% по сравнению с уровнем 1990 года. Каждый процент снижения выбросов - это огромные затраты для государства, связанные с сокращением промышленного производства и переходом к более совершенным технологиям. Единственный выход правительство Японии видит теперь в приобретении квот, недоиспользованных другими странами. Например, у России, которая в результате спада  промышленного производства оказалась в более выгодном положении и даже располагает некоторым резервом на право загрязнять планету. Для России эта сделка стала бы очень выгодной: во-первых, японцы подскажут, как усовершенствовать российские технологии и снизить выброс газов, а во-вторых, еще и заплатят нам за излишек квоты. Но можно быть уверенным, что в сложившейся экономической ситуации финансовые поступления по этим каналам вряд ли пойдут на природоохранные нужды.</w:t>
      </w:r>
    </w:p>
    <w:p w:rsidR="007A4980" w:rsidRDefault="007A4980">
      <w:pPr>
        <w:pStyle w:val="21"/>
        <w:ind w:firstLine="720"/>
      </w:pPr>
      <w:r>
        <w:rPr>
          <w:b/>
        </w:rPr>
        <w:t>Перевод "грязной" промышленности из развитых стран в развивающиеся</w:t>
      </w:r>
      <w:r>
        <w:t xml:space="preserve">. В период 1970-90-х гг. были предприняты, причем довольно успешные, попытки создания "экологических оазисов" в отдельных развитых странах путем экологического государственного регулирования, экономических методов, введения жестких экологических законодательных актов. Это привело к переводу неэкологичной деятельности в те страны, где таких мер либо не было, либо они были менее жесткими. Например, в Японии были предприняты целенаправленные меры по переносу за рубеж производственной деятельности, загрязняющей окружающую среду. Прямые японские зарубежные инвестиции в химическую и металло-перерабатывающую отрасли развивающихся стран возросла с 13,5% в конце 1974 до 17,9% в конце 1983 г. Причем три четверти японских капиталовложений в эти отрасли связаны с развивающимися странами. Теперь же эти страны, в которых сейчас используют неэкологичные технологии, обвиняются в ухудшении экологической ситуации в мире, хотя они часто применяют импортные технологии и производства. </w:t>
      </w:r>
    </w:p>
    <w:p w:rsidR="007A4980" w:rsidRDefault="007A4980">
      <w:pPr>
        <w:ind w:firstLine="720"/>
      </w:pPr>
      <w:r>
        <w:t xml:space="preserve">Для перехода на те же технологии сохранения окружающей среды, которые сейчас используют развитые страны мира, в развивающихся странах нет финансовых ресурсов. По данным немецкого Института экологических проблем и экономики, на доведение состояния окружающей среды в Восточной Германии  до стандартов нового объединенного государства потребуется 10 лет и 249-308 млрд. </w:t>
      </w:r>
      <w:r>
        <w:rPr>
          <w:lang w:val="en-US"/>
        </w:rPr>
        <w:t>$</w:t>
      </w:r>
      <w:r>
        <w:t xml:space="preserve">. В Польше и Чехословакии считают, что каждой из них придется потратить на аналогичные мероприятия более 20 млрд. $. в течении нескольких десятилетий. Но и эти скромные средства будет затруднительно найти в сложившихся условиях. По заключению консалтинговой фирмы </w:t>
      </w:r>
      <w:r>
        <w:rPr>
          <w:i/>
          <w:lang w:val="en-US"/>
        </w:rPr>
        <w:t>Management Information Services, Inc</w:t>
      </w:r>
      <w:r>
        <w:rPr>
          <w:lang w:val="en-US"/>
        </w:rPr>
        <w:t>.</w:t>
      </w:r>
      <w:r>
        <w:t xml:space="preserve"> (Вашингтон)</w:t>
      </w:r>
      <w:r>
        <w:rPr>
          <w:lang w:val="en-US"/>
        </w:rPr>
        <w:t>,</w:t>
      </w:r>
      <w:r>
        <w:t xml:space="preserve"> в США в производстве средств контроля за состоянием окружающей среды, борьбы с различными видами загрязнения и в самой природоохранной деятельности занято почти 3 млн. чел., которые обеспечивают 98 млрд. </w:t>
      </w:r>
      <w:r>
        <w:rPr>
          <w:lang w:val="en-US"/>
        </w:rPr>
        <w:t>$</w:t>
      </w:r>
      <w:r>
        <w:t>. годового дохода. Для получения таких доходов странам Восточной Европы необходимо создать собственную индустрию средств защиты природы, либо занять денег у богатых стран.</w:t>
      </w:r>
    </w:p>
    <w:p w:rsidR="007A4980" w:rsidRDefault="007A4980">
      <w:pPr>
        <w:ind w:firstLine="720"/>
      </w:pPr>
      <w:r>
        <w:rPr>
          <w:b/>
        </w:rPr>
        <w:t>Роль зарубежных инвестиций в закреплении природоразрушающей ориентации экономики России</w:t>
      </w:r>
      <w:r>
        <w:t>. Современная структура инвестиций закрепляет природоемкий тип развития России на перспективу, т. к. значительная и более высокая – по сравнению с 80-ми гг. часть капитальных вложений направляется в природоэксплуатирующие комплексы, прежде всего топливно-энергетический и агропромышленный. Природные ресурсы России, прежде всего нефть, газ, лес, руды являются конкурентным товаром на мировом рынке и дают огромную валютную прибыль экспортерам. Подавляющее большинство кредитов Мирового Банка, инвестиции ведущих западных компаний, направляются прежде всего в увеличение добычи энергоресурсов, в основном, нефти и газа. Как видно из таблицы подавляющая часть инвестиций – почти 80 процентов – направляется в топливно-энергетический комплекс. На идущие на втором месте отрасли торговли и общественного питания затрачено на 12 раз меньше.</w:t>
      </w:r>
    </w:p>
    <w:p w:rsidR="007A4980" w:rsidRDefault="007A4980">
      <w:pPr>
        <w:ind w:firstLine="720"/>
      </w:pPr>
      <w:r>
        <w:t xml:space="preserve">В настоящее время в отношении к России все более заметна попытка использовать нашу страну лишь как сырьевой придаток развитого Запада, при этом обложив экономическую деятельность экспортеров сырья, да и готовых товаров, жесткими экологическими требованиями. Без значительных финансовых ресурсов мы не в состоянии выполнить эти требования без разрушения своих производственных мощностей. Нас толкают по единственно возможному пути выхода из данной ситуации – взятию все новых кредитов. </w:t>
      </w:r>
    </w:p>
    <w:p w:rsidR="007A4980" w:rsidRDefault="007A4980">
      <w:pPr>
        <w:ind w:firstLine="720"/>
      </w:pPr>
      <w:r>
        <w:t xml:space="preserve">В результате жестких требований к качеству и экологичности продукции в  Западной Европе российские производители вынуждены осваивать рынки Восточной Европы, Греции и Турции. Во-первых они тяготеют к России исторически; во-вторых, выгодны с точки зрения транспортной составляющей. Есть еще Китай, но это рынок не стабильный: иногда закупают много, иногда практически ничего. </w:t>
      </w:r>
    </w:p>
    <w:p w:rsidR="007A4980" w:rsidRDefault="007A4980">
      <w:pPr>
        <w:ind w:firstLine="720"/>
      </w:pPr>
      <w:r>
        <w:rPr>
          <w:b/>
        </w:rPr>
        <w:t>Отношение топливных компаний к экологическому фактору</w:t>
      </w:r>
      <w:r>
        <w:t>. Деятельность транснациональных корпораций является наиболее мощным современным фактором преобразования природы, т.к. она направлена на интенсивное и масштабное использование основных природных ресурсов земли, в первую очередь, углеводородного сырья и руды. Активное вовлечение в промышленное производство углеводородных полезных ископаемых (уголь, нефть, газ) оказывает существенное влияние на всю обстановку на планете, в первую очередь, через глобальные изменения климата. Осознание важности для существования человеческой цивилизации последствий этого процесса,  реализация практических мер по сокращению выбросов углекислого газа, начинают влиять на стратегические перспективы развития ведущих топливно-энергетических компаний мира. Их в настоящее время уже можно разделить на две группы: первая включает корпорации, осознавшие важность глобальных изменений климата, и тех, кто продолжает игнорировать эту проблему.</w:t>
      </w:r>
    </w:p>
    <w:p w:rsidR="007A4980" w:rsidRDefault="007A4980">
      <w:pPr>
        <w:ind w:firstLine="720"/>
      </w:pPr>
      <w:r>
        <w:t>К первым можно отнести нефтяные ТНК, базирующиеся в Европе – прежде всего Shell, B</w:t>
      </w:r>
      <w:r>
        <w:rPr>
          <w:lang w:val="en-US"/>
        </w:rPr>
        <w:t>ritich Petrolium</w:t>
      </w:r>
      <w:r>
        <w:t>. Эту позицию разделяют и некоторые японские фирмы, такие как Marubeni и Mitsubishi, которые  проявляют интерес к  проектам по сокращению выбросов парниковых газов. В 1996 г. B</w:t>
      </w:r>
      <w:r>
        <w:rPr>
          <w:lang w:val="en-US"/>
        </w:rPr>
        <w:t>ritich Petrolium</w:t>
      </w:r>
      <w:r>
        <w:t>, выдвинула программу развития солнечной энергии как одно из четырех направлений стратегии по предотвращению глобальных климатических изменений.  Это было расценено многими в мире хорошим ответом на призывы предпринимать превентивные меры против глобального изменения климата. Кроме того, подобная экологическая программа наверняка станет хорошей рекламой и позволит компании "отвоевать" у конкурентов часть заказчиков. Тем не менее "Гринпис" счел программу B</w:t>
      </w:r>
      <w:r>
        <w:rPr>
          <w:lang w:val="en-US"/>
        </w:rPr>
        <w:t>ritich Petrolium</w:t>
      </w:r>
      <w:r>
        <w:t xml:space="preserve"> "ограниченной". Представители его британского отделения заявили, что "агрессивные" разработки B</w:t>
      </w:r>
      <w:r>
        <w:rPr>
          <w:lang w:val="en-US"/>
        </w:rPr>
        <w:t>ritich Petrolium</w:t>
      </w:r>
      <w:r>
        <w:t xml:space="preserve">  в Атлантическом океане и Антарктике свидетельствует о том, что  компания не собирается предотвращать опасные климатические изменения посредством постепенного сокращения потребления ископаемого топлива.</w:t>
      </w:r>
    </w:p>
    <w:p w:rsidR="007A4980" w:rsidRDefault="007A4980">
      <w:pPr>
        <w:ind w:firstLine="720"/>
      </w:pPr>
      <w:r>
        <w:t xml:space="preserve"> К второй группе корпораций, а именно, отрицающих важность проблемы глобальных изменений климата и не демонстрирующих каких-либо конструктивных шагов в этой сфере относятся базирующиеся в США Exxon-Mobil, Chevron, Texaco. Наиболее "грязными" в плане выбросов так называемых парниковых газов является уголь. В сочетании со значительными выбросами других загрязнителей, создающих "кислотные дожди", экологическая репутация как  самой  угольной промышленности,  так и базирующихся на использовании угля энергетики, выглядят наиболее плохо. Кроме того, угольная отрасль традиционно во всем мире считается экономически мало эффективной. Это ведет к свертыванию угледобычи в последние десятилетия в таких странах как Германия, Франция, Великобритания.</w:t>
      </w:r>
    </w:p>
    <w:p w:rsidR="007A4980" w:rsidRDefault="007A4980">
      <w:pPr>
        <w:ind w:firstLine="720"/>
      </w:pPr>
      <w:r>
        <w:t>В то же время уголь будет являться основой энергетики таких крупных быстро развивающихся стран, как Индия и Китай. Их ориентация на использование собственных запасов ведет к возникновению противоречий с развитыми странами мира в отношении  к проблеме глобальных изменений климата.  Требование Индии и Китая к мировому сообществу  с  признанием  права  этих  стран  на развитие их энергетики на основе имеющихся у них крупных запасов угля так же используется в качестве одного из основных аргументов США в оправдании своего нежелания принимать реальные меры по снижению выбросов парниковых газов.</w:t>
      </w:r>
    </w:p>
    <w:p w:rsidR="007A4980" w:rsidRDefault="007A4980">
      <w:pPr>
        <w:ind w:firstLine="720"/>
      </w:pPr>
      <w:r>
        <w:t>Страны,  использующие уголь в качестве основного сырья для энергетики, будут иметь репутацию экологически "грязных". По мере нарастания остроты проблемы глобальных изменений климата, этот "ярлык" будет переноситься на любые товары, экспортируемые из государств, экономика которых базируется на угольной теплоэнергетике.</w:t>
      </w:r>
    </w:p>
    <w:p w:rsidR="007A4980" w:rsidRDefault="007A4980"/>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pPr>
    </w:p>
    <w:p w:rsidR="007A4980" w:rsidRDefault="007A4980">
      <w:pPr>
        <w:pStyle w:val="1"/>
        <w:keepNext w:val="0"/>
        <w:rPr>
          <w:u w:val="single"/>
        </w:rPr>
      </w:pPr>
      <w:bookmarkStart w:id="6" w:name="_Toc470286879"/>
      <w:r>
        <w:t>Экологические проблемы как элемент производственной политики.</w:t>
      </w:r>
      <w:bookmarkEnd w:id="6"/>
      <w:r>
        <w:rPr>
          <w:u w:val="single"/>
        </w:rPr>
        <w:t xml:space="preserve"> </w:t>
      </w:r>
    </w:p>
    <w:p w:rsidR="007A4980" w:rsidRDefault="007A4980">
      <w:pPr>
        <w:rPr>
          <w:b/>
        </w:rPr>
      </w:pPr>
    </w:p>
    <w:p w:rsidR="007A4980" w:rsidRDefault="007A4980">
      <w:pPr>
        <w:pStyle w:val="21"/>
        <w:ind w:firstLine="720"/>
      </w:pPr>
      <w:r>
        <w:t xml:space="preserve">Ужесточение экологических требований к продукции и производственному процессу – реалии современного рынка, с которыми нельзя не считаться. Обеспечить их выполнение можно только посредством экологизации самого производства. Более того, все чаще зарубежный покупатель проверяет не только экологическое качество продукции, но и экологические условия ее производства (даже сырья). За поражением в конкурентной борьбе на внешнем рынке все чаще следует вытеснение с внутреннего. Для предприятия пренебрежение экологией сегодня – это экономический крах завтра. </w:t>
      </w:r>
    </w:p>
    <w:p w:rsidR="007A4980" w:rsidRDefault="007A4980">
      <w:pPr>
        <w:ind w:firstLine="720"/>
      </w:pPr>
      <w:r>
        <w:rPr>
          <w:b/>
        </w:rPr>
        <w:t>Роль конкуренции в снижении экологических параметров производства</w:t>
      </w:r>
      <w:r>
        <w:t xml:space="preserve">. Либерализация экономики, по идее, должна способствовать проникновению в производство современных технологий, в том числе и природоохранных. Однако местные производители, конкурирующие с более дешевой импортной продукцией, часто вынуждены заменять экологически чистые, но дорогостоящие способы производства, на более дешевые и экологически грязные. Производителям, которые не  используют экстенсивные и разрушительные технологии, приходится через некоторое время закрывать производство, ввиду невозможности конкурировать с дешевой импортной продукцией. Наиболее остро экологическая аргументация внедряется в рыночные взаимодействия производителей и потребителей продуктов питания, бумаги, бытовой химии и др. </w:t>
      </w:r>
    </w:p>
    <w:p w:rsidR="007A4980" w:rsidRDefault="007A4980">
      <w:pPr>
        <w:ind w:firstLine="720"/>
      </w:pPr>
      <w:r>
        <w:rPr>
          <w:b/>
        </w:rPr>
        <w:t>Фосфаты в стиральных порошках и "цветение водоемов".</w:t>
      </w:r>
      <w:r>
        <w:t xml:space="preserve"> Одним из ярких примеров "сбрасывания" в Россию устаревших, имеющих экологические последствия, технологий, которые уже не используются в развитых странах, является технология производства стиральных порошков. Больше половины стиральных порошков, которые рекламируются в России, содержат особо опасное для водных экосистем вещество - триполифосфат натрия (ТПН). Его содержание в порошках колеблется от 15 до 40 %. ТПФ не улавливается даже самыми современными очистными сооружениями. Попадая в реки и озера ТПН начинает действовать на водную растительность как удобрение. Всего 1 грамм триполифосфата натрия стимулирует образование 5-10 кг. водорослей! Ученые считают, что сейчас россияне тратят ежегодно около 1 млн. т. стирального порошка. Таким образом, в российские реки, озера и моря попадает 300-400 тысяч тонн триполифосфата натрия.</w:t>
      </w:r>
    </w:p>
    <w:p w:rsidR="007A4980" w:rsidRDefault="007A4980">
      <w:pPr>
        <w:ind w:firstLine="720"/>
      </w:pPr>
      <w:r>
        <w:t xml:space="preserve"> Во многих странах выпуск порошков с использованием фосфатов сначала ограничили, а потом и вовсе запретили. В настоящее время в Германии, Италии, Австрии, Норвегии, Швейцарии и Нидерландах стирают только порошками без фосфатов. В Бельгии более 80% порошков безфосфатные, в Дании - 54%, Финляндии и Швеции - 40, Франции - 30, Великобритании и Испании - 25, Греции и Португалии - 15%. В Японии уже к 1986 году в стиральных порошках фосфатов не было вообще.</w:t>
      </w:r>
    </w:p>
    <w:p w:rsidR="007A4980" w:rsidRDefault="007A4980">
      <w:pPr>
        <w:ind w:firstLine="720"/>
      </w:pPr>
      <w:r>
        <w:t xml:space="preserve"> Взамен фосфатов в стиральные порошки вводят биологически инертные, экологически безопасные вещества - цеолиты. Но те же фирмы, которые в своих странах выпускают бесфосфатные порошки с цеолитом, в России под теми же торговыми марками производят порошки с фосфатами. Так, очень хорошо известная фирма "Проктер энд Гембл" у себя в США еще в 80-е годы производила "Ариэль" с уменьшенным содержанием фосфатов и вообще без них. Однако для России на принадлежащем фирме "Новомосковскбытхиме" производится "Ариэль", "Тайд", "Тикс", "Миф" с фосфатами.</w:t>
      </w:r>
    </w:p>
    <w:p w:rsidR="007A4980" w:rsidRDefault="007A4980">
      <w:pPr>
        <w:ind w:firstLine="720"/>
      </w:pPr>
      <w:r>
        <w:rPr>
          <w:b/>
        </w:rPr>
        <w:t>Экологические факторы и производство автомобилей</w:t>
      </w:r>
      <w:r>
        <w:rPr>
          <w:b/>
          <w:i/>
        </w:rPr>
        <w:t>.</w:t>
      </w:r>
      <w:r>
        <w:t xml:space="preserve"> Наиболее актуальной сегодня является проблема обеспечения экологической безопасности транспорта через давление на производителей автомобилей с целью заставить их применять новые технологии. Так, с 1993 г. в США под давлением общественности и рекомендациям ученых запрещено производство и продажа двигателей, работающих на этилированном бензине, с 1996 г. – продажа самого бензина, а с октября 1993 г. запрещена продажа дизельного топлива с содержанием серы выше 0,05%. Применявшиеся при этом экономические меры давления включали как штрафы за эксплуатацию "грязных" автомобилей, так и существенные финансовые поощрения (дотации, низкопроцентные ссуды, отсрочки в платежах, налоговые льготы и т. п.) при использовании автомобилей, двигатели которых работают на природном газе, метаноле, этаноле, и других экологически чистых видах топлива.</w:t>
      </w:r>
    </w:p>
    <w:p w:rsidR="007A4980" w:rsidRDefault="007A4980"/>
    <w:p w:rsidR="007A4980" w:rsidRDefault="007A4980"/>
    <w:p w:rsidR="007A4980" w:rsidRDefault="007A4980"/>
    <w:p w:rsidR="007A4980" w:rsidRDefault="007A4980">
      <w:pPr>
        <w:pStyle w:val="1"/>
      </w:pPr>
      <w:bookmarkStart w:id="7" w:name="_Toc470286880"/>
      <w:r>
        <w:t>Литература:</w:t>
      </w:r>
      <w:bookmarkEnd w:id="7"/>
    </w:p>
    <w:p w:rsidR="007A4980" w:rsidRDefault="007A4980">
      <w:pPr>
        <w:tabs>
          <w:tab w:val="left" w:pos="1418"/>
        </w:tabs>
      </w:pPr>
    </w:p>
    <w:p w:rsidR="007A4980" w:rsidRDefault="007A4980">
      <w:pPr>
        <w:tabs>
          <w:tab w:val="left" w:pos="1418"/>
        </w:tabs>
      </w:pPr>
      <w:r>
        <w:tab/>
        <w:t>«Экономика». Экологические проблемы как элемент производственной политики, стр. 20-22. Фадеев А.А. Сентябрь 1999.</w:t>
      </w:r>
    </w:p>
    <w:p w:rsidR="007A4980" w:rsidRDefault="007A4980">
      <w:pPr>
        <w:tabs>
          <w:tab w:val="left" w:pos="1418"/>
        </w:tabs>
      </w:pPr>
      <w:r>
        <w:tab/>
        <w:t>«Эксперт». Использование экологических проблем для достижения экономических целей в международном сотрудничестве, стр. 17-24. Ареева А.Н., Носов Л.С. Май 1999.</w:t>
      </w:r>
    </w:p>
    <w:p w:rsidR="007A4980" w:rsidRDefault="007A4980">
      <w:pPr>
        <w:tabs>
          <w:tab w:val="left" w:pos="1418"/>
        </w:tabs>
      </w:pPr>
      <w:r>
        <w:tab/>
        <w:t>«Компания». Использование экологической информации в стратегии природопользования и взаимодействия товаропроизводителей на рынке, стр. 33-37. Алиев К.Н., Доходян З.Р. Июнь 1999.</w:t>
      </w:r>
      <w:bookmarkStart w:id="8" w:name="_GoBack"/>
      <w:bookmarkEnd w:id="8"/>
    </w:p>
    <w:sectPr w:rsidR="007A4980">
      <w:footerReference w:type="even" r:id="rId6"/>
      <w:footerReference w:type="default" r:id="rId7"/>
      <w:pgSz w:w="11907" w:h="16840" w:code="9"/>
      <w:pgMar w:top="1418" w:right="1134"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980" w:rsidRDefault="007A4980">
      <w:r>
        <w:separator/>
      </w:r>
    </w:p>
  </w:endnote>
  <w:endnote w:type="continuationSeparator" w:id="0">
    <w:p w:rsidR="007A4980" w:rsidRDefault="007A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80" w:rsidRDefault="007A4980">
    <w:pPr>
      <w:pStyle w:val="a4"/>
      <w:framePr w:wrap="around" w:vAnchor="text" w:hAnchor="margin" w:xAlign="center" w:y="1"/>
      <w:rPr>
        <w:rStyle w:val="a5"/>
      </w:rPr>
    </w:pPr>
  </w:p>
  <w:p w:rsidR="007A4980" w:rsidRDefault="007A49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80" w:rsidRDefault="00E23084">
    <w:pPr>
      <w:pStyle w:val="a4"/>
      <w:framePr w:wrap="around" w:vAnchor="text" w:hAnchor="margin" w:xAlign="center" w:y="1"/>
      <w:rPr>
        <w:rStyle w:val="a5"/>
      </w:rPr>
    </w:pPr>
    <w:r>
      <w:rPr>
        <w:rStyle w:val="a5"/>
        <w:noProof/>
      </w:rPr>
      <w:t>2</w:t>
    </w:r>
  </w:p>
  <w:p w:rsidR="007A4980" w:rsidRDefault="007A49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980" w:rsidRDefault="007A4980">
      <w:r>
        <w:separator/>
      </w:r>
    </w:p>
  </w:footnote>
  <w:footnote w:type="continuationSeparator" w:id="0">
    <w:p w:rsidR="007A4980" w:rsidRDefault="007A4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084"/>
    <w:rsid w:val="002328F1"/>
    <w:rsid w:val="007A4980"/>
    <w:rsid w:val="008A5DB1"/>
    <w:rsid w:val="00E23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E41E9-B19B-425A-9644-58C71409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851"/>
      <w:jc w:val="both"/>
      <w:textAlignment w:val="baseline"/>
    </w:pPr>
    <w:rPr>
      <w:spacing w:val="22"/>
      <w:sz w:val="28"/>
    </w:rPr>
  </w:style>
  <w:style w:type="paragraph" w:styleId="1">
    <w:name w:val="heading 1"/>
    <w:basedOn w:val="a"/>
    <w:next w:val="a"/>
    <w:qFormat/>
    <w:pPr>
      <w:keepNext/>
      <w:spacing w:before="240" w:after="60"/>
      <w:ind w:firstLine="0"/>
      <w:jc w:val="center"/>
      <w:outlineLvl w:val="0"/>
    </w:pPr>
    <w:rPr>
      <w:b/>
      <w:i/>
      <w:kern w:val="28"/>
      <w:sz w:val="32"/>
    </w:rPr>
  </w:style>
  <w:style w:type="paragraph" w:styleId="2">
    <w:name w:val="heading 2"/>
    <w:basedOn w:val="a"/>
    <w:next w:val="a"/>
    <w:qFormat/>
    <w:pPr>
      <w:keepNext/>
      <w:spacing w:before="240" w:after="60"/>
      <w:ind w:firstLine="0"/>
      <w:jc w:val="center"/>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pPr>
      <w:keepNext/>
    </w:pPr>
    <w:rPr>
      <w:b/>
    </w:rPr>
  </w:style>
  <w:style w:type="paragraph" w:customStyle="1" w:styleId="21">
    <w:name w:val="Основной текст 21"/>
    <w:basedOn w:val="a"/>
    <w:pPr>
      <w:ind w:firstLine="0"/>
    </w:pPr>
  </w:style>
  <w:style w:type="paragraph" w:styleId="a3">
    <w:name w:val="Body Text"/>
    <w:basedOn w:val="a"/>
    <w:semiHidden/>
    <w:pPr>
      <w:ind w:firstLine="0"/>
    </w:pPr>
    <w:rPr>
      <w:b/>
    </w:rPr>
  </w:style>
  <w:style w:type="paragraph" w:styleId="20">
    <w:name w:val="Body Text 2"/>
    <w:basedOn w:val="a"/>
    <w:pPr>
      <w:ind w:left="780" w:firstLine="0"/>
    </w:pPr>
  </w:style>
  <w:style w:type="paragraph" w:styleId="a4">
    <w:name w:val="footer"/>
    <w:basedOn w:val="a"/>
    <w:semiHidden/>
    <w:pPr>
      <w:tabs>
        <w:tab w:val="center" w:pos="4153"/>
        <w:tab w:val="right" w:pos="8306"/>
      </w:tabs>
    </w:pPr>
  </w:style>
  <w:style w:type="character" w:styleId="a5">
    <w:name w:val="page number"/>
    <w:semiHidden/>
  </w:style>
  <w:style w:type="paragraph" w:styleId="10">
    <w:name w:val="toc 1"/>
    <w:basedOn w:val="a"/>
    <w:next w:val="a"/>
    <w:semiHidden/>
    <w:pPr>
      <w:tabs>
        <w:tab w:val="right" w:leader="dot" w:pos="9072"/>
      </w:tabs>
      <w:spacing w:before="120" w:after="120"/>
      <w:jc w:val="left"/>
    </w:pPr>
    <w:rPr>
      <w:b/>
      <w:caps/>
      <w:sz w:val="20"/>
    </w:rPr>
  </w:style>
  <w:style w:type="paragraph" w:styleId="22">
    <w:name w:val="toc 2"/>
    <w:basedOn w:val="a"/>
    <w:next w:val="a"/>
    <w:semiHidden/>
    <w:pPr>
      <w:tabs>
        <w:tab w:val="right" w:leader="dot" w:pos="9072"/>
      </w:tabs>
      <w:ind w:left="280"/>
      <w:jc w:val="left"/>
    </w:pPr>
    <w:rPr>
      <w:smallCaps/>
      <w:sz w:val="20"/>
    </w:rPr>
  </w:style>
  <w:style w:type="paragraph" w:styleId="30">
    <w:name w:val="toc 3"/>
    <w:basedOn w:val="a"/>
    <w:next w:val="a"/>
    <w:semiHidden/>
    <w:pPr>
      <w:tabs>
        <w:tab w:val="right" w:leader="dot" w:pos="9072"/>
      </w:tabs>
      <w:ind w:left="560"/>
      <w:jc w:val="left"/>
    </w:pPr>
    <w:rPr>
      <w:i/>
      <w:sz w:val="20"/>
    </w:rPr>
  </w:style>
  <w:style w:type="paragraph" w:styleId="4">
    <w:name w:val="toc 4"/>
    <w:basedOn w:val="a"/>
    <w:next w:val="a"/>
    <w:semiHidden/>
    <w:pPr>
      <w:tabs>
        <w:tab w:val="right" w:leader="dot" w:pos="9072"/>
      </w:tabs>
      <w:ind w:left="840"/>
      <w:jc w:val="left"/>
    </w:pPr>
    <w:rPr>
      <w:sz w:val="18"/>
    </w:rPr>
  </w:style>
  <w:style w:type="paragraph" w:styleId="5">
    <w:name w:val="toc 5"/>
    <w:basedOn w:val="a"/>
    <w:next w:val="a"/>
    <w:semiHidden/>
    <w:pPr>
      <w:tabs>
        <w:tab w:val="right" w:leader="dot" w:pos="9072"/>
      </w:tabs>
      <w:ind w:left="1120"/>
      <w:jc w:val="left"/>
    </w:pPr>
    <w:rPr>
      <w:sz w:val="18"/>
    </w:rPr>
  </w:style>
  <w:style w:type="paragraph" w:styleId="6">
    <w:name w:val="toc 6"/>
    <w:basedOn w:val="a"/>
    <w:next w:val="a"/>
    <w:semiHidden/>
    <w:pPr>
      <w:tabs>
        <w:tab w:val="right" w:leader="dot" w:pos="9072"/>
      </w:tabs>
      <w:ind w:left="1400"/>
      <w:jc w:val="left"/>
    </w:pPr>
    <w:rPr>
      <w:sz w:val="18"/>
    </w:rPr>
  </w:style>
  <w:style w:type="paragraph" w:styleId="7">
    <w:name w:val="toc 7"/>
    <w:basedOn w:val="a"/>
    <w:next w:val="a"/>
    <w:semiHidden/>
    <w:pPr>
      <w:tabs>
        <w:tab w:val="right" w:leader="dot" w:pos="9072"/>
      </w:tabs>
      <w:ind w:left="1680"/>
      <w:jc w:val="left"/>
    </w:pPr>
    <w:rPr>
      <w:sz w:val="18"/>
    </w:rPr>
  </w:style>
  <w:style w:type="paragraph" w:styleId="8">
    <w:name w:val="toc 8"/>
    <w:basedOn w:val="a"/>
    <w:next w:val="a"/>
    <w:semiHidden/>
    <w:pPr>
      <w:tabs>
        <w:tab w:val="right" w:leader="dot" w:pos="9072"/>
      </w:tabs>
      <w:ind w:left="1960"/>
      <w:jc w:val="left"/>
    </w:pPr>
    <w:rPr>
      <w:sz w:val="18"/>
    </w:rPr>
  </w:style>
  <w:style w:type="paragraph" w:styleId="9">
    <w:name w:val="toc 9"/>
    <w:basedOn w:val="a"/>
    <w:next w:val="a"/>
    <w:semiHidden/>
    <w:pPr>
      <w:tabs>
        <w:tab w:val="right" w:leader="dot" w:pos="9072"/>
      </w:tabs>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ПРИМЕРЫ ИСПОЛЬЗОВАНИЯ ЭКОЛОГИЧЕСКОЙ ИНФОРМАЦИИ В КОРРЕКЦИИ СТРАТЕГИИ ПРИРОДОПОЛЬЗОВАНИЯ И ВЗАИМОДЕЙСТВИИ ТОВАРОПРОИЗВОДИТЕЛЕЙ НА РЫНКАХ </vt:lpstr>
    </vt:vector>
  </TitlesOfParts>
  <Company>Elcom Ltd</Company>
  <LinksUpToDate>false</LinksUpToDate>
  <CharactersWithSpaces>34403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ПРИМЕРЫ ИСПОЛЬЗОВАНИЯ ЭКОЛОГИЧЕСКОЙ ИНФОРМАЦИИ В КОРРЕКЦИИ СТРАТЕГИИ ПРИРОДОПОЛЬЗОВАНИЯ И ВЗАИМОДЕЙСТВИИ ТОВАРОПРОИЗВОДИТЕЛЕЙ НА РЫНКАХ </dc:title>
  <dc:subject/>
  <dc:creator>Alexandre Katalov</dc:creator>
  <cp:keywords/>
  <dc:description/>
  <cp:lastModifiedBy>Irina</cp:lastModifiedBy>
  <cp:revision>2</cp:revision>
  <cp:lastPrinted>1999-12-19T22:28:00Z</cp:lastPrinted>
  <dcterms:created xsi:type="dcterms:W3CDTF">2014-08-06T18:09:00Z</dcterms:created>
  <dcterms:modified xsi:type="dcterms:W3CDTF">2014-08-06T18:09:00Z</dcterms:modified>
</cp:coreProperties>
</file>