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04" w:rsidRDefault="00E93104">
      <w:pPr>
        <w:widowControl w:val="0"/>
        <w:pBdr>
          <w:bottom w:val="single" w:sz="12" w:space="1" w:color="auto"/>
        </w:pBdr>
        <w:jc w:val="center"/>
        <w:rPr>
          <w:sz w:val="56"/>
        </w:rPr>
      </w:pPr>
      <w:r>
        <w:rPr>
          <w:sz w:val="56"/>
        </w:rPr>
        <w:t>Академия ГПС МВД России</w:t>
      </w:r>
    </w:p>
    <w:p w:rsidR="00E93104" w:rsidRDefault="00E93104">
      <w:pPr>
        <w:widowControl w:val="0"/>
        <w:rPr>
          <w:sz w:val="56"/>
        </w:rPr>
      </w:pPr>
    </w:p>
    <w:p w:rsidR="00E93104" w:rsidRDefault="00E93104">
      <w:pPr>
        <w:widowControl w:val="0"/>
        <w:rPr>
          <w:sz w:val="28"/>
        </w:rPr>
      </w:pPr>
      <w:r>
        <w:rPr>
          <w:sz w:val="28"/>
        </w:rPr>
        <w:t>Кафедра: "Пожарная безопасность в строительстве".</w:t>
      </w:r>
    </w:p>
    <w:p w:rsidR="00E93104" w:rsidRDefault="00E93104">
      <w:pPr>
        <w:widowControl w:val="0"/>
        <w:rPr>
          <w:sz w:val="28"/>
        </w:rPr>
      </w:pPr>
      <w:r>
        <w:rPr>
          <w:sz w:val="28"/>
        </w:rPr>
        <w:t>Дисциплина: " Пожарная безопасность в строительстве".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jc w:val="center"/>
        <w:rPr>
          <w:sz w:val="96"/>
        </w:rPr>
      </w:pPr>
      <w:r>
        <w:rPr>
          <w:sz w:val="96"/>
        </w:rPr>
        <w:t>Упражнение №3</w:t>
      </w:r>
    </w:p>
    <w:p w:rsidR="00E93104" w:rsidRDefault="00E93104">
      <w:pPr>
        <w:widowControl w:val="0"/>
        <w:jc w:val="center"/>
        <w:rPr>
          <w:sz w:val="72"/>
        </w:rPr>
      </w:pPr>
    </w:p>
    <w:p w:rsidR="00E93104" w:rsidRDefault="00E93104">
      <w:pPr>
        <w:widowControl w:val="0"/>
        <w:jc w:val="center"/>
        <w:rPr>
          <w:sz w:val="72"/>
        </w:rPr>
      </w:pPr>
      <w:r>
        <w:rPr>
          <w:sz w:val="72"/>
        </w:rPr>
        <w:t>"</w:t>
      </w:r>
      <w:r>
        <w:rPr>
          <w:sz w:val="68"/>
        </w:rPr>
        <w:t>Экспертиза проекта генплана промышленного предприятия</w:t>
      </w:r>
      <w:r>
        <w:rPr>
          <w:sz w:val="72"/>
        </w:rPr>
        <w:t>"</w:t>
      </w:r>
    </w:p>
    <w:p w:rsidR="00E93104" w:rsidRDefault="00E93104">
      <w:pPr>
        <w:widowControl w:val="0"/>
        <w:jc w:val="center"/>
        <w:rPr>
          <w:sz w:val="28"/>
        </w:rPr>
      </w:pPr>
      <w:r>
        <w:rPr>
          <w:sz w:val="40"/>
        </w:rPr>
        <w:t>(выполняется на примере генплана Оболдинского химического завода)</w:t>
      </w:r>
      <w:r>
        <w:rPr>
          <w:sz w:val="72"/>
        </w:rPr>
        <w:t xml:space="preserve"> 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ind w:left="4536"/>
        <w:rPr>
          <w:sz w:val="28"/>
        </w:rPr>
      </w:pPr>
      <w:r>
        <w:rPr>
          <w:b/>
          <w:sz w:val="28"/>
        </w:rPr>
        <w:t>Выполнил:</w:t>
      </w:r>
      <w:r>
        <w:rPr>
          <w:sz w:val="28"/>
        </w:rPr>
        <w:t xml:space="preserve"> слушатель учебной группы №2597 младший лейтенант внутренней службы Борисов Д.В. </w:t>
      </w:r>
    </w:p>
    <w:p w:rsidR="00E93104" w:rsidRDefault="00E93104">
      <w:pPr>
        <w:widowControl w:val="0"/>
        <w:ind w:left="4536"/>
        <w:rPr>
          <w:b/>
          <w:sz w:val="28"/>
        </w:rPr>
      </w:pPr>
    </w:p>
    <w:p w:rsidR="00E93104" w:rsidRDefault="00E93104">
      <w:pPr>
        <w:widowControl w:val="0"/>
        <w:ind w:left="4536"/>
        <w:rPr>
          <w:sz w:val="28"/>
        </w:rPr>
      </w:pPr>
      <w:r>
        <w:rPr>
          <w:b/>
          <w:sz w:val="28"/>
        </w:rPr>
        <w:t>Проверил:</w:t>
      </w:r>
      <w:r>
        <w:rPr>
          <w:sz w:val="28"/>
        </w:rPr>
        <w:t xml:space="preserve"> старший преподаватель </w:t>
      </w:r>
    </w:p>
    <w:p w:rsidR="00E93104" w:rsidRDefault="00E93104">
      <w:pPr>
        <w:widowControl w:val="0"/>
        <w:ind w:left="4536"/>
        <w:rPr>
          <w:sz w:val="28"/>
        </w:rPr>
      </w:pPr>
      <w:r>
        <w:rPr>
          <w:sz w:val="28"/>
        </w:rPr>
        <w:t xml:space="preserve">полковник внутренней службы </w:t>
      </w:r>
    </w:p>
    <w:p w:rsidR="00E93104" w:rsidRDefault="00E93104">
      <w:pPr>
        <w:widowControl w:val="0"/>
        <w:ind w:left="4536"/>
        <w:rPr>
          <w:sz w:val="28"/>
        </w:rPr>
      </w:pPr>
      <w:r>
        <w:rPr>
          <w:sz w:val="28"/>
        </w:rPr>
        <w:t>Плюснина Г.Ф.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Москва 2001</w:t>
      </w:r>
    </w:p>
    <w:p w:rsidR="00E93104" w:rsidRDefault="00E93104">
      <w:pPr>
        <w:pageBreakBefore/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Содержание отчёта:</w:t>
      </w:r>
    </w:p>
    <w:p w:rsidR="00E93104" w:rsidRDefault="00E93104">
      <w:pPr>
        <w:widowControl w:val="0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Краткая характеристика территории завода и размещаемых на них объектах.</w:t>
      </w:r>
    </w:p>
    <w:p w:rsidR="00E93104" w:rsidRDefault="00E93104">
      <w:pPr>
        <w:widowControl w:val="0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Экспертиза генплана промышленного предприятия.</w:t>
      </w:r>
    </w:p>
    <w:p w:rsidR="00E93104" w:rsidRDefault="00E93104">
      <w:pPr>
        <w:widowControl w:val="0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Письмо в адрес проектной организации.</w:t>
      </w:r>
    </w:p>
    <w:p w:rsidR="00E93104" w:rsidRDefault="00E93104">
      <w:pPr>
        <w:widowControl w:val="0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Технические решения.</w:t>
      </w:r>
    </w:p>
    <w:p w:rsidR="00E93104" w:rsidRDefault="00E93104">
      <w:pPr>
        <w:widowControl w:val="0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Используемая литература.</w:t>
      </w: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pageBreakBefore/>
        <w:widowControl w:val="0"/>
        <w:ind w:firstLine="567"/>
        <w:rPr>
          <w:b/>
          <w:sz w:val="32"/>
        </w:rPr>
      </w:pPr>
      <w:r>
        <w:rPr>
          <w:b/>
          <w:sz w:val="32"/>
        </w:rPr>
        <w:t>1. Краткая характеристика территории завода и размещаемых на них объектах.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Проект генплана отражает перспективы реконструкции Оболдинского химического завода, расположенного в Щёлковском районе Московской области.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Проект разработан проектным институтом РОСГИПРОМЕСТПРОМ г. Москва.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Заводская площадка расположена на 100 м севернее д. Оболдино, на расстоянии 5 км от станции "Соколовская" Ярославской железной дороги, где находится ближайшая пожарная часть. Существующая заводская территория состоит из 3 изолированных площадок, расположенных по склонам небольшой возвышенности и самая высокая точка - 165,5 м, перепад отметок по рельефу составляет 6 м. По перспективному генплану, площадки предлагается объединить и увеличить площадь застройки за счёт прилегаемых к заводу территории до 7,7 га.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 правом склоне предполагается расположить основные производственные корпуса, склады и предзаводскую зону.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 левом склоне, где размещены существующие здания подсобных служб, предполагается разместить также часть складов. Кроме того, на территории завода предполагается построить цех бытовой химии.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 рассматриваемом проекте генплана представлены существующие здания, а также здания и сооружения проектируемые для строительства 1-ой очереди и перспективные.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Все здания, существующие и перспективные, имеют </w:t>
      </w:r>
      <w:r>
        <w:rPr>
          <w:sz w:val="28"/>
          <w:lang w:val="en-US"/>
        </w:rPr>
        <w:t>II</w:t>
      </w:r>
      <w:r>
        <w:rPr>
          <w:sz w:val="28"/>
        </w:rPr>
        <w:t xml:space="preserve"> степень огнестойкости.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Завод выпускает лаки для мебельной промышленности, нитрокраски, растворители (ацетон, бензин), резиновый клей. В качестве сырья используется коллоксилин, суховальцованная паста (СВП) и растворители.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Краткая характеристика зданий.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4536"/>
        <w:gridCol w:w="912"/>
        <w:gridCol w:w="1276"/>
        <w:gridCol w:w="1276"/>
      </w:tblGrid>
      <w:tr w:rsidR="00E93104">
        <w:tc>
          <w:tcPr>
            <w:tcW w:w="1384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порядковый номер объекта на генплане</w:t>
            </w:r>
          </w:p>
        </w:tc>
        <w:tc>
          <w:tcPr>
            <w:tcW w:w="4536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Назначение зданий и сооружений</w:t>
            </w:r>
          </w:p>
        </w:tc>
        <w:tc>
          <w:tcPr>
            <w:tcW w:w="912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категория здания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застройки или ёмкость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ФОС здания</w:t>
            </w:r>
          </w:p>
        </w:tc>
      </w:tr>
      <w:tr w:rsidR="00E93104">
        <w:tc>
          <w:tcPr>
            <w:tcW w:w="1384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36" w:type="dxa"/>
          </w:tcPr>
          <w:p w:rsidR="00E93104" w:rsidRDefault="00E9310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главный корпус (цех лаков и эмалей)</w:t>
            </w:r>
          </w:p>
        </w:tc>
        <w:tc>
          <w:tcPr>
            <w:tcW w:w="912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1728,0 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E93104">
        <w:tc>
          <w:tcPr>
            <w:tcW w:w="1384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36" w:type="dxa"/>
          </w:tcPr>
          <w:p w:rsidR="00E93104" w:rsidRDefault="00E9310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служебно-бытовой корпус</w:t>
            </w:r>
          </w:p>
        </w:tc>
        <w:tc>
          <w:tcPr>
            <w:tcW w:w="912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310,0 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E93104">
        <w:tc>
          <w:tcPr>
            <w:tcW w:w="1384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36" w:type="dxa"/>
          </w:tcPr>
          <w:p w:rsidR="00E93104" w:rsidRDefault="00E9310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корпус бытовой химии</w:t>
            </w:r>
          </w:p>
        </w:tc>
        <w:tc>
          <w:tcPr>
            <w:tcW w:w="912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1665,0 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E93104">
        <w:tc>
          <w:tcPr>
            <w:tcW w:w="1384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536" w:type="dxa"/>
          </w:tcPr>
          <w:p w:rsidR="00E93104" w:rsidRDefault="00E9310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блок складов и ремонтно-механическая мастерская</w:t>
            </w:r>
          </w:p>
        </w:tc>
        <w:tc>
          <w:tcPr>
            <w:tcW w:w="912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4911,0 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</w:t>
            </w:r>
          </w:p>
        </w:tc>
      </w:tr>
      <w:tr w:rsidR="00E93104">
        <w:tc>
          <w:tcPr>
            <w:tcW w:w="1384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536" w:type="dxa"/>
          </w:tcPr>
          <w:p w:rsidR="00E93104" w:rsidRDefault="00E9310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открытый склад пиломатериалов</w:t>
            </w:r>
          </w:p>
        </w:tc>
        <w:tc>
          <w:tcPr>
            <w:tcW w:w="912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1000 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E93104" w:rsidRDefault="00E9310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ind w:firstLine="567"/>
        <w:rPr>
          <w:sz w:val="28"/>
        </w:rPr>
      </w:pPr>
      <w:r>
        <w:rPr>
          <w:sz w:val="28"/>
        </w:rPr>
        <w:t>Высота одноэтажных производственных корпусов - 7.2 м.</w:t>
      </w:r>
    </w:p>
    <w:p w:rsidR="00E93104" w:rsidRDefault="00E93104">
      <w:pPr>
        <w:widowControl w:val="0"/>
        <w:ind w:firstLine="567"/>
        <w:rPr>
          <w:sz w:val="28"/>
        </w:rPr>
      </w:pPr>
      <w:r>
        <w:rPr>
          <w:sz w:val="28"/>
        </w:rPr>
        <w:t>Высота этажа в служебно-бытовом корпусе - 3 м.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  <w:sectPr w:rsidR="00E93104">
          <w:pgSz w:w="11907" w:h="16840" w:code="9"/>
          <w:pgMar w:top="851" w:right="1134" w:bottom="1134" w:left="1418" w:header="720" w:footer="720" w:gutter="0"/>
          <w:cols w:space="720"/>
        </w:sectPr>
      </w:pPr>
    </w:p>
    <w:p w:rsidR="00E93104" w:rsidRDefault="00E93104">
      <w:pPr>
        <w:widowControl w:val="0"/>
        <w:rPr>
          <w:sz w:val="28"/>
        </w:rPr>
      </w:pPr>
      <w:r>
        <w:rPr>
          <w:b/>
          <w:sz w:val="32"/>
        </w:rPr>
        <w:t>2. Экспертиза генплана промышленного предприятия.</w:t>
      </w:r>
    </w:p>
    <w:p w:rsidR="00E93104" w:rsidRDefault="00E93104">
      <w:pPr>
        <w:widowControl w:val="0"/>
        <w:rPr>
          <w:b/>
          <w:sz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0"/>
        <w:gridCol w:w="1821"/>
        <w:gridCol w:w="2327"/>
        <w:gridCol w:w="6379"/>
        <w:gridCol w:w="1973"/>
        <w:gridCol w:w="1711"/>
      </w:tblGrid>
      <w:tr w:rsidR="00E93104">
        <w:tc>
          <w:tcPr>
            <w:tcW w:w="530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21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Что проверяется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Принято в проекте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Требуется нормами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Ссылка на нормативный документ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Вывод о соответствии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2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Зонирование производственной территории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Производственная территория разделена на функциональные зоны.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п. 3.8.</w:t>
            </w:r>
            <w:r>
              <w:rPr>
                <w:sz w:val="20"/>
              </w:rPr>
              <w:t xml:space="preserve"> По функциональному использованию площадку предприятия следует разделять на зоны: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а) предзаводскую (за пределами ограды или условной границы предприятия);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б) производственную;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в) подсобную;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г) складскую;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территорию промышленного узла следует разделять на зоны: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д) общественного центра;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е) площадок предприятий;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ж) общих объектов вспомогательных производств и хозяйств.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16"/>
              </w:rPr>
              <w:t>Деление на зоны допускается уточнять с учетом конкретных условий строительства.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 3.8.</w:t>
            </w:r>
            <w:r>
              <w:rPr>
                <w:sz w:val="16"/>
              </w:rPr>
              <w:t xml:space="preserve"> 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  <w:p w:rsidR="00E93104" w:rsidRDefault="00E93104">
            <w:pPr>
              <w:widowControl w:val="0"/>
              <w:rPr>
                <w:sz w:val="16"/>
              </w:rPr>
            </w:pP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3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Учет рельефа местности при размещении объектов на генплане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Отсутствует ограждение из негорючих материалов и обвалование.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п. 3.60.</w:t>
            </w:r>
            <w:r>
              <w:rPr>
                <w:sz w:val="20"/>
              </w:rPr>
              <w:t xml:space="preserve"> Резервуарные парки или отдельно стоящие резервуары с легковоспламеняющимися и горючими жидкостями, сжиженными горючими газами, ядовитыми веществами должны располагаться, как правило, на более низких отметках по отношению к зданиям и сооружениям предприятия и в соответствии с требованиями противопожарных норм должны быть обнесены (с учетом рельефа местности) сплошными несгораемыми стенами или земляными валами.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В случаях размещения указанных сооружений на более высоких отметках следует предусматривать дополнительные мероприятия по предотвращению при авариях наземных резервуаров возможности проникновения разлившейся жидкости за пределы ограждающих сооружений.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20"/>
                <w:u w:val="single"/>
              </w:rPr>
              <w:t>п.2.12.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Территория складов нефти и нефтепродуктов должна быть ограждена продуваемой оградой из негорючих материалов высотой не менее 2 м.</w:t>
            </w:r>
          </w:p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16"/>
              </w:rPr>
              <w:t>Расстояние от зданий и сооружений склада до ограды склада следует принимать:</w:t>
            </w:r>
          </w:p>
          <w:p w:rsidR="00E93104" w:rsidRDefault="00E93104">
            <w:pPr>
              <w:widowControl w:val="0"/>
              <w:numPr>
                <w:ilvl w:val="0"/>
                <w:numId w:val="4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от сливоналивных железнодорожных эстакад, оборудованных сливоналивными устройствами с двух сторон (считая от оси ближайшего к ограждению пути) - не менее 15 м;</w:t>
            </w:r>
          </w:p>
          <w:p w:rsidR="00E93104" w:rsidRDefault="00E93104">
            <w:pPr>
              <w:widowControl w:val="0"/>
              <w:numPr>
                <w:ilvl w:val="0"/>
                <w:numId w:val="4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от административных и бытовых зданий склада - не нормируется;</w:t>
            </w:r>
          </w:p>
          <w:p w:rsidR="00E93104" w:rsidRDefault="00E93104">
            <w:pPr>
              <w:widowControl w:val="0"/>
              <w:numPr>
                <w:ilvl w:val="0"/>
                <w:numId w:val="4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от других зданий и сооружений склада - не менее5м.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16"/>
              </w:rPr>
              <w:t>При размещении складов нефти и нефтепродуктов на территории других предприятий необходимость устройства ограды этих складов устанавливается заказчиком в задании на проектирование.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 3.60.</w:t>
            </w:r>
            <w:r>
              <w:rPr>
                <w:sz w:val="16"/>
              </w:rPr>
              <w:t xml:space="preserve"> 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  <w:p w:rsidR="00E93104" w:rsidRDefault="00E93104">
            <w:pPr>
              <w:widowControl w:val="0"/>
              <w:rPr>
                <w:sz w:val="16"/>
              </w:rPr>
            </w:pP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п.2.12.</w:t>
            </w:r>
            <w:r>
              <w:rPr>
                <w:sz w:val="16"/>
              </w:rPr>
              <w:t xml:space="preserve"> 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СНиП 2.11.03-93. Склады нефти и нефтепродуктов.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5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Учёт преобладающего (господствующего) направления ветра при размещении объектов на генплане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Склады ЛВЖ и ГЖ расположены с наветренной стороны по отношению к котельной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3.28.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Производства и испытательные станции с особо вредными процессами, взрывоопасные и пожароопасные объекты, а также базисные склады горючих и легковоспламеняющихся материалов, ядовитых и взрывоопасных веществ следует располагать в соответствии с требованиями специальных норм, утверждённых Госстроем СССР или согласованных с ним.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Склады легковоспламеняющихся и горючих нефтепродуктов, сжиженных газов, сгораемых материалов, а также ядовитых веществ не следует располагать по отношению к производственным зданиям и сооружениям с наветренной стороны ветров преобладающего направления по данным многолетних исследований (по годовой розе ветров).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Установки с открытым источником огня или выбросом искр не следует располагать с наветренной стороны по отношению к открытым складам легковоспламеняющихся и горючих нефтепродуктов, горючих газов и сгораемых материалов.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3.29.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Здания, сооружения, открытые установки с производственными процессами, выделяющими в атмосферу газ, дым и пыль, взрывоопасные и пожароопасные объекты не следует располагать по отношению к другим производственным зданиям и сооружениям с наветренной стороны для ветров преобладающего направления.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п.3.28*.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п.3.29*.</w:t>
            </w:r>
            <w:r>
              <w:rPr>
                <w:sz w:val="16"/>
              </w:rPr>
              <w:t xml:space="preserve"> 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6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Количество и ширина въездов на территорию предприятия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Существуют 3 въезда на территорию с разных сторон. Ширина въездных ворот Шмин = 7 м.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3.43. Предприятия с площадками размером более 5 га должны иметь не менее двух въездов. 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16"/>
              </w:rPr>
              <w:t>При размере стороны площадки предприятия более 1000 м на этой стороне следует предусматривать не менее двух въездов на площадку. Расстояние между въездами не должно превышать 1500 м.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Примечание: Ограждённые участки внутри площадок предприятий (открытые трансформаторные подстанции, склады и т.п.) площадью более 5 га должны иметь не менее двух въездов.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3.44. Ширину ворот автомобильных въездов на площадку предприятия надлежит принимать по наибольшей ширине применяемых автомобилей плюс 1,5 м, но не менее 4,5 м, а ширину ворот для железнодорожных въездов - не менее 4,9 м.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п.3.43*.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п.3.44*.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7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Наличие подъездов к зданиям и сооружениям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Подъезд к корпусу бытовой химии шириной 18 м запроектирован не по всей длине.</w:t>
            </w:r>
          </w:p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Подъезд к складу химикатов и к складу-навесу лакокрасочной продукции шириной 36 м запроектирован только с одной стороны.</w:t>
            </w:r>
          </w:p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Один из двух подъездов к блоку складов и ремонтно-механической мастерской шириной 54 м запроектирован не по всей длине.</w:t>
            </w:r>
          </w:p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Расстояние от края проезжей части до стен здания не более 25 м.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3.46.</w:t>
            </w:r>
            <w:r>
              <w:rPr>
                <w:sz w:val="20"/>
              </w:rPr>
              <w:t xml:space="preserve"> К зданиям и сооружениям по всей их длине должен быть обеспечен подъезд пожарных автомобилей: с одной стороны - при ширине здания или сооружения до 18 м и с двух сторон - при ширине более 18 м.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16"/>
              </w:rPr>
              <w:t>К зданиям площадью застройки более 10 га или шириной более 100 м подъезд пожарных автомобилей должен быть обеспечен со всех сторон.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16"/>
              </w:rPr>
              <w:t>В случаях, когда по производственным условиям не требуется устройства дорог, подъезд пожарных автомобилей допускается предусматривать по спланированной поверхности, укреплённой по ширине 3,5 м в местах проезда при глинистых и песчаных (пылеватых) грунтах различными местными материалами с созданием уклонов, обеспечивающих естественный отвод поверхностных вод.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Расстояние от края проезжей части или спланированной поверхности, обеспечивающей проезд пожарных машин, до стен зданий высотой до 12 м должно быть не более 25 м, при высоте зданий свыше 12 до 28 м - не более 8 м, при высоте зданий свыше 28 м - не более 10 м.</w:t>
            </w:r>
          </w:p>
          <w:p w:rsidR="00E93104" w:rsidRDefault="00E93104">
            <w:pPr>
              <w:widowControl w:val="0"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Примечания: 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1.</w:t>
            </w:r>
            <w:r>
              <w:rPr>
                <w:sz w:val="20"/>
              </w:rPr>
              <w:t xml:space="preserve"> за ширину зданий и сооружений следует принимать расстояние между крайними разбивочными осями. При наличии погрузочно-выгрузочных рамп последние в габарит зданий и сооружений не включаются.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п.3.46*.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примечания №1 и №4*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8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наличие подъездов к водоисточникам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Ко всем пожарным резервуарам имеется подъезд и возможность водозабора.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Примечания: 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2.</w:t>
            </w:r>
            <w:r>
              <w:rPr>
                <w:sz w:val="20"/>
              </w:rPr>
              <w:t xml:space="preserve"> К водоёмам, которые могут быть использованы для тушения пожара, надлежит устраивать подъезды с площадками размером не менее 12х12м.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п.3.46*.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примечания №2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9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Размещение пожарных гидрантов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проекту сведения (схемы) по размещению пожарных гидрантов отсутствуют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Примечания: 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3.</w:t>
            </w:r>
            <w:r>
              <w:rPr>
                <w:sz w:val="20"/>
              </w:rPr>
              <w:t xml:space="preserve"> Пожарные гидранты надлежит располагать вдоль автомобильных дорог на расстоянии не более 2,5 м от края проезжей части, но не ближе 5 м от стен здания; при технико-экономическом обосновании допускается располагать гидранты на проезжей части.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п.3.46*.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примечания №3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10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Наличие и размещение пожарных депо (поста)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По проекту расстояние от ближайшей пожарной части до объекта 5 км.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16"/>
              </w:rPr>
            </w:pPr>
            <w:r>
              <w:rPr>
                <w:sz w:val="20"/>
                <w:u w:val="single"/>
              </w:rPr>
              <w:t>п.3.37.</w:t>
            </w:r>
            <w:r>
              <w:rPr>
                <w:sz w:val="20"/>
              </w:rPr>
              <w:t xml:space="preserve"> </w:t>
            </w:r>
            <w:r>
              <w:rPr>
                <w:sz w:val="16"/>
              </w:rPr>
              <w:t>Пожарные депо надлежит располагать на земельных участках, примыкающих к дорогам общего пользования. Пожарное депо, как правило, должно обслуживать группу предприятий.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16"/>
              </w:rPr>
              <w:t>Места расположения пожарных депо следует выбирать из расчёта радиуса обслуживания предприятия с учётом имеющихся пожарных депо (постов), находящихся в пределах, устанавливаемых радиусов обслуживания.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Радиусы обслуживания пожарными депо следует принимать: </w:t>
            </w:r>
            <w:r>
              <w:rPr>
                <w:sz w:val="16"/>
              </w:rPr>
              <w:t>2 км - для предприятий с производствами категорий А, Б и В, занимающих более 50% всей площади застройки;</w:t>
            </w:r>
            <w:r>
              <w:rPr>
                <w:sz w:val="20"/>
              </w:rPr>
              <w:t xml:space="preserve"> 4 км - для предприятий с производствами категорий А, Б и В, занимающих до 50 % площади застройки, и предприятий с производствами категорий Г и Д.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п.3.37.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numPr>
                <w:ilvl w:val="0"/>
                <w:numId w:val="11"/>
              </w:numPr>
              <w:rPr>
                <w:sz w:val="20"/>
              </w:rPr>
            </w:pP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Величины противопожарных разрывов: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Между зданиями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Величины противопожарных разрывов между зданиями </w:t>
            </w:r>
            <w:r>
              <w:rPr>
                <w:sz w:val="20"/>
                <w:lang w:val="en-US"/>
              </w:rPr>
              <w:t xml:space="preserve">II </w:t>
            </w:r>
            <w:r>
              <w:rPr>
                <w:sz w:val="20"/>
              </w:rPr>
              <w:t>степени огнестойкости превышают 9 м.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Расстояния между зданиями и сооружениями в зависимости от степени огнестойкости и категории следует принимать не менее указанных в </w:t>
            </w:r>
            <w:r>
              <w:rPr>
                <w:sz w:val="20"/>
                <w:u w:val="single"/>
              </w:rPr>
              <w:t>таб. №1</w:t>
            </w:r>
            <w:r>
              <w:rPr>
                <w:sz w:val="20"/>
              </w:rPr>
              <w:t>. (требуемое расстояние составляет не мене 9м)</w:t>
            </w:r>
          </w:p>
          <w:p w:rsidR="00E93104" w:rsidRDefault="00E93104">
            <w:pPr>
              <w:widowControl w:val="0"/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Примечание:</w:t>
            </w:r>
          </w:p>
          <w:p w:rsidR="00E93104" w:rsidRDefault="00E93104">
            <w:pPr>
              <w:widowControl w:val="0"/>
              <w:ind w:left="263" w:hanging="263"/>
              <w:jc w:val="both"/>
              <w:rPr>
                <w:sz w:val="16"/>
              </w:rPr>
            </w:pPr>
            <w:r>
              <w:rPr>
                <w:sz w:val="20"/>
              </w:rPr>
              <w:t xml:space="preserve">4. </w:t>
            </w:r>
            <w:r>
              <w:rPr>
                <w:sz w:val="16"/>
              </w:rPr>
              <w:t xml:space="preserve">Указанное расстояние для зданий и сооружений </w:t>
            </w:r>
            <w:r>
              <w:rPr>
                <w:sz w:val="16"/>
                <w:lang w:val="en-US"/>
              </w:rPr>
              <w:t>I</w:t>
            </w:r>
            <w:r>
              <w:rPr>
                <w:sz w:val="16"/>
              </w:rPr>
              <w:t xml:space="preserve"> и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 xml:space="preserve"> степени огнестойкости с производствами категорий А, Б, В и Е уменьшается с 9 до 6 м при соблюдении одного из следующих условий:</w:t>
            </w:r>
          </w:p>
          <w:p w:rsidR="00E93104" w:rsidRDefault="00E93104">
            <w:pPr>
              <w:widowControl w:val="0"/>
              <w:numPr>
                <w:ilvl w:val="0"/>
                <w:numId w:val="12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здания и сооружения оборудуются стационарными автоматическими системами пожаротушения;</w:t>
            </w:r>
          </w:p>
          <w:p w:rsidR="00E93104" w:rsidRDefault="00E93104">
            <w:pPr>
              <w:widowControl w:val="0"/>
              <w:numPr>
                <w:ilvl w:val="0"/>
                <w:numId w:val="12"/>
              </w:numPr>
              <w:jc w:val="both"/>
              <w:rPr>
                <w:sz w:val="20"/>
              </w:rPr>
            </w:pPr>
            <w:r>
              <w:rPr>
                <w:sz w:val="16"/>
              </w:rPr>
              <w:t>удельная загрузка горючими веществами в зданиях с производствами категории В не менее или равна 10 кг на 1 м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площади этажа.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  <w:u w:val="single"/>
              </w:rPr>
              <w:t>п.3.32. таблица №1* примечание №4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Между складами.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Проектом не предусмотрено открытых рядом расположенных складов.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п.3.34.</w:t>
            </w:r>
            <w:r>
              <w:rPr>
                <w:sz w:val="20"/>
              </w:rPr>
              <w:t xml:space="preserve"> Расстояния от открытых складов до зданий и сооружений, а также расстояний между указанными складами следует принимать не менее указанных в </w:t>
            </w:r>
            <w:r>
              <w:rPr>
                <w:sz w:val="20"/>
                <w:u w:val="single"/>
              </w:rPr>
              <w:t xml:space="preserve">таб. №2 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п.3.32.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п.3.34 </w:t>
            </w:r>
          </w:p>
          <w:p w:rsidR="00E93104" w:rsidRDefault="00E93104">
            <w:pPr>
              <w:widowControl w:val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таблица №2*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E93104">
        <w:tc>
          <w:tcPr>
            <w:tcW w:w="530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w="1821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Между складами и зданиями</w:t>
            </w:r>
          </w:p>
        </w:tc>
        <w:tc>
          <w:tcPr>
            <w:tcW w:w="2327" w:type="dxa"/>
          </w:tcPr>
          <w:p w:rsidR="00E93104" w:rsidRDefault="00E93104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По проекту разрыв между открытом складом пиломатериалов и зданием </w:t>
            </w:r>
            <w:r>
              <w:rPr>
                <w:sz w:val="20"/>
                <w:lang w:val="en-US"/>
              </w:rPr>
              <w:t>II</w:t>
            </w:r>
            <w:r>
              <w:rPr>
                <w:sz w:val="20"/>
              </w:rPr>
              <w:t xml:space="preserve"> степени огнестойкости (котельная) - 5 м</w:t>
            </w:r>
          </w:p>
        </w:tc>
        <w:tc>
          <w:tcPr>
            <w:tcW w:w="6379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п.3.33.</w:t>
            </w:r>
            <w:r>
              <w:rPr>
                <w:sz w:val="20"/>
              </w:rPr>
              <w:t xml:space="preserve"> Расстояния между открытыми технологическими установками, агрегатами и оборудованием, а также от них до зданий и сооружений надлежит принимать по нормам технологического проектирования.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Требуется 15 м для складов от 1000 до 100.000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.</w:t>
            </w:r>
          </w:p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  <w:p w:rsidR="00E93104" w:rsidRDefault="00E93104">
            <w:pPr>
              <w:widowControl w:val="0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sz w:val="16"/>
              </w:rPr>
              <w:t xml:space="preserve">Для складов пиленых лесоматериалов, а также для складов самовозгорающихся углей при высоте штабеля более 2,5 м расстояния, указанные в таб. №2 для зданий </w:t>
            </w:r>
            <w:r>
              <w:rPr>
                <w:sz w:val="16"/>
                <w:lang w:val="en-US"/>
              </w:rPr>
              <w:t>IV</w:t>
            </w:r>
            <w:r>
              <w:rPr>
                <w:sz w:val="16"/>
              </w:rPr>
              <w:t xml:space="preserve"> и</w:t>
            </w:r>
            <w:r>
              <w:rPr>
                <w:sz w:val="16"/>
                <w:lang w:val="en-US"/>
              </w:rPr>
              <w:t xml:space="preserve"> V</w:t>
            </w:r>
            <w:r>
              <w:rPr>
                <w:sz w:val="16"/>
              </w:rPr>
              <w:t xml:space="preserve"> степени огнестойкости, надлежит увеличивать на 25 %.</w:t>
            </w:r>
          </w:p>
          <w:p w:rsidR="00E93104" w:rsidRDefault="00E93104">
            <w:pPr>
              <w:widowControl w:val="0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sz w:val="16"/>
              </w:rPr>
              <w:t>Расстояния, указанные в таб. №2, от складов торфа (фрезерного и кускового), лесоматериалов, легковоспламеняющихся и горючих жидкостей до зданий с производствами категорий А и Б, надлежит увеличивать на 25%.</w:t>
            </w:r>
          </w:p>
          <w:p w:rsidR="00E93104" w:rsidRDefault="00E93104">
            <w:pPr>
              <w:widowControl w:val="0"/>
              <w:numPr>
                <w:ilvl w:val="0"/>
                <w:numId w:val="13"/>
              </w:numPr>
              <w:jc w:val="both"/>
              <w:rPr>
                <w:sz w:val="20"/>
              </w:rPr>
            </w:pPr>
            <w:r>
              <w:rPr>
                <w:sz w:val="20"/>
              </w:rPr>
              <w:t>При совместном хранении легковоспламеняющихся и горючих жидкостей приведенная ёмкость склада не должна превышать количеств, указанных в таб. №2, при этом приведённая ёмкость определяется из расчёта, что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легковоспламеняющихся жидкостей приравнивается к 5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горючих, а 1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ёмкости наземного хранения приравнивается к 2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ёмкости подземного хранения. При подземном хранении легковоспламеняющихся и горючих жидкостей указанные в таб. №2 ёмкости могут быть увеличены в 2 раза, а расстояния сокращены на 50%.</w:t>
            </w:r>
          </w:p>
          <w:p w:rsidR="00E93104" w:rsidRDefault="00E93104">
            <w:pPr>
              <w:widowControl w:val="0"/>
              <w:numPr>
                <w:ilvl w:val="0"/>
                <w:numId w:val="13"/>
              </w:numPr>
              <w:jc w:val="both"/>
              <w:rPr>
                <w:sz w:val="16"/>
              </w:rPr>
            </w:pPr>
            <w:r>
              <w:rPr>
                <w:sz w:val="16"/>
              </w:rPr>
              <w:t>Расстояния от зданий не нормируется:</w:t>
            </w:r>
          </w:p>
          <w:p w:rsidR="00E93104" w:rsidRDefault="00E93104">
            <w:pPr>
              <w:widowControl w:val="0"/>
              <w:ind w:left="317"/>
              <w:jc w:val="both"/>
              <w:rPr>
                <w:sz w:val="16"/>
              </w:rPr>
            </w:pPr>
            <w:r>
              <w:rPr>
                <w:sz w:val="16"/>
              </w:rPr>
              <w:t>а) до склада каменного угля ёмкостью менее 100 т;</w:t>
            </w:r>
          </w:p>
          <w:p w:rsidR="00E93104" w:rsidRDefault="00E93104">
            <w:pPr>
              <w:widowControl w:val="0"/>
              <w:ind w:left="317"/>
              <w:jc w:val="both"/>
              <w:rPr>
                <w:sz w:val="20"/>
              </w:rPr>
            </w:pPr>
            <w:r>
              <w:rPr>
                <w:sz w:val="16"/>
              </w:rPr>
              <w:t>б) до складов легковоспламеняющихся и горючих жидкостей фактической ёмкостью до 1000 м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 xml:space="preserve"> и до склада каменного угля или торфа (фрезерного или кускового) ёмкостью до 1000 т, если стена здания, обращённая в сторону этих складов противопожарная.</w:t>
            </w:r>
          </w:p>
        </w:tc>
        <w:tc>
          <w:tcPr>
            <w:tcW w:w="1973" w:type="dxa"/>
          </w:tcPr>
          <w:p w:rsidR="00E93104" w:rsidRDefault="00E93104">
            <w:pPr>
              <w:widowControl w:val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п.3.33.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 xml:space="preserve">п.3.34 </w:t>
            </w:r>
          </w:p>
          <w:p w:rsidR="00E93104" w:rsidRDefault="00E93104">
            <w:pPr>
              <w:widowControl w:val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таблица №2*</w:t>
            </w:r>
          </w:p>
          <w:p w:rsidR="00E93104" w:rsidRDefault="00E93104">
            <w:pPr>
              <w:widowControl w:val="0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примечания №1-4</w:t>
            </w:r>
          </w:p>
          <w:p w:rsidR="00E93104" w:rsidRDefault="00E93104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СНиП </w:t>
            </w:r>
            <w:r>
              <w:rPr>
                <w:sz w:val="16"/>
                <w:lang w:val="en-US"/>
              </w:rPr>
              <w:t>II</w:t>
            </w:r>
            <w:r>
              <w:rPr>
                <w:sz w:val="16"/>
              </w:rPr>
              <w:t>-89-80 Генеральные планы промышленных предприятий.</w:t>
            </w:r>
          </w:p>
        </w:tc>
        <w:tc>
          <w:tcPr>
            <w:tcW w:w="1711" w:type="dxa"/>
          </w:tcPr>
          <w:p w:rsidR="00E93104" w:rsidRDefault="00E93104">
            <w:pPr>
              <w:widowControl w:val="0"/>
              <w:jc w:val="both"/>
              <w:rPr>
                <w:sz w:val="20"/>
              </w:rPr>
            </w:pPr>
            <w:r>
              <w:rPr>
                <w:sz w:val="20"/>
              </w:rPr>
              <w:t>не соответствует</w:t>
            </w:r>
          </w:p>
        </w:tc>
      </w:tr>
    </w:tbl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  <w:sectPr w:rsidR="00E93104">
          <w:pgSz w:w="16840" w:h="11907" w:orient="landscape" w:code="9"/>
          <w:pgMar w:top="1418" w:right="1418" w:bottom="567" w:left="851" w:header="720" w:footer="720" w:gutter="0"/>
          <w:cols w:space="720"/>
        </w:sectPr>
      </w:pPr>
    </w:p>
    <w:p w:rsidR="00E93104" w:rsidRDefault="00E93104">
      <w:pPr>
        <w:pageBreakBefore/>
        <w:widowControl w:val="0"/>
        <w:rPr>
          <w:b/>
          <w:sz w:val="32"/>
        </w:rPr>
      </w:pPr>
      <w:r>
        <w:rPr>
          <w:b/>
          <w:sz w:val="32"/>
        </w:rPr>
        <w:t>3. Письмо в адрес проектной организации.</w:t>
      </w:r>
    </w:p>
    <w:p w:rsidR="00E93104" w:rsidRDefault="00E93104">
      <w:pPr>
        <w:widowControl w:val="0"/>
        <w:ind w:left="5387"/>
        <w:jc w:val="center"/>
        <w:rPr>
          <w:sz w:val="28"/>
        </w:rPr>
      </w:pPr>
    </w:p>
    <w:p w:rsidR="00E93104" w:rsidRDefault="00E93104">
      <w:pPr>
        <w:widowControl w:val="0"/>
        <w:ind w:left="5387"/>
        <w:jc w:val="center"/>
        <w:rPr>
          <w:sz w:val="28"/>
        </w:rPr>
      </w:pPr>
    </w:p>
    <w:p w:rsidR="00E93104" w:rsidRDefault="00E93104">
      <w:pPr>
        <w:widowControl w:val="0"/>
        <w:ind w:left="5387"/>
        <w:jc w:val="center"/>
        <w:rPr>
          <w:sz w:val="28"/>
        </w:rPr>
      </w:pPr>
      <w:r>
        <w:rPr>
          <w:sz w:val="28"/>
        </w:rPr>
        <w:t>г. Москва.</w:t>
      </w:r>
    </w:p>
    <w:p w:rsidR="00E93104" w:rsidRDefault="00E93104">
      <w:pPr>
        <w:widowControl w:val="0"/>
        <w:ind w:left="5387"/>
        <w:rPr>
          <w:sz w:val="28"/>
          <w:u w:val="single"/>
        </w:rPr>
      </w:pPr>
      <w:r>
        <w:rPr>
          <w:sz w:val="28"/>
        </w:rPr>
        <w:t>ул.</w:t>
      </w:r>
      <w:r>
        <w:rPr>
          <w:sz w:val="28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  <w:t xml:space="preserve"> </w:t>
      </w:r>
      <w:r>
        <w:rPr>
          <w:sz w:val="28"/>
          <w:u w:val="single"/>
        </w:rPr>
        <w:tab/>
        <w:t xml:space="preserve"> </w:t>
      </w:r>
    </w:p>
    <w:p w:rsidR="00E93104" w:rsidRDefault="00E93104">
      <w:pPr>
        <w:widowControl w:val="0"/>
        <w:ind w:left="5387"/>
        <w:rPr>
          <w:sz w:val="28"/>
        </w:rPr>
      </w:pPr>
      <w:r>
        <w:rPr>
          <w:sz w:val="28"/>
        </w:rPr>
        <w:t xml:space="preserve">д. № </w:t>
      </w:r>
      <w:r>
        <w:rPr>
          <w:sz w:val="28"/>
          <w:u w:val="single"/>
        </w:rPr>
        <w:t xml:space="preserve"> </w:t>
      </w:r>
      <w:r>
        <w:rPr>
          <w:sz w:val="2"/>
          <w:u w:val="single"/>
        </w:rPr>
        <w:t>.</w:t>
      </w:r>
    </w:p>
    <w:p w:rsidR="00E93104" w:rsidRDefault="00E93104">
      <w:pPr>
        <w:widowControl w:val="0"/>
        <w:ind w:left="5387"/>
        <w:rPr>
          <w:sz w:val="28"/>
        </w:rPr>
      </w:pPr>
      <w:r>
        <w:rPr>
          <w:sz w:val="28"/>
        </w:rPr>
        <w:t xml:space="preserve">директору проектного института </w:t>
      </w:r>
    </w:p>
    <w:p w:rsidR="00E93104" w:rsidRDefault="00E93104">
      <w:pPr>
        <w:widowControl w:val="0"/>
        <w:ind w:left="5387" w:right="850"/>
        <w:jc w:val="center"/>
        <w:rPr>
          <w:sz w:val="28"/>
        </w:rPr>
      </w:pPr>
      <w:r>
        <w:rPr>
          <w:sz w:val="28"/>
        </w:rPr>
        <w:t>РОСГИПРОМЕСТПРОМ</w:t>
      </w:r>
    </w:p>
    <w:p w:rsidR="00E93104" w:rsidRDefault="00E93104">
      <w:pPr>
        <w:widowControl w:val="0"/>
        <w:ind w:left="5387"/>
        <w:rPr>
          <w:sz w:val="28"/>
        </w:rPr>
      </w:pPr>
      <w:r>
        <w:rPr>
          <w:sz w:val="28"/>
        </w:rPr>
        <w:t>Ф.,</w:t>
      </w:r>
      <w:r>
        <w:rPr>
          <w:sz w:val="28"/>
        </w:rPr>
        <w:tab/>
      </w:r>
      <w:r>
        <w:rPr>
          <w:sz w:val="28"/>
        </w:rPr>
        <w:tab/>
        <w:t xml:space="preserve"> И.,</w:t>
      </w:r>
      <w:r>
        <w:rPr>
          <w:sz w:val="28"/>
        </w:rPr>
        <w:tab/>
      </w:r>
      <w:r>
        <w:rPr>
          <w:sz w:val="28"/>
        </w:rPr>
        <w:tab/>
        <w:t xml:space="preserve"> О.</w:t>
      </w:r>
    </w:p>
    <w:p w:rsidR="00E93104" w:rsidRDefault="00E93104">
      <w:pPr>
        <w:widowControl w:val="0"/>
        <w:ind w:left="5387"/>
        <w:rPr>
          <w:sz w:val="28"/>
        </w:rPr>
      </w:pPr>
      <w:r>
        <w:rPr>
          <w:sz w:val="28"/>
        </w:rPr>
        <w:t>копия - ст. инженеру</w:t>
      </w:r>
    </w:p>
    <w:p w:rsidR="00E93104" w:rsidRDefault="00E93104">
      <w:pPr>
        <w:widowControl w:val="0"/>
        <w:ind w:left="5387"/>
        <w:rPr>
          <w:sz w:val="28"/>
        </w:rPr>
      </w:pPr>
      <w:r>
        <w:rPr>
          <w:sz w:val="28"/>
        </w:rPr>
        <w:t>НТО УГПС УВД г. Москвы</w:t>
      </w:r>
    </w:p>
    <w:p w:rsidR="00E93104" w:rsidRDefault="00E93104">
      <w:pPr>
        <w:widowControl w:val="0"/>
        <w:ind w:left="5387" w:right="-284"/>
        <w:rPr>
          <w:sz w:val="28"/>
        </w:rPr>
      </w:pPr>
      <w:r>
        <w:rPr>
          <w:sz w:val="28"/>
        </w:rPr>
        <w:t>Борисову Д.В.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НТО УГПС УВД г. Москвы, рассмотрев проект генерального плана Оболдинского химического завода в части соответствия генерального плана требованиям пожарной безопасности, сообщает об обнаруженных нарушениях (главный инженер проекта - Кашенцев А.А.):</w:t>
      </w:r>
    </w:p>
    <w:p w:rsidR="00E93104" w:rsidRDefault="00E93104">
      <w:pPr>
        <w:widowControl w:val="0"/>
        <w:ind w:firstLine="567"/>
        <w:jc w:val="both"/>
        <w:rPr>
          <w:sz w:val="28"/>
        </w:rPr>
      </w:pP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склад ЛВЖ и ГЖ запроектирован на более высокой отметке, чем склад коллоксилина и СВП (взрывчатые вещества), при этом склад ЛВЖ не ограждён сплошной негорючей стеной или земляным валом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0"/>
        </w:rPr>
      </w:pPr>
      <w:r>
        <w:rPr>
          <w:sz w:val="20"/>
        </w:rPr>
        <w:t>(</w:t>
      </w:r>
      <w:r>
        <w:rPr>
          <w:sz w:val="20"/>
          <w:u w:val="single"/>
        </w:rPr>
        <w:t xml:space="preserve">п. 3.60. </w:t>
      </w:r>
      <w:r>
        <w:rPr>
          <w:sz w:val="20"/>
        </w:rPr>
        <w:t xml:space="preserve">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Склады ЛВЖ и ГЖ расположены с наветренной стороны по отношению к котельной (выделение паров, искр, ...)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0"/>
        </w:rPr>
      </w:pPr>
      <w:r>
        <w:rPr>
          <w:sz w:val="20"/>
          <w:u w:val="single"/>
        </w:rPr>
        <w:t>(п.3.28*.</w:t>
      </w:r>
      <w:r>
        <w:rPr>
          <w:sz w:val="20"/>
        </w:rPr>
        <w:t xml:space="preserve"> </w:t>
      </w:r>
      <w:r>
        <w:rPr>
          <w:sz w:val="20"/>
          <w:u w:val="single"/>
        </w:rPr>
        <w:t>п.3.29*.</w:t>
      </w:r>
      <w:r>
        <w:rPr>
          <w:sz w:val="20"/>
        </w:rPr>
        <w:t xml:space="preserve">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подъезд к корпусу бытовой химии шириной 18 м запроектирован не по всей длине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0"/>
        </w:rPr>
      </w:pPr>
      <w:r>
        <w:rPr>
          <w:sz w:val="20"/>
          <w:u w:val="single"/>
        </w:rPr>
        <w:t>(п.3.46*. примечания №1 и №4*</w:t>
      </w:r>
      <w:r>
        <w:rPr>
          <w:sz w:val="20"/>
        </w:rPr>
        <w:t xml:space="preserve">.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подъезд к складу химикатов и к складу-навесу лакокрасочной продукции шириной 36 м. запроектирован только с одной стороны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0"/>
        </w:rPr>
      </w:pPr>
      <w:r>
        <w:rPr>
          <w:sz w:val="20"/>
          <w:u w:val="single"/>
        </w:rPr>
        <w:t>(п.3.46*. примечания №1 и №4*</w:t>
      </w:r>
      <w:r>
        <w:rPr>
          <w:sz w:val="20"/>
        </w:rPr>
        <w:t xml:space="preserve">.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один из двух подъездов к блоку складов и ремонтно-механической мастерской шириной 54 м запроектирован не по всей длине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8"/>
        </w:rPr>
      </w:pPr>
      <w:r>
        <w:rPr>
          <w:sz w:val="20"/>
          <w:u w:val="single"/>
        </w:rPr>
        <w:t>(п.3.46*. примечания №1 и №4*</w:t>
      </w:r>
      <w:r>
        <w:rPr>
          <w:sz w:val="20"/>
        </w:rPr>
        <w:t xml:space="preserve">.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отсутствуют схемы размещения пожарных гидрантов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0"/>
        </w:rPr>
      </w:pPr>
      <w:r>
        <w:rPr>
          <w:sz w:val="20"/>
          <w:u w:val="single"/>
        </w:rPr>
        <w:t>(п.3.46*. примечание №3.</w:t>
      </w:r>
      <w:r>
        <w:rPr>
          <w:sz w:val="20"/>
        </w:rPr>
        <w:t xml:space="preserve">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0"/>
        </w:rPr>
      </w:pPr>
      <w:r>
        <w:rPr>
          <w:sz w:val="28"/>
        </w:rPr>
        <w:t>радиус обслуживания ближайшим пожарным депо превышает предельно допустимое расстояние</w:t>
      </w:r>
    </w:p>
    <w:p w:rsidR="00E93104" w:rsidRDefault="00E93104">
      <w:pPr>
        <w:widowControl w:val="0"/>
        <w:numPr>
          <w:ilvl w:val="12"/>
          <w:numId w:val="0"/>
        </w:numPr>
        <w:ind w:left="283" w:hanging="283"/>
        <w:jc w:val="both"/>
        <w:rPr>
          <w:sz w:val="20"/>
        </w:rPr>
      </w:pPr>
      <w:r>
        <w:rPr>
          <w:sz w:val="20"/>
          <w:u w:val="single"/>
        </w:rPr>
        <w:t>(п.3.37.</w:t>
      </w:r>
      <w:r>
        <w:rPr>
          <w:sz w:val="20"/>
        </w:rPr>
        <w:t xml:space="preserve">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расстояние между открытым складом пиломатериалов и котельной меньше требуемого</w:t>
      </w:r>
    </w:p>
    <w:p w:rsidR="00E93104" w:rsidRDefault="00E93104">
      <w:pPr>
        <w:widowControl w:val="0"/>
        <w:ind w:left="284"/>
        <w:jc w:val="both"/>
        <w:rPr>
          <w:sz w:val="20"/>
        </w:rPr>
      </w:pPr>
      <w:r>
        <w:rPr>
          <w:sz w:val="20"/>
          <w:u w:val="single"/>
        </w:rPr>
        <w:t>(п.3.33.</w:t>
      </w:r>
      <w:r>
        <w:rPr>
          <w:sz w:val="20"/>
        </w:rPr>
        <w:t xml:space="preserve"> </w:t>
      </w:r>
      <w:r>
        <w:rPr>
          <w:sz w:val="20"/>
          <w:u w:val="single"/>
        </w:rPr>
        <w:t>п.3.34 таблица №2* примечания №1-4</w:t>
      </w:r>
      <w:r>
        <w:rPr>
          <w:sz w:val="20"/>
        </w:rPr>
        <w:t xml:space="preserve">. СНиП </w:t>
      </w:r>
      <w:r>
        <w:rPr>
          <w:sz w:val="20"/>
          <w:lang w:val="en-US"/>
        </w:rPr>
        <w:t>II</w:t>
      </w:r>
      <w:r>
        <w:rPr>
          <w:sz w:val="20"/>
        </w:rPr>
        <w:t>-89-80 Генеральные планы промышленных предприятий);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pStyle w:val="2"/>
      </w:pPr>
      <w:r>
        <w:t>Отмеченные нарушения могут привести к распространению пожара по застраиваемой территории, большим материальным затратам и препятствуют успешному тушению пожара.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ind w:left="3686"/>
        <w:jc w:val="center"/>
        <w:rPr>
          <w:sz w:val="28"/>
        </w:rPr>
      </w:pPr>
      <w:r>
        <w:rPr>
          <w:sz w:val="28"/>
        </w:rPr>
        <w:t xml:space="preserve">УТВЕРЖДАЮ </w:t>
      </w:r>
    </w:p>
    <w:p w:rsidR="00E93104" w:rsidRDefault="00E93104">
      <w:pPr>
        <w:widowControl w:val="0"/>
        <w:ind w:left="3686"/>
        <w:jc w:val="center"/>
        <w:rPr>
          <w:sz w:val="28"/>
        </w:rPr>
      </w:pPr>
      <w:r>
        <w:rPr>
          <w:sz w:val="28"/>
        </w:rPr>
        <w:t>Начальник НТО УГПС УВД г. Москвы</w:t>
      </w:r>
    </w:p>
    <w:p w:rsidR="00E93104" w:rsidRDefault="00E93104">
      <w:pPr>
        <w:widowControl w:val="0"/>
        <w:ind w:left="3686"/>
        <w:jc w:val="center"/>
        <w:rPr>
          <w:sz w:val="28"/>
        </w:rPr>
      </w:pPr>
      <w:r>
        <w:rPr>
          <w:sz w:val="28"/>
        </w:rPr>
        <w:t>/Горюнов С.Л./</w:t>
      </w:r>
    </w:p>
    <w:p w:rsidR="00E93104" w:rsidRDefault="00E93104">
      <w:pPr>
        <w:widowControl w:val="0"/>
        <w:ind w:left="3686"/>
        <w:jc w:val="center"/>
        <w:rPr>
          <w:sz w:val="28"/>
        </w:rPr>
      </w:pPr>
    </w:p>
    <w:p w:rsidR="00E93104" w:rsidRDefault="00E93104">
      <w:pPr>
        <w:widowControl w:val="0"/>
        <w:ind w:left="3686"/>
        <w:jc w:val="center"/>
        <w:rPr>
          <w:sz w:val="28"/>
        </w:rPr>
      </w:pPr>
      <w:r>
        <w:rPr>
          <w:sz w:val="28"/>
        </w:rPr>
        <w:t>Старший инженер НТО УГПС УВД г. Москвы</w:t>
      </w:r>
    </w:p>
    <w:p w:rsidR="00E93104" w:rsidRDefault="00E93104">
      <w:pPr>
        <w:widowControl w:val="0"/>
        <w:ind w:left="3686"/>
        <w:jc w:val="center"/>
        <w:rPr>
          <w:sz w:val="28"/>
        </w:rPr>
      </w:pPr>
      <w:r>
        <w:rPr>
          <w:sz w:val="28"/>
        </w:rPr>
        <w:t>/Борисов Д.В./</w:t>
      </w:r>
    </w:p>
    <w:p w:rsidR="00E93104" w:rsidRDefault="00E93104">
      <w:pPr>
        <w:widowControl w:val="0"/>
        <w:ind w:left="3686"/>
        <w:jc w:val="center"/>
        <w:rPr>
          <w:sz w:val="28"/>
        </w:rPr>
      </w:pPr>
    </w:p>
    <w:p w:rsidR="00E93104" w:rsidRDefault="00E93104">
      <w:pPr>
        <w:widowControl w:val="0"/>
        <w:rPr>
          <w:sz w:val="20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pageBreakBefore/>
        <w:widowControl w:val="0"/>
        <w:rPr>
          <w:b/>
          <w:sz w:val="32"/>
          <w:lang w:val="en-US"/>
        </w:rPr>
        <w:sectPr w:rsidR="00E93104">
          <w:pgSz w:w="11907" w:h="16840" w:code="9"/>
          <w:pgMar w:top="851" w:right="1134" w:bottom="1134" w:left="1418" w:header="720" w:footer="720" w:gutter="0"/>
          <w:cols w:space="720"/>
        </w:sectPr>
      </w:pPr>
    </w:p>
    <w:p w:rsidR="00E93104" w:rsidRDefault="00E93104">
      <w:pPr>
        <w:pageBreakBefore/>
        <w:widowControl w:val="0"/>
        <w:rPr>
          <w:b/>
          <w:sz w:val="32"/>
        </w:rPr>
      </w:pPr>
      <w:r>
        <w:rPr>
          <w:b/>
          <w:sz w:val="32"/>
        </w:rPr>
        <w:t>4. Технические решения</w:t>
      </w:r>
    </w:p>
    <w:p w:rsidR="00E93104" w:rsidRDefault="00E93104">
      <w:pPr>
        <w:widowControl w:val="0"/>
        <w:rPr>
          <w:sz w:val="28"/>
        </w:rPr>
      </w:pPr>
      <w:r>
        <w:rPr>
          <w:sz w:val="28"/>
        </w:rPr>
        <w:t>по ограничению возможности распространения пожара между складом ЛВЖ (и ГЖ) и складом коллоксилина и СВП.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  <w:r>
        <w:rPr>
          <w:sz w:val="28"/>
        </w:rPr>
        <w:t>Принято в проекте.</w:t>
      </w:r>
    </w:p>
    <w:p w:rsidR="00E93104" w:rsidRDefault="00411BF1">
      <w:pPr>
        <w:widowControl w:val="0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.55pt;margin-top:11.6pt;width:711.2pt;height:162.2pt;z-index:251655680" o:allowincell="f">
            <v:imagedata r:id="rId5" o:title=""/>
            <w10:wrap type="topAndBottom"/>
          </v:shape>
        </w:pic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  <w:r>
        <w:rPr>
          <w:sz w:val="28"/>
        </w:rPr>
        <w:t>Предлагается.</w:t>
      </w:r>
    </w:p>
    <w:p w:rsidR="00E93104" w:rsidRDefault="00E93104">
      <w:pPr>
        <w:widowControl w:val="0"/>
        <w:rPr>
          <w:sz w:val="28"/>
        </w:rPr>
      </w:pPr>
    </w:p>
    <w:p w:rsidR="00E93104" w:rsidRDefault="00411BF1">
      <w:pPr>
        <w:widowControl w:val="0"/>
        <w:rPr>
          <w:sz w:val="28"/>
        </w:rPr>
      </w:pPr>
      <w:r>
        <w:pict>
          <v:shape id="_x0000_s1040" type="#_x0000_t75" style="position:absolute;margin-left:.55pt;margin-top:3.1pt;width:711.2pt;height:89.2pt;z-index:251656704" o:allowincell="f">
            <v:imagedata r:id="rId6" o:title=""/>
            <w10:wrap type="topAndBottom"/>
          </v:shape>
        </w:pict>
      </w:r>
    </w:p>
    <w:p w:rsidR="00E93104" w:rsidRDefault="00E93104">
      <w:pPr>
        <w:pStyle w:val="2"/>
      </w:pPr>
      <w:r>
        <w:t>При подземном хранении легковоспламеняющихся и горючих жидкостей ёмкости могут быть увеличены в 2 раза, а расстояния сокращены на 50%.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411BF1">
      <w:pPr>
        <w:widowControl w:val="0"/>
        <w:rPr>
          <w:sz w:val="28"/>
        </w:rPr>
      </w:pPr>
      <w:r>
        <w:pict>
          <v:shape id="_x0000_s1042" type="#_x0000_t75" style="position:absolute;margin-left:29.5pt;margin-top:168.25pt;width:711.2pt;height:107.15pt;z-index:251658752" o:allowincell="f">
            <v:imagedata r:id="rId7" o:title=""/>
            <w10:wrap type="topAndBottom"/>
          </v:shape>
        </w:pict>
      </w:r>
      <w:r>
        <w:pict>
          <v:shape id="_x0000_s1041" type="#_x0000_t75" style="position:absolute;margin-left:15.1pt;margin-top:8.4pt;width:711.8pt;height:87.4pt;z-index:251657728" o:allowincell="f">
            <v:imagedata r:id="rId8" o:title=""/>
            <w10:wrap type="topAndBottom"/>
          </v:shape>
        </w:pict>
      </w:r>
    </w:p>
    <w:p w:rsidR="00E93104" w:rsidRDefault="00E93104">
      <w:pPr>
        <w:pStyle w:val="a3"/>
      </w:pPr>
      <w:r>
        <w:t>Территория складов ограждена продуваемой оградой из негорючих материалов высотой не менее 2 м с земляной обваловкой цистерн.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  <w:r>
        <w:rPr>
          <w:sz w:val="28"/>
        </w:rPr>
        <w:t>Цистерны ЛВЖ И ГЖ расположить в отдельно стоящем складском здании.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411BF1">
      <w:pPr>
        <w:widowControl w:val="0"/>
        <w:rPr>
          <w:sz w:val="28"/>
        </w:rPr>
      </w:pPr>
      <w:r>
        <w:pict>
          <v:shape id="_x0000_s1044" type="#_x0000_t75" style="position:absolute;margin-left:259.9pt;margin-top:31.2pt;width:189pt;height:321pt;z-index:251660800" o:allowincell="f">
            <v:imagedata r:id="rId9" o:title=""/>
            <w10:wrap type="topAndBottom"/>
          </v:shape>
        </w:pict>
      </w:r>
      <w:r>
        <w:pict>
          <v:shape id="_x0000_s1043" type="#_x0000_t75" style="position:absolute;margin-left:.55pt;margin-top:31.2pt;width:189pt;height:321pt;z-index:251659776" o:allowincell="f">
            <v:imagedata r:id="rId10" o:title=""/>
            <w10:wrap type="topAndBottom"/>
          </v:shape>
        </w:pict>
      </w:r>
      <w:r>
        <w:pict>
          <v:shape id="_x0000_s1045" type="#_x0000_t75" style="position:absolute;margin-left:497.5pt;margin-top:31.2pt;width:189pt;height:321pt;z-index:251661824" o:allowincell="f">
            <v:imagedata r:id="rId11" o:title=""/>
            <w10:wrap type="topAndBottom"/>
          </v:shape>
        </w:pict>
      </w:r>
      <w:r w:rsidR="00E93104">
        <w:rPr>
          <w:sz w:val="28"/>
        </w:rPr>
        <w:t>Принято в проекте.</w:t>
      </w:r>
      <w:r w:rsidR="00E93104">
        <w:rPr>
          <w:sz w:val="28"/>
        </w:rPr>
        <w:tab/>
      </w:r>
      <w:r w:rsidR="00E93104">
        <w:rPr>
          <w:sz w:val="28"/>
        </w:rPr>
        <w:tab/>
      </w:r>
      <w:r w:rsidR="00E93104">
        <w:rPr>
          <w:sz w:val="28"/>
        </w:rPr>
        <w:tab/>
      </w:r>
      <w:r w:rsidR="00E93104">
        <w:rPr>
          <w:sz w:val="28"/>
        </w:rPr>
        <w:tab/>
      </w:r>
      <w:r w:rsidR="00E93104">
        <w:rPr>
          <w:sz w:val="28"/>
        </w:rPr>
        <w:tab/>
        <w:t>Предлагается.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44"/>
        <w:gridCol w:w="5387"/>
        <w:gridCol w:w="4756"/>
      </w:tblGrid>
      <w:tr w:rsidR="00E93104">
        <w:tc>
          <w:tcPr>
            <w:tcW w:w="4644" w:type="dxa"/>
          </w:tcPr>
          <w:p w:rsidR="00E93104" w:rsidRDefault="00E93104">
            <w:pPr>
              <w:widowControl w:val="0"/>
              <w:rPr>
                <w:b/>
                <w:sz w:val="32"/>
              </w:rPr>
            </w:pPr>
          </w:p>
        </w:tc>
        <w:tc>
          <w:tcPr>
            <w:tcW w:w="5387" w:type="dxa"/>
          </w:tcPr>
          <w:p w:rsidR="00E93104" w:rsidRDefault="00E93104">
            <w:pPr>
              <w:widowControl w:val="0"/>
              <w:ind w:right="60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открытый склад пиломатериалов расположен на расстоянии более 15 м от здания </w:t>
            </w:r>
            <w:r>
              <w:rPr>
                <w:b/>
                <w:sz w:val="32"/>
                <w:lang w:val="en-US"/>
              </w:rPr>
              <w:t>II</w:t>
            </w:r>
            <w:r>
              <w:rPr>
                <w:b/>
                <w:sz w:val="32"/>
              </w:rPr>
              <w:t xml:space="preserve"> степени огнестойкости</w:t>
            </w:r>
          </w:p>
        </w:tc>
        <w:tc>
          <w:tcPr>
            <w:tcW w:w="4756" w:type="dxa"/>
          </w:tcPr>
          <w:p w:rsidR="00E93104" w:rsidRDefault="00E93104">
            <w:pPr>
              <w:widowControl w:val="0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открытый склад пиломатериалов расположен на расстоянии более 15 м от здания </w:t>
            </w:r>
            <w:r>
              <w:rPr>
                <w:b/>
                <w:sz w:val="32"/>
                <w:lang w:val="en-US"/>
              </w:rPr>
              <w:t>II</w:t>
            </w:r>
            <w:r>
              <w:rPr>
                <w:b/>
                <w:sz w:val="32"/>
              </w:rPr>
              <w:t xml:space="preserve"> степени огнестойкости с подветренной стороны.</w:t>
            </w:r>
          </w:p>
        </w:tc>
      </w:tr>
    </w:tbl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где:</w:t>
      </w: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15 – открытый склад металла;</w:t>
      </w: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16 – открытый склад пиломатериалов;</w:t>
      </w: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20 – котельная;</w:t>
      </w: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А – труба;</w:t>
      </w: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Б – резервуар мокрого хранения соли;</w:t>
      </w:r>
    </w:p>
    <w:p w:rsidR="00E93104" w:rsidRDefault="00E93104">
      <w:pPr>
        <w:widowControl w:val="0"/>
        <w:rPr>
          <w:b/>
          <w:sz w:val="32"/>
        </w:rPr>
      </w:pPr>
      <w:r>
        <w:rPr>
          <w:b/>
          <w:sz w:val="32"/>
        </w:rPr>
        <w:t>Г – продувочный колодец;</w:t>
      </w:r>
    </w:p>
    <w:p w:rsidR="00E93104" w:rsidRDefault="00411BF1">
      <w:pPr>
        <w:widowControl w:val="0"/>
        <w:rPr>
          <w:b/>
          <w:sz w:val="32"/>
        </w:rPr>
      </w:pPr>
      <w:r>
        <w:rPr>
          <w:b/>
          <w:noProof/>
          <w:sz w:val="32"/>
        </w:rPr>
        <w:pict>
          <v:rect id="_x0000_s1037" style="position:absolute;margin-left:.7pt;margin-top:3.35pt;width:28.8pt;height:14.4pt;z-index:-251662848" o:allowincell="f" fillcolor="lime"/>
        </w:pict>
      </w:r>
      <w:r w:rsidR="00E93104">
        <w:rPr>
          <w:b/>
          <w:sz w:val="32"/>
        </w:rPr>
        <w:tab/>
        <w:t>- проектируемое озеленение;</w:t>
      </w:r>
    </w:p>
    <w:p w:rsidR="00E93104" w:rsidRDefault="00411BF1">
      <w:pPr>
        <w:widowControl w:val="0"/>
        <w:rPr>
          <w:b/>
          <w:sz w:val="32"/>
        </w:rPr>
      </w:pPr>
      <w:r>
        <w:rPr>
          <w:b/>
          <w:noProof/>
          <w:sz w:val="32"/>
        </w:rPr>
        <w:pict>
          <v:rect id="_x0000_s1038" style="position:absolute;margin-left:.7pt;margin-top:6pt;width:28.8pt;height:14.4pt;z-index:-251661824" o:allowincell="f" fillcolor="#3cc"/>
        </w:pict>
      </w:r>
      <w:r w:rsidR="00E93104">
        <w:rPr>
          <w:b/>
          <w:sz w:val="32"/>
        </w:rPr>
        <w:tab/>
        <w:t>- проектируемое асфальтобетонное покрытие.</w:t>
      </w: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widowControl w:val="0"/>
        <w:rPr>
          <w:b/>
          <w:sz w:val="32"/>
        </w:rPr>
      </w:pPr>
    </w:p>
    <w:p w:rsidR="00E93104" w:rsidRDefault="00E93104">
      <w:pPr>
        <w:pageBreakBefore/>
        <w:widowControl w:val="0"/>
        <w:rPr>
          <w:b/>
          <w:sz w:val="32"/>
        </w:rPr>
        <w:sectPr w:rsidR="00E93104">
          <w:pgSz w:w="16840" w:h="11907" w:orient="landscape" w:code="9"/>
          <w:pgMar w:top="1418" w:right="1418" w:bottom="567" w:left="851" w:header="720" w:footer="720" w:gutter="0"/>
          <w:cols w:space="720"/>
        </w:sectPr>
      </w:pPr>
    </w:p>
    <w:p w:rsidR="00E93104" w:rsidRDefault="00E93104">
      <w:pPr>
        <w:pageBreakBefore/>
        <w:widowControl w:val="0"/>
        <w:rPr>
          <w:b/>
          <w:sz w:val="32"/>
        </w:rPr>
      </w:pPr>
      <w:r>
        <w:rPr>
          <w:b/>
          <w:sz w:val="32"/>
        </w:rPr>
        <w:t>5. Используемая литература:</w:t>
      </w: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rPr>
          <w:sz w:val="28"/>
        </w:rPr>
      </w:pPr>
    </w:p>
    <w:p w:rsidR="00E93104" w:rsidRDefault="00E93104">
      <w:pPr>
        <w:widowControl w:val="0"/>
        <w:numPr>
          <w:ilvl w:val="0"/>
          <w:numId w:val="14"/>
        </w:numPr>
        <w:rPr>
          <w:sz w:val="28"/>
        </w:rPr>
      </w:pPr>
      <w:r>
        <w:rPr>
          <w:sz w:val="28"/>
        </w:rPr>
        <w:t xml:space="preserve">СНиП </w:t>
      </w:r>
      <w:r>
        <w:rPr>
          <w:sz w:val="28"/>
          <w:lang w:val="en-US"/>
        </w:rPr>
        <w:t>II</w:t>
      </w:r>
      <w:r>
        <w:rPr>
          <w:sz w:val="28"/>
        </w:rPr>
        <w:t>-89-80 Генеральные планы промышленных предприятий.</w:t>
      </w:r>
    </w:p>
    <w:p w:rsidR="00E93104" w:rsidRDefault="00E93104">
      <w:pPr>
        <w:widowControl w:val="0"/>
        <w:numPr>
          <w:ilvl w:val="0"/>
          <w:numId w:val="14"/>
        </w:numPr>
        <w:rPr>
          <w:sz w:val="28"/>
        </w:rPr>
      </w:pPr>
      <w:r>
        <w:rPr>
          <w:sz w:val="28"/>
        </w:rPr>
        <w:t>СНиП 2.11.03-93. Склады нефти и нефтепродуктов.</w:t>
      </w:r>
      <w:bookmarkStart w:id="0" w:name="_GoBack"/>
      <w:bookmarkEnd w:id="0"/>
    </w:p>
    <w:sectPr w:rsidR="00E93104">
      <w:pgSz w:w="11907" w:h="16840" w:code="9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D5F2EB5"/>
    <w:multiLevelType w:val="singleLevel"/>
    <w:tmpl w:val="0E16D0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0BA64BB"/>
    <w:multiLevelType w:val="singleLevel"/>
    <w:tmpl w:val="5B1A521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3C831B3D"/>
    <w:multiLevelType w:val="singleLevel"/>
    <w:tmpl w:val="6BFE4A8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4">
    <w:nsid w:val="6F350B55"/>
    <w:multiLevelType w:val="singleLevel"/>
    <w:tmpl w:val="D5A0E9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03D"/>
    <w:rsid w:val="00411BF1"/>
    <w:rsid w:val="00906F6B"/>
    <w:rsid w:val="009D603D"/>
    <w:rsid w:val="00E9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D70DEAC5-B9FD-40DF-8EE0-31C5E240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sz w:val="28"/>
    </w:rPr>
  </w:style>
  <w:style w:type="paragraph" w:styleId="2">
    <w:name w:val="Body Text 2"/>
    <w:basedOn w:val="a"/>
    <w:semiHidden/>
    <w:pPr>
      <w:widowControl w:val="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ГПС МВД России</vt:lpstr>
    </vt:vector>
  </TitlesOfParts>
  <Company>Дельта</Company>
  <LinksUpToDate>false</LinksUpToDate>
  <CharactersWithSpaces>17148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ГПС МВД России</dc:title>
  <dc:subject/>
  <dc:creator>Дельта</dc:creator>
  <cp:keywords/>
  <dc:description/>
  <cp:lastModifiedBy>Irina</cp:lastModifiedBy>
  <cp:revision>2</cp:revision>
  <cp:lastPrinted>2001-11-18T02:28:00Z</cp:lastPrinted>
  <dcterms:created xsi:type="dcterms:W3CDTF">2014-09-22T07:08:00Z</dcterms:created>
  <dcterms:modified xsi:type="dcterms:W3CDTF">2014-09-22T07:08:00Z</dcterms:modified>
</cp:coreProperties>
</file>