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27" w:rsidRDefault="007908D3">
      <w:pPr>
        <w:pStyle w:val="a3"/>
      </w:pPr>
      <w:r>
        <w:br/>
      </w:r>
    </w:p>
    <w:p w:rsidR="00284427" w:rsidRDefault="007908D3">
      <w:pPr>
        <w:pStyle w:val="a3"/>
      </w:pPr>
      <w:r>
        <w:t>15 (28 ноября) 1917 года Временный Земский Совет Эстляндской губернии провозгласил себя в Ревеле законной верховной властью до созыва Эстонского Учредительного Собрания и призвал к выборам в него «для определения будущего государственного устройства Эстонии». 19 ноября (2 декабря) Исполком Эстляндского Совета рабочих, воинских, безземельных и малоземельных депутатов принял решение о роспуске Земского Совета и одновременно поддержал идею созыва Учредительного Собрания и назначил выборы на 21-22 января (3-4 февраля) 1918 года.</w:t>
      </w:r>
    </w:p>
    <w:p w:rsidR="00284427" w:rsidRDefault="007908D3">
      <w:pPr>
        <w:pStyle w:val="a3"/>
      </w:pPr>
      <w:r>
        <w:t>Выборы состоялись в назначенный срок, РСДРП(б) получила на них 37,1% голосов. Учредительное Собрание предполагалось открыть 15 февраля 1918 года, но это не удалось сделать в связи с начавшимся наступлением германских войск.</w:t>
      </w:r>
    </w:p>
    <w:p w:rsidR="00284427" w:rsidRDefault="007908D3">
      <w:pPr>
        <w:pStyle w:val="a3"/>
        <w:rPr>
          <w:position w:val="10"/>
        </w:rPr>
      </w:pPr>
      <w:r>
        <w:t xml:space="preserve">Повторно </w:t>
      </w:r>
      <w:r>
        <w:rPr>
          <w:b/>
          <w:bCs/>
        </w:rPr>
        <w:t>Эстонское Учредительное собрание</w:t>
      </w:r>
      <w:r>
        <w:t xml:space="preserve"> (эст. Asutav kogu) было избрано 5-7 апреля 1919 года,</w:t>
      </w:r>
      <w:r>
        <w:rPr>
          <w:position w:val="10"/>
        </w:rPr>
        <w:t>[1]</w:t>
      </w:r>
      <w:r>
        <w:t xml:space="preserve"> Временным правительством Эстонии во время Эстонской войны за независимость. Выборы в собрание проходили по пропорциональной системе голосования, в них участвовали и солдаты на фронте. Выборы выиграли левые и центристские партии:</w:t>
      </w:r>
      <w:r>
        <w:rPr>
          <w:position w:val="10"/>
        </w:rPr>
        <w:t>[2]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1306"/>
        <w:gridCol w:w="871"/>
        <w:gridCol w:w="1816"/>
        <w:gridCol w:w="1306"/>
        <w:gridCol w:w="871"/>
        <w:gridCol w:w="1741"/>
        <w:gridCol w:w="1306"/>
        <w:gridCol w:w="871"/>
        <w:gridCol w:w="1666"/>
        <w:gridCol w:w="1306"/>
        <w:gridCol w:w="916"/>
      </w:tblGrid>
      <w:tr w:rsidR="00284427">
        <w:tc>
          <w:tcPr>
            <w:tcW w:w="1681" w:type="dxa"/>
            <w:vAlign w:val="center"/>
          </w:tcPr>
          <w:p w:rsidR="00284427" w:rsidRDefault="007908D3">
            <w:pPr>
              <w:pStyle w:val="TableHeading"/>
            </w:pPr>
            <w:r>
              <w:t>Левые партии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Heading"/>
            </w:pPr>
            <w:r>
              <w:t>% Голоса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Heading"/>
            </w:pPr>
            <w:r>
              <w:t>Места</w:t>
            </w:r>
          </w:p>
        </w:tc>
        <w:tc>
          <w:tcPr>
            <w:tcW w:w="1816" w:type="dxa"/>
            <w:vAlign w:val="center"/>
          </w:tcPr>
          <w:p w:rsidR="00284427" w:rsidRDefault="007908D3">
            <w:pPr>
              <w:pStyle w:val="TableHeading"/>
            </w:pPr>
            <w:r>
              <w:t>Центристские партии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Heading"/>
            </w:pPr>
            <w:r>
              <w:t>% Голоса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Heading"/>
            </w:pPr>
            <w:r>
              <w:t>Места</w:t>
            </w:r>
          </w:p>
        </w:tc>
        <w:tc>
          <w:tcPr>
            <w:tcW w:w="1741" w:type="dxa"/>
            <w:vAlign w:val="center"/>
          </w:tcPr>
          <w:p w:rsidR="00284427" w:rsidRDefault="007908D3">
            <w:pPr>
              <w:pStyle w:val="TableHeading"/>
            </w:pPr>
            <w:r>
              <w:t>Правые партии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Heading"/>
            </w:pPr>
            <w:r>
              <w:t>% Голоса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Heading"/>
            </w:pPr>
            <w:r>
              <w:t>Места</w:t>
            </w:r>
          </w:p>
        </w:tc>
        <w:tc>
          <w:tcPr>
            <w:tcW w:w="1666" w:type="dxa"/>
            <w:vAlign w:val="center"/>
          </w:tcPr>
          <w:p w:rsidR="00284427" w:rsidRDefault="007908D3">
            <w:pPr>
              <w:pStyle w:val="TableHeading"/>
            </w:pPr>
            <w:r>
              <w:t>Другие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Heading"/>
            </w:pPr>
            <w:r>
              <w:t>% Голоса</w:t>
            </w:r>
          </w:p>
        </w:tc>
        <w:tc>
          <w:tcPr>
            <w:tcW w:w="916" w:type="dxa"/>
            <w:vAlign w:val="center"/>
          </w:tcPr>
          <w:p w:rsidR="00284427" w:rsidRDefault="007908D3">
            <w:pPr>
              <w:pStyle w:val="TableHeading"/>
            </w:pPr>
            <w:r>
              <w:t>Места</w:t>
            </w:r>
          </w:p>
        </w:tc>
      </w:tr>
      <w:tr w:rsidR="00284427">
        <w:tc>
          <w:tcPr>
            <w:tcW w:w="1681" w:type="dxa"/>
            <w:vAlign w:val="center"/>
          </w:tcPr>
          <w:p w:rsidR="00284427" w:rsidRDefault="007908D3">
            <w:pPr>
              <w:pStyle w:val="TableContents"/>
            </w:pPr>
            <w:r>
              <w:t>Социал-демократы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33.3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41</w:t>
            </w:r>
          </w:p>
        </w:tc>
        <w:tc>
          <w:tcPr>
            <w:tcW w:w="1816" w:type="dxa"/>
            <w:vAlign w:val="center"/>
          </w:tcPr>
          <w:p w:rsidR="00284427" w:rsidRDefault="007908D3">
            <w:pPr>
              <w:pStyle w:val="TableContents"/>
            </w:pPr>
            <w:r>
              <w:t>Народная партия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20.7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25</w:t>
            </w:r>
          </w:p>
        </w:tc>
        <w:tc>
          <w:tcPr>
            <w:tcW w:w="1741" w:type="dxa"/>
            <w:vAlign w:val="center"/>
          </w:tcPr>
          <w:p w:rsidR="00284427" w:rsidRDefault="007908D3">
            <w:pPr>
              <w:pStyle w:val="TableContents"/>
            </w:pPr>
            <w:r>
              <w:t>Аграрная лига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6.5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8</w:t>
            </w:r>
          </w:p>
        </w:tc>
        <w:tc>
          <w:tcPr>
            <w:tcW w:w="1666" w:type="dxa"/>
            <w:vAlign w:val="center"/>
          </w:tcPr>
          <w:p w:rsidR="00284427" w:rsidRDefault="007908D3">
            <w:pPr>
              <w:pStyle w:val="TableContents"/>
            </w:pPr>
            <w:r>
              <w:t>Этнические меньшинства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3.8</w:t>
            </w:r>
          </w:p>
        </w:tc>
        <w:tc>
          <w:tcPr>
            <w:tcW w:w="916" w:type="dxa"/>
            <w:vAlign w:val="center"/>
          </w:tcPr>
          <w:p w:rsidR="00284427" w:rsidRDefault="007908D3">
            <w:pPr>
              <w:pStyle w:val="TableContents"/>
            </w:pPr>
            <w:r>
              <w:t>4</w:t>
            </w:r>
          </w:p>
        </w:tc>
      </w:tr>
      <w:tr w:rsidR="00284427">
        <w:tc>
          <w:tcPr>
            <w:tcW w:w="1681" w:type="dxa"/>
            <w:vAlign w:val="center"/>
          </w:tcPr>
          <w:p w:rsidR="00284427" w:rsidRDefault="007908D3">
            <w:pPr>
              <w:pStyle w:val="TableContents"/>
            </w:pPr>
            <w:r>
              <w:t>Партия труда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25.1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30</w:t>
            </w:r>
          </w:p>
        </w:tc>
        <w:tc>
          <w:tcPr>
            <w:tcW w:w="181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71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41" w:type="dxa"/>
            <w:vAlign w:val="center"/>
          </w:tcPr>
          <w:p w:rsidR="00284427" w:rsidRDefault="007908D3">
            <w:pPr>
              <w:pStyle w:val="TableContents"/>
            </w:pPr>
            <w:r>
              <w:t>Христианская национальная партия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4.4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5</w:t>
            </w:r>
          </w:p>
        </w:tc>
        <w:tc>
          <w:tcPr>
            <w:tcW w:w="1666" w:type="dxa"/>
            <w:vAlign w:val="center"/>
          </w:tcPr>
          <w:p w:rsidR="00284427" w:rsidRDefault="007908D3">
            <w:pPr>
              <w:pStyle w:val="TableContents"/>
            </w:pPr>
            <w:r>
              <w:t>Другие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0.4</w:t>
            </w:r>
          </w:p>
        </w:tc>
        <w:tc>
          <w:tcPr>
            <w:tcW w:w="916" w:type="dxa"/>
            <w:vAlign w:val="center"/>
          </w:tcPr>
          <w:p w:rsidR="00284427" w:rsidRDefault="007908D3">
            <w:pPr>
              <w:pStyle w:val="TableContents"/>
            </w:pPr>
            <w:r>
              <w:t>0</w:t>
            </w:r>
          </w:p>
        </w:tc>
      </w:tr>
      <w:tr w:rsidR="00284427">
        <w:tc>
          <w:tcPr>
            <w:tcW w:w="1681" w:type="dxa"/>
            <w:vAlign w:val="center"/>
          </w:tcPr>
          <w:p w:rsidR="00284427" w:rsidRDefault="007908D3">
            <w:pPr>
              <w:pStyle w:val="TableContents"/>
            </w:pPr>
            <w:r>
              <w:t>Независимые социалисты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5.8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7</w:t>
            </w:r>
          </w:p>
        </w:tc>
        <w:tc>
          <w:tcPr>
            <w:tcW w:w="181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71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41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871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6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0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16" w:type="dxa"/>
            <w:vAlign w:val="center"/>
          </w:tcPr>
          <w:p w:rsidR="00284427" w:rsidRDefault="00284427">
            <w:pPr>
              <w:pStyle w:val="TableContents"/>
              <w:rPr>
                <w:sz w:val="4"/>
                <w:szCs w:val="4"/>
              </w:rPr>
            </w:pPr>
          </w:p>
        </w:tc>
      </w:tr>
      <w:tr w:rsidR="00284427">
        <w:tc>
          <w:tcPr>
            <w:tcW w:w="1681" w:type="dxa"/>
            <w:vAlign w:val="center"/>
          </w:tcPr>
          <w:p w:rsidR="00284427" w:rsidRDefault="007908D3">
            <w:pPr>
              <w:pStyle w:val="TableContents"/>
            </w:pPr>
            <w:r>
              <w:t>Всего левых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64.2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78</w:t>
            </w:r>
          </w:p>
        </w:tc>
        <w:tc>
          <w:tcPr>
            <w:tcW w:w="1816" w:type="dxa"/>
            <w:vAlign w:val="center"/>
          </w:tcPr>
          <w:p w:rsidR="00284427" w:rsidRDefault="007908D3">
            <w:pPr>
              <w:pStyle w:val="TableContents"/>
            </w:pPr>
            <w:r>
              <w:t>Всего центристских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20.7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25</w:t>
            </w:r>
          </w:p>
        </w:tc>
        <w:tc>
          <w:tcPr>
            <w:tcW w:w="1741" w:type="dxa"/>
            <w:vAlign w:val="center"/>
          </w:tcPr>
          <w:p w:rsidR="00284427" w:rsidRDefault="007908D3">
            <w:pPr>
              <w:pStyle w:val="TableContents"/>
            </w:pPr>
            <w:r>
              <w:t>Всего правых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10.9</w:t>
            </w:r>
          </w:p>
        </w:tc>
        <w:tc>
          <w:tcPr>
            <w:tcW w:w="871" w:type="dxa"/>
            <w:vAlign w:val="center"/>
          </w:tcPr>
          <w:p w:rsidR="00284427" w:rsidRDefault="007908D3">
            <w:pPr>
              <w:pStyle w:val="TableContents"/>
            </w:pPr>
            <w:r>
              <w:t>13</w:t>
            </w:r>
          </w:p>
        </w:tc>
        <w:tc>
          <w:tcPr>
            <w:tcW w:w="1666" w:type="dxa"/>
            <w:vAlign w:val="center"/>
          </w:tcPr>
          <w:p w:rsidR="00284427" w:rsidRDefault="007908D3">
            <w:pPr>
              <w:pStyle w:val="TableContents"/>
            </w:pPr>
            <w:r>
              <w:t>Всего других</w:t>
            </w:r>
          </w:p>
        </w:tc>
        <w:tc>
          <w:tcPr>
            <w:tcW w:w="1306" w:type="dxa"/>
            <w:vAlign w:val="center"/>
          </w:tcPr>
          <w:p w:rsidR="00284427" w:rsidRDefault="007908D3">
            <w:pPr>
              <w:pStyle w:val="TableContents"/>
            </w:pPr>
            <w:r>
              <w:t>% 4.2</w:t>
            </w:r>
          </w:p>
        </w:tc>
        <w:tc>
          <w:tcPr>
            <w:tcW w:w="916" w:type="dxa"/>
            <w:vAlign w:val="center"/>
          </w:tcPr>
          <w:p w:rsidR="00284427" w:rsidRDefault="007908D3">
            <w:pPr>
              <w:pStyle w:val="TableContents"/>
            </w:pPr>
            <w:r>
              <w:t>4</w:t>
            </w:r>
          </w:p>
        </w:tc>
      </w:tr>
    </w:tbl>
    <w:p w:rsidR="00284427" w:rsidRDefault="007908D3">
      <w:pPr>
        <w:pStyle w:val="a3"/>
      </w:pPr>
      <w:r>
        <w:t>120 членов Учредительного собрания собрались на первое заседание 23 апреля 1919 года, считающемся днём рождения эстонского парламента</w:t>
      </w:r>
      <w:r>
        <w:rPr>
          <w:position w:val="10"/>
        </w:rPr>
        <w:t>[1]</w:t>
      </w:r>
      <w:r>
        <w:t>, и избрали председателя, социал-демократа Аугуста Рея. 7 мая собрание приняло закон о государственном начальном образовании: устанавливался принцип обязательного и бесплатного начального 6-летнего образования.</w:t>
      </w:r>
      <w:r>
        <w:rPr>
          <w:position w:val="10"/>
        </w:rPr>
        <w:t>[3]</w:t>
      </w:r>
      <w:r>
        <w:t xml:space="preserve"> 9 мая 1919 года Эстонское Временное правительство ушло в отставку и впервые было избрано полностью демократическое Правительство Эстонии под руководством премьер-министра Отто Штрандмана (Эстонская партия труда). 15 мая собрание подтвердило Декларацию независимости Эстонии, направленную мировому сообществу для признания Эстонии независимым государством. 4 июня 1919 года собрание приняло временную Конституцию Эстонии. 10 октября 1919 года был принят закон об аграрной реформе, который конфисковал и перераспределил усадьбы балтийских немцев, закончив 700-летний период владения районом, который немцы получили после Ливонского крестового похода.</w:t>
      </w:r>
      <w:r>
        <w:rPr>
          <w:position w:val="10"/>
        </w:rPr>
        <w:t>[4]</w:t>
      </w:r>
      <w:r>
        <w:t xml:space="preserve"> 13 февраля был ратифицирован Тартуский мирный договор, подписанный Эстонией и РСФСР 2 февраля.</w:t>
      </w:r>
    </w:p>
    <w:p w:rsidR="00284427" w:rsidRDefault="007908D3">
      <w:pPr>
        <w:pStyle w:val="a3"/>
        <w:rPr>
          <w:position w:val="10"/>
        </w:rPr>
      </w:pPr>
      <w:r>
        <w:t>Первая Конституция Эстонии была принята 15 июня 1920 года. После того, как конституция вступила в силу и были проведены первые парламентские выборы, Учредительное собрание расформировало себя 20 декабря 1920 года.</w:t>
      </w:r>
      <w:r>
        <w:rPr>
          <w:position w:val="10"/>
        </w:rPr>
        <w:t>[2]</w:t>
      </w:r>
    </w:p>
    <w:p w:rsidR="00284427" w:rsidRDefault="007908D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84427" w:rsidRDefault="007908D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История Рийгикогу</w:t>
      </w:r>
    </w:p>
    <w:p w:rsidR="00284427" w:rsidRDefault="007908D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Historical Dictionary of Estonia; p. 140 ISBN 0810849046</w:t>
      </w:r>
    </w:p>
    <w:p w:rsidR="00284427" w:rsidRDefault="007908D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Public Elementary Schools Act at Estonian Historical Archives</w:t>
      </w:r>
    </w:p>
    <w:p w:rsidR="00284427" w:rsidRDefault="007908D3">
      <w:pPr>
        <w:pStyle w:val="a3"/>
        <w:numPr>
          <w:ilvl w:val="0"/>
          <w:numId w:val="1"/>
        </w:numPr>
        <w:tabs>
          <w:tab w:val="left" w:pos="707"/>
        </w:tabs>
      </w:pPr>
      <w:r>
        <w:t>Encyclopædia Britannica 11th edition</w:t>
      </w:r>
    </w:p>
    <w:p w:rsidR="00284427" w:rsidRDefault="007908D3">
      <w:pPr>
        <w:pStyle w:val="a3"/>
        <w:spacing w:after="0"/>
      </w:pPr>
      <w:r>
        <w:t>Источник: http://ru.wikipedia.org/wiki/Эстонское_Учредительное_собрание</w:t>
      </w:r>
      <w:bookmarkStart w:id="0" w:name="_GoBack"/>
      <w:bookmarkEnd w:id="0"/>
    </w:p>
    <w:sectPr w:rsidR="0028442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8D3"/>
    <w:rsid w:val="00284427"/>
    <w:rsid w:val="007908D3"/>
    <w:rsid w:val="00D0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285B-5234-4F67-9896-23DA2E0E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2014-04-03T03:30:00Z</dcterms:created>
  <dcterms:modified xsi:type="dcterms:W3CDTF">2014-04-03T03:30:00Z</dcterms:modified>
</cp:coreProperties>
</file>