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0A" w:rsidRPr="00174279" w:rsidRDefault="0079400A" w:rsidP="0079400A">
      <w:pPr>
        <w:spacing w:before="120"/>
        <w:jc w:val="center"/>
        <w:rPr>
          <w:b/>
          <w:bCs/>
          <w:sz w:val="32"/>
          <w:szCs w:val="32"/>
        </w:rPr>
      </w:pPr>
      <w:r w:rsidRPr="00174279">
        <w:rPr>
          <w:b/>
          <w:bCs/>
          <w:sz w:val="32"/>
          <w:szCs w:val="32"/>
        </w:rPr>
        <w:t>Эталонные (референтные) группы</w:t>
      </w:r>
    </w:p>
    <w:p w:rsidR="0079400A" w:rsidRPr="00174279" w:rsidRDefault="0079400A" w:rsidP="0079400A">
      <w:pPr>
        <w:spacing w:before="120"/>
        <w:ind w:firstLine="567"/>
        <w:jc w:val="both"/>
        <w:rPr>
          <w:sz w:val="28"/>
          <w:szCs w:val="28"/>
        </w:rPr>
      </w:pPr>
      <w:r w:rsidRPr="00174279">
        <w:rPr>
          <w:sz w:val="28"/>
          <w:szCs w:val="28"/>
        </w:rPr>
        <w:t>В. И. Ильин</w:t>
      </w:r>
    </w:p>
    <w:p w:rsidR="0079400A" w:rsidRPr="00174279" w:rsidRDefault="0079400A" w:rsidP="0079400A">
      <w:pPr>
        <w:spacing w:before="120"/>
        <w:jc w:val="center"/>
        <w:rPr>
          <w:b/>
          <w:bCs/>
          <w:sz w:val="28"/>
          <w:szCs w:val="28"/>
        </w:rPr>
      </w:pPr>
      <w:bookmarkStart w:id="0" w:name="1._ПОНЯТИЕ_РЕФЕРЕНТНОЙ_ГРУППЫ"/>
      <w:bookmarkEnd w:id="0"/>
      <w:r w:rsidRPr="00174279">
        <w:rPr>
          <w:b/>
          <w:bCs/>
          <w:sz w:val="28"/>
          <w:szCs w:val="28"/>
        </w:rPr>
        <w:t xml:space="preserve"> Понятие референтной группы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 xml:space="preserve">Понятие референтной группы было введено в научный оборот Гербертом Хаймоном (Hymon) в его работе "Архивы психологии" в 1942 г. Под референтной он понимал группу, которую индивид использует для сравнительной оценки своего собственного положения или поведения. Хаймон проводил различие между группой, к которой принадлежит индивид, и референтной, или эталонной, группой, которая служит критерием для сравнения (Marshall 1996: 441). 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Наиболее развернутый анализ референтных групп в контексте традиции функционализма дали Роберт Мертон и Алис Китт в работе, опубликованной в 1950 г.</w:t>
      </w:r>
    </w:p>
    <w:p w:rsidR="0079400A" w:rsidRPr="00174279" w:rsidRDefault="0079400A" w:rsidP="0079400A">
      <w:pPr>
        <w:spacing w:before="120"/>
        <w:jc w:val="center"/>
        <w:rPr>
          <w:b/>
          <w:bCs/>
          <w:sz w:val="28"/>
          <w:szCs w:val="28"/>
        </w:rPr>
      </w:pPr>
      <w:bookmarkStart w:id="1" w:name="2._ТИПОЛОГИЯ_РЕФЕРЕНТНЫХ_ГРУПП"/>
      <w:bookmarkEnd w:id="1"/>
      <w:r w:rsidRPr="00174279">
        <w:rPr>
          <w:b/>
          <w:bCs/>
          <w:sz w:val="28"/>
          <w:szCs w:val="28"/>
        </w:rPr>
        <w:t>Типология референтных групп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Индивид может принадлежать к референтной группе или быть очень далеко от нее. Группа взаимодействия (термин Р.Мертона), или членская группа, - это непосредственное социальное окружение индивида. Это группа, к которой он принадлежит. Если мы дорожим членством в данной группе, если мы стремимся закрепиться в ней и рассматриваем нормы и ценности ее субкультуры как наиболее авторитетные, стремимся быть похожими на большинство ее членов, то эта группа может считаться в качестве референтной. В этом случае группа взаимодействия и референтная группа просто совпадают, но их качественные характеристики совершенно различны. Если же мы считаем себя выше членов своей группы или рассматриваем себя как чужаков в ней, то как бы тесно мы не были связаны с ней, эта группа не является эталонной. В этом случае группа не предлагает привлекательных норм и ценностей.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Эталонная группа может быть реальной социальной группой или воображаемой, являющейся результатом социального конструирования, выступать в качестве статистической общности, члены которой могут и не подозревать, что для кого-то они одна сплоченная группа. Так, на протяжении десятилетий для многих советских людей существовала такая мифическая референтная группа, как "Запад", "Америка".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Чем более закостенелым, замкнутым является данное общество, тем больше вероятность, что референтной группой индивида является его группа социального взаимодействия. Так, в докапиталистических обществах господствовала сословная социальная структура, при которой большинство людей рождались в определенном сословии (группа с социальным статусом, закрепленным законами) и оставались в нем всю жизнь, передавая свой сословный статус по наследству. В таком обществе крестьянину сравнивать себя с придворной аристократией, подражать ей было верхом нелепости. Капиталистическое или государственно-социалистическое (например, советское) общества открыты для социальной мобильности. Это значит, что родившийся в крестьянской семье имеет шансы прорваться на самый верх политической, административной или экономической иерархии. В таком обществе вполне разумен индивид, находящийся на дне, но подражающий тем, кто находится на самом верху. В таком обществе сближение с референтной группой потенциально реально. "Американская мечта" как важнейший миф Америки гласит, что каждый американец может стать президентом или миллионером. Примеров, говорящих о реальности этой мечты, в американской мифологии полно. В советской мифологии также масса примеров героев, поднявшихся из "простых рабочих и крестьян" до высших постов в государстве. В постсоветском обществе основная масса богатейших людей страны еще вчера находились на том же этаже, что и большинство из нас.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 xml:space="preserve">Связь индивида с референтными группами часто является неустойчивой, подвижной, расплывчатой. Это значит, что на разных этапах биографии у него могут быть разные референтные группы. Кроме того, при выборе разных элементов стиля жизни, при совершении разных покупок индивид может ориентироваться на разные референтные группы. 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Например, если я спортсмен, то для меня при выборе спортивной одежды может выступать в качестве референтной группы какая-то команда или ее звезды, но если я не фанат, а просто нормальный спортсмен, то мнение спортивной звезды по вопросам, выходящим за пределы спорта, уже не являются авторитетными. И выбирая зубную пасту, я буду слушать дантиста, но не любимого чемпиона.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Эталонные (референтные) группы могут быть позитивными и негативными. Позитивная эталонная группа - это та реальная или воображаемая группа, которая служит образцом для подражания, привлекательным эталоном. Чем ближе индивид к ней с точки зрения стиля жизни, тем большее удовлетворение он чувствует. Негативная эталонная группа - это реальная или мнимая (сконструированная) группа, выступающая в качестве отталкивающего примера, это группа, контакта, ассоциации с которой стремятся избежать.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Набор референтных групп имеет относительный характер. Это значит, что в обществе, состоящем из множества социальных групп и субкультур, нет единого набора позитивных и негативных референтных групп, действительного для всех. Та группа, которая является образцом для подражания для одних людей, другими рассматривается как антиэталон ("Не дай Бог быть на них похожими"). В этом случае говорят: "Ты вырядился (-лась), как:". В нашем обществе в качестве такого "комплимента" может быть сравнение с дояркой, колхозницей, деревенским жителем, новым русским, монахиней, "крутым" бандитом и т.д.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 xml:space="preserve">Референтные группы делятся на несколько видов: информационные (источники надежной информации), самоидентификации, ценностные. 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Информационная референтная группа - это та группа людей, чьей информации мы доверяем. При этом неважно, впадаем мы при этом в заблуждение или близки к истине. Главная отличительная черта такой группы состоит в том, что мы доверяем исходящей от нее информации. Эта группа проявляется в двух основных формах: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а) Носители опыта. В качестве такой группы могут выступать люди, попробовавшие "на своей шкуре" данный товар или услугу. Мы обращаемся к их дилетантскому опыту, чтобы подтвердить или опровергнуть сомнения относительно планируемой к покупке марки товара.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б) Эксперты, то есть специалисты в данной области. Это группа, которая рассматривается окружающими как наиболее сведущая в конкретной области, чье суждение точнее всего отражает реальные качествам явления, товара, услуги и т.д.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Когда возникает потребность в эксперте? К нему обращаются, когда в рамках повседневности возникает проблемная ситуация, когда течение повседневной жизни нарушается (Ионин 1996: 97). Человек всю жизнь ел, не думая о зубах. И вдруг они так напомнили о себе, что он не может думать ни о чем, кроме зубов. Машина ездила ряд лет, а потом встала... Течение нормальной жизни нарушено, а наших знаний не хватает, чтобы выйти из проблемной ситуации.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К экспертам мы обращаемся и для поддержания нормального течения повседневной жизни. Энциклопедисты вымерли чуть позже мамонтов, поэтому даже самые выдающиеся из наших современников - дилетанты в большинстве областей, с которыми им приходится сталкиваться. Что же говорить о массе простых людей. Естественно, что в выборе товаров и услуг нам не остается ничего иного, как полагаться на мнение экспертов. Я ничего не понимаю в медицине, поэтому выбираю зубные пасты, щетки, лекарства, полагаясь в основном на мнение врачей. Я дилетант в радиотехнике, поэтому при выборе радиотоваров полагаюсь на суждения людей, которые являются или кажутся мне экспертами.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 xml:space="preserve">Оценка эксперта способна резко изменить стоимость товара. Так, большинство картин покупается дилетантами, ибо искусствоведение - это особая наука, требующая длительной профессиональной подготовки, которая в конечном счете не ведет к богатству. Те же, кто имеет достаточно денег, чтобы покупать ценные картины, не могут, как правило, совмещать свою доходную деятельность с серьезным изучением искусства. Поэтому одна и та же картина, выставленная на Арбате или на престижной выставке, имеет совершенно разную цену: в первом случае это товар без сертификата качества, во втором допуск на престижную выставку является для дилетантов знаком качества. Такая же ситуация с книгами, изданными в столичном или провинциальном издательстве. Столица для дилетантов выступает как позитивная референтная группа, а провинция - как негативная. Лишь эксперт не нуждается в чужом заключении для выбора товара. Однако эксперт - это всегда узкий специалист, и за пределами своей узкой сферы компетенции он дилетант. 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 xml:space="preserve">Референтная группа самоидентификации - это группа, к которой индивид принадлежит и находится под прессом ее норм и ценностей. Он, возможно, и хотел бы избежать этого принуждения, но, как гласит поговорка, "с волками жить - по-волчьи выть". Группа прямо или косвенно вынуждает его придерживаться такого стиля поведения, в том числе и потребления, который рассматривается как "подобающий" для члена данной группы, и избегать такого стиля, который считается в ней "неприличным", "странным". 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Ценностная референтная группа - это реальная или мнимая группа людей, которые рассматриваются данным индивидом как яркие носители, выразители тех ценностей, которые разделяет и он. Поскольку же эта группа не просто втайне сочувствует этим ценностям, а активно их исповедует через свой стиль жизни и гораздо дальше него продвинулась по пути реализации этих ценностей, то индивид подражает этой группе, стремится следовать принятому в ней стилю поведения. Он не является членом данной группы, находится порою очень далеко от нее как в физическом, так и в социальном пространстве. Чаще всего в роли такой эталонной группы выступают "звезды" спорта, кино, поп-музыки и герои, выдающиеся деятели той сферы, к которой тяготеет данный индивид.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 xml:space="preserve">(4) Утилитарная референтная группа - это группа, которая располагает арсеналом позитивных и негативных санкций, то есть способна как наградить, так и наказать индивида. В таком качестве могут выступать самые разные реальные социальные и мнимые группы. 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Например, служащий учреждения одевается так, как нравится начальнику, дабы не раздражать его и не создавать препятствий для собственной карьеры. Перед работой, наступая на горло собственной песне, он не пьет водку и не ест чеснок, даже если очень хочется, поскольку знает, что во власти начальника уволить его за такие особенности стиля потребления. Юноша подбирает такой стиль поведения, который вызывает симпатию если не у всех, то у избранной части девушек или даже одной, но самой лучшей. Девушки в данном случае выступают как утилитарная референтная группа, располагающая таким арсеналом позитивных и негативных санкций, как явные и скрытые проявления симпатии, любви, антипатии, презрения.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Особенно сильно влияние референтной группы сказывается на поведении значительной части девушек и женщин. Именно среди них особенно заметна готовность идти на самые большие жертвы, неудобства ради того, чтобы вызвать восторг или просто внимание той части мужчин, которые являются референтной группой, или зависть, одобрение у других женщин, выступающих в качестве второй референтной группы.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Так, давно медиками доказано, что высокие каблуки оказывают вредное воздействие на здоровье женщин. Однако вновь и вновь мода на них возвращается, и миллионы одевают эту красивую, но неудобную обувь. Для чего? Как объяснил король лондонской обувной моды Маноло Бланик, "высокие каблуки возвышают женщину, делают ее сильной для того, чтобы сводить с ума мужчин и завоевывать мир" (Маслов 6.11.97). Таким образом, ключ к пониманию женского потребительского поведения нередко лежит во вкусах мужчин.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Данный механизм группового влияния обычно проявляется при наличии ряда условий. (1) Чаще всего этот тип референтной группы оказывает влияние при совершении действий, видимых окружающим или ведущих к результатам, которые не могут быть не замечены окружающими (например, покупка верхней одежды). (2) Индивид чувствует, что окружающие имеют в своем распоряжении позитивные или негативные санкции по отношению к нему (одобрение - насмешка и т.п.). (3) Индивид мотивирован бороться за получение вознаграждения группы и уход от наказания с ее стороны (например, стремится сделать карьеру или завоевать симпатию противоположного пола) (Loudon and Bitta: 277).</w:t>
      </w:r>
    </w:p>
    <w:p w:rsidR="0079400A" w:rsidRPr="00174279" w:rsidRDefault="0079400A" w:rsidP="0079400A">
      <w:pPr>
        <w:spacing w:before="120"/>
        <w:jc w:val="center"/>
        <w:rPr>
          <w:b/>
          <w:bCs/>
          <w:sz w:val="28"/>
          <w:szCs w:val="28"/>
        </w:rPr>
      </w:pPr>
      <w:bookmarkStart w:id="2" w:name="3._ГРУППИРОВКА_ТОВАРОВ_ПО_СТЕПЕНИ_ВЛИЯНИ"/>
      <w:bookmarkEnd w:id="2"/>
      <w:r w:rsidRPr="00174279">
        <w:rPr>
          <w:b/>
          <w:bCs/>
          <w:sz w:val="28"/>
          <w:szCs w:val="28"/>
        </w:rPr>
        <w:t>Группировка товаров по степени влияния референтных групп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 xml:space="preserve">При совершении различных покупок индивид испытывает разное по силе давление референтных групп. Так, покупая пищу, одежду и другие товары первой необходимости в условиях острой нужды, люди не оглядываются на свою референтную группу: голод и холод диктуют эти покупки. Однако при наличии выбора конкретного вида товара первой необходимости индивид уже находится под влиянием своей референтной группы. 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 xml:space="preserve">Многие продукты несут отпечаток престижности: разного рода деликатесы, дорогие спиртные напитки. В каждой группе свои нормы сервировки стола: хочешь считаться своим - сервируй стол не ниже принятых в этой группе стандартов (влияние группы самоидентификации). Если для хозяев ценностные референтные группы на Западе, то на столе превалируют импортные продукты специфически западного типа ("Кока-кола", маринованная кукуруза, специфические приправы и т.п.). Если же хозяева ориентируются на нравы русской старины, то тут упор будет на отечественные, простые продукты, национальную кухню. Аналогичным образом и марка одежды связана с избранной референтной группой. В то же время предметы первой необходимости, которые не подлежат показу посторонним, выбираются при минимальном воздействии референтных групп. </w:t>
      </w:r>
    </w:p>
    <w:p w:rsidR="0079400A" w:rsidRDefault="0079400A" w:rsidP="0079400A">
      <w:pPr>
        <w:spacing w:before="120"/>
        <w:ind w:firstLine="567"/>
        <w:jc w:val="both"/>
      </w:pPr>
      <w:r w:rsidRPr="001B245C">
        <w:t>При покупке предметов, считающихся в данной стране роскошью, влияние рефрентной группы сильно по всем направлениям.</w:t>
      </w:r>
      <w: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008"/>
        <w:gridCol w:w="3319"/>
        <w:gridCol w:w="4611"/>
      </w:tblGrid>
      <w:tr w:rsidR="0079400A" w:rsidRPr="001B245C" w:rsidTr="00A676C2">
        <w:trPr>
          <w:trHeight w:val="300"/>
          <w:tblCellSpacing w:w="0" w:type="dxa"/>
          <w:jc w:val="center"/>
        </w:trPr>
        <w:tc>
          <w:tcPr>
            <w:tcW w:w="101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9400A" w:rsidRPr="001B245C" w:rsidRDefault="0079400A" w:rsidP="00A676C2">
            <w:pPr>
              <w:jc w:val="both"/>
            </w:pPr>
          </w:p>
        </w:tc>
        <w:tc>
          <w:tcPr>
            <w:tcW w:w="167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9400A" w:rsidRPr="001B245C" w:rsidRDefault="0079400A" w:rsidP="00A676C2">
            <w:pPr>
              <w:jc w:val="both"/>
            </w:pPr>
            <w:r w:rsidRPr="001B245C">
              <w:t>Предметы первой необходимости</w:t>
            </w:r>
          </w:p>
        </w:tc>
        <w:tc>
          <w:tcPr>
            <w:tcW w:w="232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9400A" w:rsidRPr="001B245C" w:rsidRDefault="0079400A" w:rsidP="00A676C2">
            <w:pPr>
              <w:jc w:val="both"/>
            </w:pPr>
            <w:r w:rsidRPr="001B245C">
              <w:t>Предметы роскоши</w:t>
            </w:r>
          </w:p>
        </w:tc>
      </w:tr>
      <w:tr w:rsidR="0079400A" w:rsidRPr="001B245C" w:rsidTr="00A676C2">
        <w:trPr>
          <w:trHeight w:val="300"/>
          <w:tblCellSpacing w:w="0" w:type="dxa"/>
          <w:jc w:val="center"/>
        </w:trPr>
        <w:tc>
          <w:tcPr>
            <w:tcW w:w="101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9400A" w:rsidRPr="001B245C" w:rsidRDefault="0079400A" w:rsidP="00A676C2">
            <w:pPr>
              <w:jc w:val="both"/>
            </w:pPr>
            <w:r w:rsidRPr="001B245C">
              <w:t>Публичное потребление</w:t>
            </w:r>
          </w:p>
        </w:tc>
        <w:tc>
          <w:tcPr>
            <w:tcW w:w="167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9400A" w:rsidRPr="001B245C" w:rsidRDefault="0079400A" w:rsidP="00A676C2">
            <w:pPr>
              <w:jc w:val="both"/>
            </w:pPr>
            <w:r w:rsidRPr="001B245C">
              <w:t xml:space="preserve">Предметы первой необходимости публичного потребления </w:t>
            </w:r>
          </w:p>
          <w:p w:rsidR="0079400A" w:rsidRPr="001B245C" w:rsidRDefault="0079400A" w:rsidP="00A676C2">
            <w:pPr>
              <w:jc w:val="both"/>
            </w:pPr>
            <w:r w:rsidRPr="001B245C">
              <w:t>Влияние РФ</w:t>
            </w:r>
          </w:p>
          <w:p w:rsidR="0079400A" w:rsidRPr="001B245C" w:rsidRDefault="0079400A" w:rsidP="00A676C2">
            <w:pPr>
              <w:jc w:val="both"/>
            </w:pPr>
            <w:r w:rsidRPr="001B245C">
              <w:t>1) На тип продукта - слабое (потребляют почти все).</w:t>
            </w:r>
          </w:p>
          <w:p w:rsidR="0079400A" w:rsidRPr="001B245C" w:rsidRDefault="0079400A" w:rsidP="00A676C2">
            <w:pPr>
              <w:jc w:val="both"/>
            </w:pPr>
            <w:r w:rsidRPr="001B245C">
              <w:t>2) На торговую марку - сильное (марка - символ престижа).</w:t>
            </w:r>
          </w:p>
          <w:p w:rsidR="0079400A" w:rsidRPr="001B245C" w:rsidRDefault="0079400A" w:rsidP="00A676C2">
            <w:pPr>
              <w:jc w:val="both"/>
            </w:pPr>
            <w:r w:rsidRPr="001B245C">
              <w:t>Примеры: ручные часы, костюм.</w:t>
            </w:r>
          </w:p>
        </w:tc>
        <w:tc>
          <w:tcPr>
            <w:tcW w:w="232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9400A" w:rsidRPr="001B245C" w:rsidRDefault="0079400A" w:rsidP="00A676C2">
            <w:pPr>
              <w:jc w:val="both"/>
            </w:pPr>
            <w:r w:rsidRPr="001B245C">
              <w:t>Предметы роскоши публичного потребления.</w:t>
            </w:r>
          </w:p>
          <w:p w:rsidR="0079400A" w:rsidRPr="001B245C" w:rsidRDefault="0079400A" w:rsidP="00A676C2">
            <w:pPr>
              <w:jc w:val="both"/>
            </w:pPr>
            <w:r w:rsidRPr="001B245C">
              <w:t>Влияние РФ</w:t>
            </w:r>
          </w:p>
          <w:p w:rsidR="0079400A" w:rsidRPr="001B245C" w:rsidRDefault="0079400A" w:rsidP="00A676C2">
            <w:pPr>
              <w:jc w:val="both"/>
            </w:pPr>
            <w:r w:rsidRPr="001B245C">
              <w:t>1) На тип продукта - сильное (сам продукт является символом).</w:t>
            </w:r>
          </w:p>
          <w:p w:rsidR="0079400A" w:rsidRPr="001B245C" w:rsidRDefault="0079400A" w:rsidP="00A676C2">
            <w:pPr>
              <w:jc w:val="both"/>
            </w:pPr>
            <w:r w:rsidRPr="001B245C">
              <w:t>2) На торговую марку - сильное.</w:t>
            </w:r>
          </w:p>
          <w:p w:rsidR="0079400A" w:rsidRPr="001B245C" w:rsidRDefault="0079400A" w:rsidP="00A676C2">
            <w:pPr>
              <w:jc w:val="both"/>
            </w:pPr>
            <w:r w:rsidRPr="001B245C">
              <w:t>Примеры: автомобили высокого класса, заграничные курорты, драгоценные украшения.</w:t>
            </w:r>
          </w:p>
        </w:tc>
      </w:tr>
      <w:tr w:rsidR="0079400A" w:rsidRPr="001B245C" w:rsidTr="00A676C2">
        <w:trPr>
          <w:trHeight w:val="300"/>
          <w:tblCellSpacing w:w="0" w:type="dxa"/>
          <w:jc w:val="center"/>
        </w:trPr>
        <w:tc>
          <w:tcPr>
            <w:tcW w:w="101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9400A" w:rsidRPr="001B245C" w:rsidRDefault="0079400A" w:rsidP="00A676C2">
            <w:pPr>
              <w:jc w:val="both"/>
            </w:pPr>
            <w:r w:rsidRPr="001B245C">
              <w:t>Приватное потребление</w:t>
            </w:r>
          </w:p>
        </w:tc>
        <w:tc>
          <w:tcPr>
            <w:tcW w:w="167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:rsidR="0079400A" w:rsidRPr="001B245C" w:rsidRDefault="0079400A" w:rsidP="00A676C2">
            <w:pPr>
              <w:jc w:val="both"/>
            </w:pPr>
            <w:r w:rsidRPr="001B245C">
              <w:t>Предметы первой необходимости приватного пользования.</w:t>
            </w:r>
          </w:p>
          <w:p w:rsidR="0079400A" w:rsidRPr="001B245C" w:rsidRDefault="0079400A" w:rsidP="00A676C2">
            <w:pPr>
              <w:jc w:val="both"/>
            </w:pPr>
            <w:r w:rsidRPr="001B245C">
              <w:t>Влияние РФ</w:t>
            </w:r>
          </w:p>
          <w:p w:rsidR="0079400A" w:rsidRPr="001B245C" w:rsidRDefault="0079400A" w:rsidP="00A676C2">
            <w:pPr>
              <w:jc w:val="both"/>
            </w:pPr>
            <w:r w:rsidRPr="001B245C">
              <w:t>1) На тип продукта - слабое.</w:t>
            </w:r>
          </w:p>
          <w:p w:rsidR="0079400A" w:rsidRPr="001B245C" w:rsidRDefault="0079400A" w:rsidP="00A676C2">
            <w:pPr>
              <w:jc w:val="both"/>
            </w:pPr>
            <w:r w:rsidRPr="001B245C">
              <w:t>2) На торговую марку - слабое.</w:t>
            </w:r>
          </w:p>
          <w:p w:rsidR="0079400A" w:rsidRPr="001B245C" w:rsidRDefault="0079400A" w:rsidP="00A676C2">
            <w:pPr>
              <w:jc w:val="both"/>
            </w:pPr>
            <w:r w:rsidRPr="001B245C">
              <w:t>Примеры: матрас, постельное белье, нательное белье и т.п.</w:t>
            </w:r>
          </w:p>
        </w:tc>
        <w:tc>
          <w:tcPr>
            <w:tcW w:w="232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  <w:vAlign w:val="center"/>
          </w:tcPr>
          <w:p w:rsidR="0079400A" w:rsidRPr="001B245C" w:rsidRDefault="0079400A" w:rsidP="00A676C2">
            <w:pPr>
              <w:jc w:val="both"/>
            </w:pPr>
            <w:r w:rsidRPr="001B245C">
              <w:t>Предметы роскоши приватного потребления.</w:t>
            </w:r>
          </w:p>
          <w:p w:rsidR="0079400A" w:rsidRPr="001B245C" w:rsidRDefault="0079400A" w:rsidP="00A676C2">
            <w:pPr>
              <w:jc w:val="both"/>
            </w:pPr>
            <w:r w:rsidRPr="001B245C">
              <w:t>Влияние РФ</w:t>
            </w:r>
          </w:p>
          <w:p w:rsidR="0079400A" w:rsidRPr="001B245C" w:rsidRDefault="0079400A" w:rsidP="00A676C2">
            <w:pPr>
              <w:jc w:val="both"/>
            </w:pPr>
            <w:r w:rsidRPr="001B245C">
              <w:t>1) На тип продукта - сильное.</w:t>
            </w:r>
          </w:p>
          <w:p w:rsidR="0079400A" w:rsidRPr="001B245C" w:rsidRDefault="0079400A" w:rsidP="00A676C2">
            <w:pPr>
              <w:jc w:val="both"/>
            </w:pPr>
            <w:r w:rsidRPr="001B245C">
              <w:t>2) На торговую марку - слабое.</w:t>
            </w:r>
          </w:p>
          <w:p w:rsidR="0079400A" w:rsidRPr="001B245C" w:rsidRDefault="0079400A" w:rsidP="00A676C2">
            <w:pPr>
              <w:jc w:val="both"/>
            </w:pPr>
            <w:r w:rsidRPr="001B245C">
              <w:t>Примеры: компьютерные игры, кухонный комбайн, электрический нож.</w:t>
            </w:r>
          </w:p>
        </w:tc>
      </w:tr>
    </w:tbl>
    <w:p w:rsidR="0079400A" w:rsidRPr="001B245C" w:rsidRDefault="0079400A" w:rsidP="0079400A">
      <w:pPr>
        <w:spacing w:before="120"/>
        <w:ind w:firstLine="567"/>
        <w:jc w:val="both"/>
      </w:pPr>
      <w:r w:rsidRPr="001B245C">
        <w:t>(Olson: 511).</w:t>
      </w:r>
    </w:p>
    <w:p w:rsidR="0079400A" w:rsidRPr="00174279" w:rsidRDefault="0079400A" w:rsidP="0079400A">
      <w:pPr>
        <w:spacing w:before="120"/>
        <w:jc w:val="center"/>
        <w:rPr>
          <w:b/>
          <w:bCs/>
          <w:sz w:val="28"/>
          <w:szCs w:val="28"/>
        </w:rPr>
      </w:pPr>
      <w:r w:rsidRPr="00174279">
        <w:rPr>
          <w:b/>
          <w:bCs/>
          <w:sz w:val="28"/>
          <w:szCs w:val="28"/>
        </w:rPr>
        <w:t>Список литературы</w:t>
      </w:r>
    </w:p>
    <w:p w:rsidR="0079400A" w:rsidRPr="001B245C" w:rsidRDefault="0079400A" w:rsidP="0079400A">
      <w:pPr>
        <w:spacing w:before="120"/>
        <w:ind w:firstLine="567"/>
        <w:jc w:val="both"/>
      </w:pPr>
      <w:r w:rsidRPr="001B245C">
        <w:t>Ионин Л.Г. Социология культуры. М., 1996.</w:t>
      </w:r>
    </w:p>
    <w:p w:rsidR="0079400A" w:rsidRPr="0079400A" w:rsidRDefault="0079400A" w:rsidP="0079400A">
      <w:pPr>
        <w:spacing w:before="120"/>
        <w:ind w:firstLine="567"/>
        <w:jc w:val="both"/>
        <w:rPr>
          <w:lang w:val="en-US"/>
        </w:rPr>
      </w:pPr>
      <w:r w:rsidRPr="001B245C">
        <w:t xml:space="preserve">Маслов С. Женщины могут повыкаблучиваться // Комсомольская правда. </w:t>
      </w:r>
      <w:r w:rsidRPr="0079400A">
        <w:rPr>
          <w:lang w:val="en-US"/>
        </w:rPr>
        <w:t xml:space="preserve">1997. 6 </w:t>
      </w:r>
      <w:r w:rsidRPr="001B245C">
        <w:t>нояб</w:t>
      </w:r>
      <w:r w:rsidRPr="0079400A">
        <w:rPr>
          <w:lang w:val="en-US"/>
        </w:rPr>
        <w:t xml:space="preserve">. </w:t>
      </w:r>
      <w:r w:rsidRPr="001B245C">
        <w:t>С</w:t>
      </w:r>
      <w:r w:rsidRPr="0079400A">
        <w:rPr>
          <w:lang w:val="en-US"/>
        </w:rPr>
        <w:t>.18.</w:t>
      </w:r>
    </w:p>
    <w:p w:rsidR="0079400A" w:rsidRPr="0079400A" w:rsidRDefault="0079400A" w:rsidP="0079400A">
      <w:pPr>
        <w:spacing w:before="120"/>
        <w:ind w:firstLine="567"/>
        <w:jc w:val="both"/>
        <w:rPr>
          <w:lang w:val="en-US"/>
        </w:rPr>
      </w:pPr>
      <w:r w:rsidRPr="0079400A">
        <w:rPr>
          <w:lang w:val="en-US"/>
        </w:rPr>
        <w:t>Loudon D., Bitta A.J. Della. Consumer Behavior. Concepts and Applications. Third edition. N.Y., 1988.</w:t>
      </w:r>
    </w:p>
    <w:p w:rsidR="0079400A" w:rsidRPr="001B245C" w:rsidRDefault="0079400A" w:rsidP="0079400A">
      <w:pPr>
        <w:spacing w:before="120"/>
        <w:ind w:firstLine="567"/>
        <w:jc w:val="both"/>
      </w:pPr>
      <w:r w:rsidRPr="0079400A">
        <w:rPr>
          <w:lang w:val="en-US"/>
        </w:rPr>
        <w:t xml:space="preserve">Peter J.P., Olson J.C. Consumer Behavior and Marketing Strategy. </w:t>
      </w:r>
      <w:r w:rsidRPr="001B245C">
        <w:t>Third edition. Boston, Homewood, 1993.</w:t>
      </w:r>
    </w:p>
    <w:p w:rsidR="00B42C45" w:rsidRDefault="00B42C45">
      <w:bookmarkStart w:id="3" w:name="_GoBack"/>
      <w:bookmarkEnd w:id="3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00A"/>
    <w:rsid w:val="00174279"/>
    <w:rsid w:val="001B245C"/>
    <w:rsid w:val="00616072"/>
    <w:rsid w:val="0079400A"/>
    <w:rsid w:val="008B35EE"/>
    <w:rsid w:val="00A676C2"/>
    <w:rsid w:val="00B42C45"/>
    <w:rsid w:val="00B47B6A"/>
    <w:rsid w:val="00E46CE7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4C82E1-CE75-4772-A3F4-7AB35185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0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94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9241</Words>
  <Characters>5268</Characters>
  <Application>Microsoft Office Word</Application>
  <DocSecurity>0</DocSecurity>
  <Lines>43</Lines>
  <Paragraphs>28</Paragraphs>
  <ScaleCrop>false</ScaleCrop>
  <Company>Home</Company>
  <LinksUpToDate>false</LinksUpToDate>
  <CharactersWithSpaces>14481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Эталонные (референтные) группы</dc:title>
  <dc:subject/>
  <dc:creator>User</dc:creator>
  <cp:keywords/>
  <dc:description/>
  <cp:lastModifiedBy>admin</cp:lastModifiedBy>
  <cp:revision>2</cp:revision>
  <dcterms:created xsi:type="dcterms:W3CDTF">2014-01-25T11:18:00Z</dcterms:created>
  <dcterms:modified xsi:type="dcterms:W3CDTF">2014-01-25T11:18:00Z</dcterms:modified>
</cp:coreProperties>
</file>