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0E" w:rsidRPr="00D710AC" w:rsidRDefault="00165B18" w:rsidP="00D710AC">
      <w:pPr>
        <w:pStyle w:val="2"/>
        <w:rPr>
          <w:rFonts w:eastAsia="TimesNewRomanPS-BoldMT"/>
        </w:rPr>
      </w:pPr>
      <w:r w:rsidRPr="00D710AC">
        <w:rPr>
          <w:rFonts w:eastAsia="TimesNewRomanPS-BoldMT"/>
        </w:rPr>
        <w:t>Введение</w:t>
      </w:r>
    </w:p>
    <w:p w:rsidR="00D710AC" w:rsidRDefault="00D710AC" w:rsidP="00D710AC">
      <w:pPr>
        <w:rPr>
          <w:rFonts w:eastAsia="TimesNewRomanPSMT"/>
        </w:rPr>
      </w:pP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За последние годы коренным образом изменились внешние и внутренние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экономические и политические условия существования и развития российского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общества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Появились признаки укрепления государства и экономики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официальный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политический дискурс после Ежегодного послания Президента РФ Федеральному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Собранию РФ 2005 г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вернулось понятие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социальной справедливости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как</w:t>
      </w:r>
      <w:r w:rsidR="00AB452A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фундаментальной ценности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 изменением ситуации закономерным стало проявление интереса к теоретико-методологическому обоснованию Приоритетных Национальных проектов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ПНП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как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условию их встраивания в систему политико-правового дискурса, а также обеспечения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их реализации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ПНП 2000-х гг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характеризуют новый этап российской социальной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политики и реализации положений Конституции РФ о социальном государстве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К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началу ХХI 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расхождение между важнейшими нормами международных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национальных нормативных документов, социальными стандартами, с одной стороны,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реальным положением подавляющего большинства населения России, с другой,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достигло огромных масштабов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Серьезно усилилась социальная дифференциация,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достигнув по разным оценкам пропорции 1</w:t>
      </w:r>
      <w:r w:rsidR="00D710AC" w:rsidRPr="00D710AC">
        <w:rPr>
          <w:rFonts w:eastAsia="TimesNewRomanPSMT"/>
        </w:rPr>
        <w:t xml:space="preserve">: </w:t>
      </w:r>
      <w:r w:rsidRPr="00D710AC">
        <w:rPr>
          <w:rFonts w:eastAsia="TimesNewRomanPSMT"/>
        </w:rPr>
        <w:t>20 и более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Потребовались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мобилизационные усилия государства, чтобы переломить негативную тенденцию</w:t>
      </w:r>
      <w:r w:rsidR="00D710AC" w:rsidRPr="00D710AC">
        <w:rPr>
          <w:rFonts w:eastAsia="TimesNewRomanPSMT"/>
        </w:rPr>
        <w:t>.</w:t>
      </w:r>
    </w:p>
    <w:p w:rsidR="00165B18" w:rsidRPr="00D710AC" w:rsidRDefault="00D710AC" w:rsidP="00D710AC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  <w:t xml:space="preserve">1. </w:t>
      </w:r>
      <w:r w:rsidR="00165B18" w:rsidRPr="00D710AC">
        <w:rPr>
          <w:rFonts w:eastAsia="TimesNewRomanPSMT"/>
        </w:rPr>
        <w:t>Концепция Приоритетных Национальных проектов</w:t>
      </w:r>
    </w:p>
    <w:p w:rsidR="00D710AC" w:rsidRDefault="00D710AC" w:rsidP="00D710AC">
      <w:pPr>
        <w:rPr>
          <w:rFonts w:eastAsia="TimesNewRomanPSMT"/>
        </w:rPr>
      </w:pP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При разработке концепции ПНП были правильно выделены приоритеты, а</w:t>
      </w:r>
      <w:r w:rsidR="008A083E" w:rsidRPr="00D710AC">
        <w:rPr>
          <w:rFonts w:eastAsia="TimesNewRomanPSMT"/>
        </w:rPr>
        <w:t xml:space="preserve"> и</w:t>
      </w:r>
      <w:r w:rsidRPr="00D710AC">
        <w:rPr>
          <w:rFonts w:eastAsia="TimesNewRomanPSMT"/>
        </w:rPr>
        <w:t>менно развитие важнейших подсистем и жизненных сфер общества, поставлена задача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обеспечения системности в инвестировании, реализации и контроле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Но особенность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политики в отношении ПНП</w:t>
      </w:r>
      <w:r w:rsidR="00D710AC" w:rsidRPr="00D710AC">
        <w:rPr>
          <w:rFonts w:eastAsia="TimesNewRomanPSMT"/>
        </w:rPr>
        <w:t xml:space="preserve"> - </w:t>
      </w:r>
      <w:r w:rsidRPr="00D710AC">
        <w:rPr>
          <w:rFonts w:eastAsia="TimesNewRomanPSMT"/>
        </w:rPr>
        <w:t>быстрый переход к их осуществлению, даже без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достаточного теоретического и информационного сопровождения, нормативного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оформления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Резко снизилось в новых условиях число научных разработок, связанных с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исследованиями социального государства, социальной политики, социальных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стандартов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данном контексте целесообразно исследовать генезис данной феноменологии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Понятие социального государства в отечественной и зарубежной науке разрабатывалось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 XIX в</w:t>
      </w:r>
      <w:r w:rsidR="00D710AC">
        <w:rPr>
          <w:rFonts w:eastAsia="TimesNewRomanPSMT"/>
        </w:rPr>
        <w:t>.,</w:t>
      </w:r>
      <w:r w:rsidRPr="00D710AC">
        <w:rPr>
          <w:rFonts w:eastAsia="TimesNewRomanPSMT"/>
        </w:rPr>
        <w:t xml:space="preserve"> когда значение социальных функций государства на фоне обостряющихся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классовых противоречий стало очевидным</w:t>
      </w:r>
      <w:r w:rsidR="00D710AC">
        <w:rPr>
          <w:rFonts w:eastAsia="TimesNewRomanPSMT"/>
        </w:rPr>
        <w:t xml:space="preserve">. О. </w:t>
      </w:r>
      <w:r w:rsidRPr="00D710AC">
        <w:rPr>
          <w:rFonts w:eastAsia="TimesNewRomanPSMT"/>
        </w:rPr>
        <w:t>фон Бисмарк тогда призывал европейские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правительства смягчать внутриполитические противоречия в целях консолидации,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чтобы выступить единым Фронтом по отношению к колониальным державам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Германия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стала инициатором социального законодательства и системы социального страхования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К этому времени имелись крупные теоретические исследования германских ученых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Л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фон Штайна, Р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фон Моля и др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Понятие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социальное государство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введено в научный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оборот Л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фон Штайном в 1850 г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определении содержался ряд принципиальных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признаков, расширявших понимание обязанностей государства перед гражданами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Отмечалось, что государство должно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поддерживать абсолютное равенство в правах для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всех различных общественных классов и для отдельной частной самоопределяющейся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личности посредством своей власти,</w:t>
      </w:r>
      <w:r w:rsidR="00D710AC">
        <w:rPr>
          <w:rFonts w:eastAsia="TimesNewRomanPSMT"/>
        </w:rPr>
        <w:t>...</w:t>
      </w:r>
      <w:r w:rsidR="00D710AC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обязано способствовать экономическому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общественному прогрессу всех своих граждан, ибо, в конечном счете, развитие одного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выступает условием развития другого, и именно в этом смысле говорится о социальном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государстве</w:t>
      </w:r>
      <w:r w:rsidR="00D710AC">
        <w:rPr>
          <w:rFonts w:eastAsia="TimesNewRomanPSMT"/>
        </w:rPr>
        <w:t xml:space="preserve">".Р. </w:t>
      </w:r>
      <w:r w:rsidRPr="00D710AC">
        <w:rPr>
          <w:rFonts w:eastAsia="TimesNewRomanPSMT"/>
        </w:rPr>
        <w:t>фон Моль в концепции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полицейского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и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правового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государства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обосновал значение социальной функции государства, исходя из принципов разумности,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соответствия правовым нормам общественного блага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Правда, он не принимал до конца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тезис Л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Фон Штайна о таком критерии как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государственный патернализм</w:t>
      </w:r>
      <w:r w:rsidR="00D710AC">
        <w:rPr>
          <w:rFonts w:eastAsia="TimesNewRomanPSMT"/>
        </w:rPr>
        <w:t xml:space="preserve">", </w:t>
      </w:r>
      <w:r w:rsidRPr="00D710AC">
        <w:rPr>
          <w:rFonts w:eastAsia="TimesNewRomanPSMT"/>
        </w:rPr>
        <w:t>обращенный на всех членов общества независимо от их социальной принадлежности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Тем не менее, трактовку социального государства Л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фон Штайна в дальнейшем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поддержали Ю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Оффнер, Ф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Науманн, 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Вагнер и другие известные ученые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Появление понятия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социальное государство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ознаменовало переосмысление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концепций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полицейского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государства,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государства общественного договора</w:t>
      </w:r>
      <w:r w:rsidR="00D710AC">
        <w:rPr>
          <w:rFonts w:eastAsia="TimesNewRomanPSMT"/>
        </w:rPr>
        <w:t>", "</w:t>
      </w:r>
      <w:r w:rsidRPr="00D710AC">
        <w:rPr>
          <w:rFonts w:eastAsia="TimesNewRomanPSMT"/>
        </w:rPr>
        <w:t>государства</w:t>
      </w:r>
      <w:r w:rsidR="00D710AC" w:rsidRPr="00D710AC">
        <w:rPr>
          <w:rFonts w:eastAsia="TimesNewRomanPSMT"/>
        </w:rPr>
        <w:t xml:space="preserve"> - </w:t>
      </w:r>
      <w:r w:rsidRPr="00D710AC">
        <w:rPr>
          <w:rFonts w:eastAsia="TimesNewRomanPSMT"/>
        </w:rPr>
        <w:t>высшей формы власти</w:t>
      </w:r>
      <w:r w:rsidR="00D710AC">
        <w:rPr>
          <w:rFonts w:eastAsia="TimesNewRomanPSMT"/>
        </w:rPr>
        <w:t xml:space="preserve">". </w:t>
      </w:r>
      <w:r w:rsidRPr="00D710AC">
        <w:rPr>
          <w:rFonts w:eastAsia="TimesNewRomanPSMT"/>
        </w:rPr>
        <w:t>Устанавливалась концепция государства,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принимающего на себя ответственность за благосостояние граждан, создающего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эгалитарные системы социального обеспечения и социальной защиты, ответственного за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бюджетное финансирование социальных программ, за государственное и социальное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страхование, доминирующее, по объему социальных функций среди других субъектов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социальной политики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Данные идеи социального государства получили развитие уже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XX 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Многие страны принимали социальные законы и инкорпорировали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политическую сферу принципы социального и медицинского страхования, пенсионного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обеспечения, помощи безработным, семье, страхования от несчастных случаев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Австрия,</w:t>
      </w:r>
      <w:r w:rsidR="008A083E" w:rsidRPr="00D710AC">
        <w:rPr>
          <w:rFonts w:eastAsia="TimesNewRomanPSMT"/>
        </w:rPr>
        <w:t xml:space="preserve"> Ав</w:t>
      </w:r>
      <w:r w:rsidRPr="00D710AC">
        <w:rPr>
          <w:rFonts w:eastAsia="TimesNewRomanPSMT"/>
        </w:rPr>
        <w:t>стралия, Дания, Канада, Италия, Новая Зеландия, Норвегия, Франция, Швеция</w:t>
      </w:r>
      <w:r w:rsidR="00D710AC" w:rsidRPr="00D710AC">
        <w:rPr>
          <w:rFonts w:eastAsia="TimesNewRomanPSMT"/>
        </w:rPr>
        <w:t xml:space="preserve">). </w:t>
      </w:r>
      <w:r w:rsidRPr="00D710AC">
        <w:rPr>
          <w:rFonts w:eastAsia="TimesNewRomanPSMT"/>
        </w:rPr>
        <w:t>В 1930 г</w:t>
      </w:r>
      <w:r w:rsidR="00D710AC">
        <w:rPr>
          <w:rFonts w:eastAsia="TimesNewRomanPSMT"/>
        </w:rPr>
        <w:t xml:space="preserve">.Г. </w:t>
      </w:r>
      <w:r w:rsidRPr="00D710AC">
        <w:rPr>
          <w:rFonts w:eastAsia="TimesNewRomanPSMT"/>
        </w:rPr>
        <w:t>Геллер ввел понятие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социальное правовое государство</w:t>
      </w:r>
      <w:r w:rsidR="00D710AC">
        <w:rPr>
          <w:rFonts w:eastAsia="TimesNewRomanPSMT"/>
        </w:rPr>
        <w:t xml:space="preserve">", </w:t>
      </w:r>
      <w:r w:rsidRPr="00D710AC">
        <w:rPr>
          <w:rFonts w:eastAsia="TimesNewRomanPSMT"/>
        </w:rPr>
        <w:t>которое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акцентировало право гражданина на социальных гарантиях со стороны государства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Констатация правовой природы социального государства нормативно закрепляла за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государством его социальные функции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Последние не просто приобрели правовые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основания, но стали основополагающими для государства, трансформируя, в свою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очередь, его правовую базу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Личные права человека стали рассматриваться в контексте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эволюции взаимодействия человека и государства через социальные права и социальные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обязанности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Социальные функции стали неотъемлемой частью функциональной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структуры современного государства и права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Социальное законодательство стало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оказывать влияние на содержание всей правовой системы европейских государств</w:t>
      </w:r>
      <w:r w:rsidR="00D710AC" w:rsidRPr="00D710AC">
        <w:rPr>
          <w:rFonts w:eastAsia="TimesNewRomanPSMT"/>
        </w:rPr>
        <w:t>.</w:t>
      </w:r>
    </w:p>
    <w:p w:rsidR="00D710AC" w:rsidRDefault="00D710AC" w:rsidP="00D710AC">
      <w:pPr>
        <w:rPr>
          <w:rFonts w:eastAsia="TimesNewRomanPSMT"/>
        </w:rPr>
      </w:pPr>
    </w:p>
    <w:p w:rsidR="008A083E" w:rsidRPr="00D710AC" w:rsidRDefault="00D710AC" w:rsidP="00D710AC">
      <w:pPr>
        <w:pStyle w:val="2"/>
        <w:rPr>
          <w:rFonts w:eastAsia="TimesNewRomanPSMT"/>
        </w:rPr>
      </w:pPr>
      <w:r>
        <w:rPr>
          <w:rFonts w:eastAsia="TimesNewRomanPSMT"/>
        </w:rPr>
        <w:t xml:space="preserve">2. </w:t>
      </w:r>
      <w:r w:rsidR="008A083E" w:rsidRPr="00D710AC">
        <w:rPr>
          <w:rFonts w:eastAsia="TimesNewRomanPSMT"/>
        </w:rPr>
        <w:t>Сущность и значение Европейской социальной хартии</w:t>
      </w:r>
    </w:p>
    <w:p w:rsidR="00D710AC" w:rsidRDefault="00D710AC" w:rsidP="00D710AC">
      <w:pPr>
        <w:rPr>
          <w:rFonts w:eastAsia="TimesNewRomanPSMT"/>
        </w:rPr>
      </w:pP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 xml:space="preserve">Принятие </w:t>
      </w:r>
      <w:r w:rsidRPr="00D710AC">
        <w:rPr>
          <w:rFonts w:eastAsia="TimesNewRomanPS-BoldMT"/>
        </w:rPr>
        <w:t xml:space="preserve">Европейской Социальной хартии в </w:t>
      </w:r>
      <w:r w:rsidRPr="00D710AC">
        <w:rPr>
          <w:rFonts w:eastAsia="TimesNewRomanPSMT"/>
        </w:rPr>
        <w:t>1961 г</w:t>
      </w:r>
      <w:r w:rsidR="00D710AC" w:rsidRPr="00D710AC">
        <w:rPr>
          <w:rFonts w:eastAsia="TimesNewRomanPSMT"/>
        </w:rPr>
        <w:t>.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и ее новых редакций в 1996 и 2003</w:t>
      </w:r>
      <w:r w:rsidR="008A083E" w:rsidRPr="00D710AC">
        <w:rPr>
          <w:rFonts w:eastAsia="TimesNewRomanPSMT"/>
        </w:rPr>
        <w:t xml:space="preserve"> </w:t>
      </w:r>
      <w:r w:rsidR="00D710AC">
        <w:rPr>
          <w:rFonts w:eastAsia="TimesNewRomanPSMT"/>
        </w:rPr>
        <w:t>гг.)</w:t>
      </w:r>
      <w:r w:rsidR="00D710AC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 принятие к рассмотрению дел о социальных правах в Европейском суде по правам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человека дало возможность внедрения социальных стандартов в разных странах,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комплексной разработки проблематики социального и правового государства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Определение социального государства, как правового, явилось принципиальным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для осмысления нового социального качества государства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Важнейшим этапом стало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внедрение принципа социальной солидарности через признание возможности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ограничения свободы во имя помощи и поддержки тех членов общества, которые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неспособны конкурировать в силу определенных субъективных качеств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инвалидности,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 xml:space="preserve">заболевание и </w:t>
      </w:r>
      <w:r w:rsidR="00D710AC">
        <w:rPr>
          <w:rFonts w:eastAsia="TimesNewRomanPSMT"/>
        </w:rPr>
        <w:t>др.)</w:t>
      </w:r>
      <w:r w:rsidR="00D710AC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или жизненной ситуации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стихийного бедствия, безработицы,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 xml:space="preserve">военных конфликтов и </w:t>
      </w:r>
      <w:r w:rsidR="00D710AC">
        <w:rPr>
          <w:rFonts w:eastAsia="TimesNewRomanPSMT"/>
        </w:rPr>
        <w:t>т.п.)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Закрепление в Конституции РФ понятия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социальное государство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сделало более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заметным расхождение фактического и юридического аспектов нормативно-правовой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базы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настоящее время Приоритетные Национальные проекты являются тем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мостиком</w:t>
      </w:r>
      <w:r w:rsidR="00D710AC">
        <w:rPr>
          <w:rFonts w:eastAsia="TimesNewRomanPSMT"/>
        </w:rPr>
        <w:t xml:space="preserve">", </w:t>
      </w:r>
      <w:r w:rsidRPr="00D710AC">
        <w:rPr>
          <w:rFonts w:eastAsia="TimesNewRomanPSMT"/>
        </w:rPr>
        <w:t>который позволяет преодолеть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пропасть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образовавшуюся в 1990-е годы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ХХ века между европейским уровнем социальной сферы и социальной ответственности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государства и состоянием российского здравоохранения и социального обеспечения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Россия подписала европейскую социальную хартию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Озабоченность Правительства РФ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процессом ратификации Европейской социальной хартии связана именно с осознанием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такой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пропасти</w:t>
      </w:r>
      <w:r w:rsidR="00D710AC">
        <w:rPr>
          <w:rFonts w:eastAsia="TimesNewRomanPSMT"/>
        </w:rPr>
        <w:t xml:space="preserve">", </w:t>
      </w:r>
      <w:r w:rsidRPr="00D710AC">
        <w:rPr>
          <w:rFonts w:eastAsia="TimesNewRomanPSMT"/>
        </w:rPr>
        <w:t>величиной расходов на ее преодоление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Ратифицировать этот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документ</w:t>
      </w:r>
      <w:r w:rsidR="00D710AC" w:rsidRPr="00D710AC">
        <w:rPr>
          <w:rFonts w:eastAsia="TimesNewRomanPSMT"/>
        </w:rPr>
        <w:t xml:space="preserve"> - </w:t>
      </w:r>
      <w:r w:rsidRPr="00D710AC">
        <w:rPr>
          <w:rFonts w:eastAsia="TimesNewRomanPSMT"/>
        </w:rPr>
        <w:t>значит признать обязательными на территории Российской Федерации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требования части её статей, поскольку вторая часть Хартии носит юридически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обязывающий характер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Чтобы</w:t>
      </w:r>
      <w:r w:rsidR="00165B18" w:rsidRPr="00D710AC">
        <w:rPr>
          <w:rFonts w:eastAsia="TimesNewRomanPSMT"/>
        </w:rPr>
        <w:t xml:space="preserve"> </w:t>
      </w:r>
      <w:r w:rsidRPr="00D710AC">
        <w:rPr>
          <w:rFonts w:eastAsia="TimesNewRomanPS-BoldMT"/>
        </w:rPr>
        <w:t>стать Стороной хартии</w:t>
      </w:r>
      <w:r w:rsidRPr="00D710AC">
        <w:rPr>
          <w:rFonts w:eastAsia="TimesNewRomanPSMT"/>
        </w:rPr>
        <w:t>, государству необходимо принять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на себя все обязательства, либо принять в полном объеме обязательства в отношении 6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из 9 конкретно указанных в хартии статей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Это статьи 1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 труд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</w:t>
      </w:r>
      <w:r w:rsidR="00D710AC">
        <w:rPr>
          <w:rFonts w:eastAsia="TimesNewRomanPSMT"/>
        </w:rPr>
        <w:t>.5 (</w:t>
      </w:r>
      <w:r w:rsidRPr="00D710AC">
        <w:rPr>
          <w:rFonts w:eastAsia="TimesNewRomanPSMT"/>
        </w:rPr>
        <w:t>право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объединения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</w:t>
      </w:r>
      <w:r w:rsidR="00D710AC">
        <w:rPr>
          <w:rFonts w:eastAsia="TimesNewRomanPSMT"/>
        </w:rPr>
        <w:t>.6 (</w:t>
      </w:r>
      <w:r w:rsidRPr="00D710AC">
        <w:rPr>
          <w:rFonts w:eastAsia="TimesNewRomanPSMT"/>
        </w:rPr>
        <w:t>право на заключение коллективных договоров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</w:t>
      </w:r>
      <w:r w:rsidR="00D710AC">
        <w:rPr>
          <w:rFonts w:eastAsia="TimesNewRomanPSMT"/>
        </w:rPr>
        <w:t>.7 (</w:t>
      </w:r>
      <w:r w:rsidRPr="00D710AC">
        <w:rPr>
          <w:rFonts w:eastAsia="TimesNewRomanPSMT"/>
        </w:rPr>
        <w:t>право детей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молодежи на защиту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</w:t>
      </w:r>
      <w:r w:rsidR="00D710AC">
        <w:rPr>
          <w:rFonts w:eastAsia="TimesNewRomanPSMT"/>
        </w:rPr>
        <w:t>.1</w:t>
      </w:r>
      <w:r w:rsidRPr="00D710AC">
        <w:rPr>
          <w:rFonts w:eastAsia="TimesNewRomanPSMT"/>
        </w:rPr>
        <w:t>2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 социальное обеспечение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</w:t>
      </w:r>
      <w:r w:rsidR="00D710AC">
        <w:rPr>
          <w:rFonts w:eastAsia="TimesNewRomanPSMT"/>
        </w:rPr>
        <w:t>.1</w:t>
      </w:r>
      <w:r w:rsidRPr="00D710AC">
        <w:rPr>
          <w:rFonts w:eastAsia="TimesNewRomanPSMT"/>
        </w:rPr>
        <w:t>3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социальную и медицинскую помощь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</w:t>
      </w:r>
      <w:r w:rsidR="00D710AC">
        <w:rPr>
          <w:rFonts w:eastAsia="TimesNewRomanPSMT"/>
        </w:rPr>
        <w:t>.1</w:t>
      </w:r>
      <w:r w:rsidRPr="00D710AC">
        <w:rPr>
          <w:rFonts w:eastAsia="TimesNewRomanPSMT"/>
        </w:rPr>
        <w:t>6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семьи на социальную, правовую и</w:t>
      </w:r>
      <w:r w:rsidR="00AB452A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экономическую защиту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</w:t>
      </w:r>
      <w:r w:rsidR="00D710AC">
        <w:rPr>
          <w:rFonts w:eastAsia="TimesNewRomanPSMT"/>
        </w:rPr>
        <w:t>. 19 (</w:t>
      </w:r>
      <w:r w:rsidRPr="00D710AC">
        <w:rPr>
          <w:rFonts w:eastAsia="TimesNewRomanPSMT"/>
        </w:rPr>
        <w:t>право трудящихся-мигрантов и их семей на защиту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помощь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статья 20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 равные возможности и равное отражение в занятости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выборе рода занятий без дискриминации по признаку пола</w:t>
      </w:r>
      <w:r w:rsidR="00D710AC" w:rsidRPr="00D710AC">
        <w:rPr>
          <w:rFonts w:eastAsia="TimesNewRomanPSMT"/>
        </w:rPr>
        <w:t>).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Согласно действующей Конституции, Россия</w:t>
      </w:r>
      <w:r w:rsidR="00D710AC" w:rsidRPr="00D710AC">
        <w:rPr>
          <w:rFonts w:eastAsia="TimesNewRomanPSMT"/>
        </w:rPr>
        <w:t xml:space="preserve"> - </w:t>
      </w:r>
      <w:r w:rsidRPr="00D710AC">
        <w:rPr>
          <w:rFonts w:eastAsia="TimesNewRomanPSMT"/>
        </w:rPr>
        <w:t>социальное государство,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политика которого направлена на создание условий, обеспечивающих достойную жизнь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 свободное развитие человека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Следовательно, ратификация Европейской социальной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хартии со стороны России будет являться закономерным шагом на пути реализации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конституционных положений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Часть универсальных обязательств, накладываемых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Хартией, уже выполняется в России, хотя и далеко не в полном объеме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ст</w:t>
      </w:r>
      <w:r w:rsidR="00D710AC">
        <w:rPr>
          <w:rFonts w:eastAsia="TimesNewRomanPSMT"/>
        </w:rPr>
        <w:t>.5</w:t>
      </w:r>
      <w:r w:rsidRPr="00D710AC">
        <w:rPr>
          <w:rFonts w:eastAsia="TimesNewRomanPSMT"/>
        </w:rPr>
        <w:t>, 12, 13, 16</w:t>
      </w:r>
      <w:r w:rsidR="00D710AC" w:rsidRPr="00D710AC">
        <w:rPr>
          <w:rFonts w:eastAsia="TimesNewRomanPSMT"/>
        </w:rPr>
        <w:t>).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Выполнение Россией положений европейской Хартии допустимо рассматривать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соответствии с экономическими возможностями государства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На данном этапе Россия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отличие от Франции и Германии не сможет ратифицировать хартию в полном объеме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Однако, как показывает анализ статей данного документа, Россия имеет экономические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 правовые предпосылки для принятия некоторых обязательств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Можно начать с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минимального уровня, последовательно продвигаясь к максимальным возможностям,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заложенным в Хартии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Приоритетные Национальные проекты направлены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продвижение в сторону реального наполнения значения понятия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социальное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государство</w:t>
      </w:r>
      <w:r w:rsidR="00D710AC">
        <w:rPr>
          <w:rFonts w:eastAsia="TimesNewRomanPSMT"/>
        </w:rPr>
        <w:t>".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Конечно, на первых порах государство не обладает возможностями реализации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требования многих статей Хартии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Сложная обстановка сложилась в области прав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работников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Например, возникли трудности с выполнением требований ст</w:t>
      </w:r>
      <w:r w:rsidR="00D710AC">
        <w:rPr>
          <w:rFonts w:eastAsia="TimesNewRomanPSMT"/>
        </w:rPr>
        <w:t>.2</w:t>
      </w:r>
      <w:r w:rsidRPr="00D710AC">
        <w:rPr>
          <w:rFonts w:eastAsia="TimesNewRomanPSMT"/>
        </w:rPr>
        <w:t>1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информацию и консультации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особенно на частных предприятиях, которых сейчас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России значительное количество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Нормы статьи требуют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для обеспечения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эффективной реализации права работников на информацию и консультации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предприятии и наличия гарантий, предоставляющих работникам право на регулярную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исчерпывающую информацию об экономическом и финансовом положении</w:t>
      </w:r>
      <w:r w:rsidR="00AB452A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предприятия</w:t>
      </w:r>
      <w:r w:rsidR="00D710AC">
        <w:rPr>
          <w:rFonts w:eastAsia="TimesNewRomanPSMT"/>
        </w:rPr>
        <w:t>" (</w:t>
      </w:r>
      <w:r w:rsidRPr="00D710AC">
        <w:rPr>
          <w:rFonts w:eastAsia="TimesNewRomanPSMT"/>
        </w:rPr>
        <w:t>за исключением раскрытия конфиденциальной информации, способной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нанести ущерб интересам предприятия</w:t>
      </w:r>
      <w:r w:rsidR="00D710AC" w:rsidRPr="00D710AC">
        <w:rPr>
          <w:rFonts w:eastAsia="TimesNewRomanPSMT"/>
        </w:rPr>
        <w:t>).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Руководство предприятия должно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обязательном порядке проводить консультации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по поводу предлагаемых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администрацией предприятия решений, которые могут существенно затронуть интересы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работников, особенно тех решений, которые оказывают серьезное влияние на ситуацию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 занятостью на предприятии</w:t>
      </w:r>
      <w:r w:rsidR="00D710AC">
        <w:rPr>
          <w:rFonts w:eastAsia="TimesNewRomanPSMT"/>
        </w:rPr>
        <w:t xml:space="preserve">". </w:t>
      </w:r>
      <w:r w:rsidRPr="00D710AC">
        <w:rPr>
          <w:rFonts w:eastAsia="TimesNewRomanPSMT"/>
        </w:rPr>
        <w:t>Конечно, для России в настоящее время подобные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проблемы не могут рассматриваться в качестве приоритетных</w:t>
      </w:r>
      <w:r w:rsidR="00D710AC" w:rsidRPr="00D710AC">
        <w:rPr>
          <w:rFonts w:eastAsia="TimesNewRomanPSMT"/>
        </w:rPr>
        <w:t>.</w:t>
      </w:r>
    </w:p>
    <w:p w:rsidR="00D710AC" w:rsidRDefault="00D710AC" w:rsidP="00D710AC">
      <w:pPr>
        <w:rPr>
          <w:rFonts w:eastAsia="TimesNewRomanPSMT"/>
        </w:rPr>
      </w:pPr>
    </w:p>
    <w:p w:rsidR="008A083E" w:rsidRPr="00D710AC" w:rsidRDefault="00D710AC" w:rsidP="00D710AC">
      <w:pPr>
        <w:pStyle w:val="2"/>
        <w:rPr>
          <w:rFonts w:eastAsia="TimesNewRomanPSMT"/>
        </w:rPr>
      </w:pPr>
      <w:r>
        <w:rPr>
          <w:rFonts w:eastAsia="TimesNewRomanPSMT"/>
        </w:rPr>
        <w:t xml:space="preserve">3. </w:t>
      </w:r>
      <w:r w:rsidR="008A083E" w:rsidRPr="00D710AC">
        <w:rPr>
          <w:rFonts w:eastAsia="TimesNewRomanPSMT"/>
        </w:rPr>
        <w:t>Основные положения Европейской социальной хартии</w:t>
      </w:r>
    </w:p>
    <w:p w:rsidR="00D710AC" w:rsidRDefault="00D710AC" w:rsidP="00D710AC">
      <w:pPr>
        <w:rPr>
          <w:rFonts w:eastAsia="TimesNewRomanPSMT"/>
        </w:rPr>
      </w:pP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В статье 22 Хартии закреплено право участия работников в улучшении условий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труда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частности, в ней говорится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для обеспечения эффективной реализации права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работников на участие в определении и улучшении условий труда и производственной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среды на предприятии Стороны обязуются принять меры, предоставляющие работникам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или их представителям в соответствии с национальным законодательством и практикой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участвовать</w:t>
      </w:r>
      <w:r w:rsidR="00D710AC" w:rsidRPr="00D710AC">
        <w:rPr>
          <w:rFonts w:eastAsia="TimesNewRomanPSMT"/>
        </w:rPr>
        <w:t>: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а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в определении и улучшении условий труда, организации труда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производственной среды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б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в обеспечении безопасности и гигиены труда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предприятии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в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в организации социально-бытового обслуживания работников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предприятии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г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в надзоре за соблюдением указанных правил</w:t>
      </w:r>
      <w:r w:rsidR="00D710AC">
        <w:rPr>
          <w:rFonts w:eastAsia="TimesNewRomanPSMT"/>
        </w:rPr>
        <w:t>".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Нынешний статус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инспекторов по труду, положение этих служб, общее состояние экономики не дают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особых надежд на реализацию данных положений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Наблюдаются трудности и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реализации требований статей 24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 защиту при увольнениях</w:t>
      </w:r>
      <w:r w:rsidR="00D710AC" w:rsidRPr="00D710AC">
        <w:rPr>
          <w:rFonts w:eastAsia="TimesNewRomanPSMT"/>
        </w:rPr>
        <w:t>),</w:t>
      </w:r>
      <w:r w:rsidRPr="00D710AC">
        <w:rPr>
          <w:rFonts w:eastAsia="TimesNewRomanPSMT"/>
        </w:rPr>
        <w:t xml:space="preserve"> 29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работников на информацию и консультации при коллективных увольнениях</w:t>
      </w:r>
      <w:r w:rsidR="00D710AC" w:rsidRPr="00D710AC">
        <w:rPr>
          <w:rFonts w:eastAsia="TimesNewRomanPSMT"/>
        </w:rPr>
        <w:t>).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Не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достаточно эффективны и механизмы охраны и защиты прав работников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Суды общей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юрисдикции перегружены, а формирование трудовых арбитражей или судов пока еще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проблематично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К сожалению, Трудовой кодекс, конституционность норм которого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подтвердил Конституционный Суд РФ, ужесточил требования к работницам с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малолетними детьми и детьми-инвалидами, профсоюзным активистам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В России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требуется проведение реформы Трудового законодательства одновременно с реформой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промышленной политики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этой связи партия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Единая Россия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выдвинула в качестве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одного из своих программных требований учредить ПНП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Промышленная политика</w:t>
      </w:r>
      <w:r w:rsidR="00D710AC">
        <w:rPr>
          <w:rFonts w:eastAsia="TimesNewRomanPSMT"/>
        </w:rPr>
        <w:t xml:space="preserve">", </w:t>
      </w:r>
      <w:r w:rsidRPr="00D710AC">
        <w:rPr>
          <w:rFonts w:eastAsia="TimesNewRomanPSMT"/>
        </w:rPr>
        <w:t>что, безусловно, является одним из ее достижений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Расхождение между нормами Европейской социальной хартии и российского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законодательства обнаруживаются при анализе содержания статьи 23 Хартии, в которой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определяются права пожилых людей на социальную защиту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Стороны обязуются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принять самостоятельно или в сотрудничестве с государственными и частными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организациями необходимые меры, направленные на то, чтобы дать возможность</w:t>
      </w:r>
      <w:r w:rsidR="00AB452A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пожилым людям оставаться полноценными членами общества посредством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предоставления</w:t>
      </w:r>
      <w:r w:rsidR="00D710AC" w:rsidRPr="00D710AC">
        <w:rPr>
          <w:rFonts w:eastAsia="TimesNewRomanPSMT"/>
        </w:rPr>
        <w:t>: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а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адекватных ресурсов, позволяющих им вести достойную жизнь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играть активную роль в публичной, социальной и культурной жизни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б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информации 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социальных службах, созданных для удовлетворения нужд пожилых и инвалидов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Все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это должно дать возможность пожилым людям свободно избирать стиль жизни и вести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независимое существование в привычной для них обстановке посредством</w:t>
      </w:r>
      <w:r w:rsidR="00D710AC" w:rsidRPr="00D710AC">
        <w:rPr>
          <w:rFonts w:eastAsia="TimesNewRomanPSMT"/>
        </w:rPr>
        <w:t>: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а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предоставления им жилья, соответствующего их потребностям и состоянию здоровья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оказания помощи в приспособлении жилья к их нуждам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б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заботы об их здоровье,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 xml:space="preserve">создания </w:t>
      </w:r>
      <w:r w:rsidRPr="00D710AC">
        <w:rPr>
          <w:rFonts w:eastAsia="TimesNewRomanPS-BoldMT"/>
        </w:rPr>
        <w:t>соответствующих социальных служб поддержки пожилых людей</w:t>
      </w:r>
      <w:r w:rsidRPr="00D710AC">
        <w:rPr>
          <w:rFonts w:eastAsia="TimesNewRomanPSMT"/>
        </w:rPr>
        <w:t>, живущих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домах престарелых при уважении неприкосновенности их личности, предоставлении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гарантий их участия в решениях, касающихся условий жизни 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домах престарелых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Значительные сложности наблюдаются и при реализации статей 30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защиту от бедности и социального остракизма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и 31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право на жилье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Хартии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Для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обеспечения эффективной реализации права на защиту от бедности и социального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остракизма Европейская социальная хартия обязывает подписантов</w:t>
      </w:r>
      <w:r w:rsidR="00D710AC" w:rsidRPr="00D710AC">
        <w:rPr>
          <w:rFonts w:eastAsia="TimesNewRomanPSMT"/>
        </w:rPr>
        <w:t>: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а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принять меры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рамках всеобъемлющей и скоординированной программы к приобщению лиц, живущих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 условиях бедности и социального неравенства, к занятости, обеспечению их жильем,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медицинской помощью, культурными ценностями, организацией для них обучения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б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случае необходимости дополнительной социальной адаптации принимать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дополнительные меры к меняющимся, условиям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Для обеспечения эффективной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реализации права на жилье государства-участники Хартии обязуются принимать меры,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направленные на</w:t>
      </w:r>
      <w:r w:rsidR="00D710AC" w:rsidRPr="00D710AC">
        <w:rPr>
          <w:rFonts w:eastAsia="TimesNewRomanPSMT"/>
        </w:rPr>
        <w:t>: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1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предоставление жилья в соответствии с европейскими стандартами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2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предотвращение бездомности и сокращение числа бездомных</w:t>
      </w:r>
      <w:r w:rsidR="00D710AC" w:rsidRPr="00D710AC">
        <w:rPr>
          <w:rFonts w:eastAsia="TimesNewRomanPSMT"/>
        </w:rPr>
        <w:t>;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3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достижение цены на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жилье до величины, доступной для граждан, не имеющих достаточных средств на его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приобретение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Примером неизбежных трудностей на пути реализации положений Европейской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социальной Хартии в РФ может служить пример строительства жилья в России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Именно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 этом особенно наглядно проявляется функция социального государства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России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данной сфере в наибольшей степени нарушены принципы и функции социального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государства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90-е годы ХХ века брошенная в стихию рыночных отношений распалась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мощная строительная отрасль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результате ежегодный ввод жилья с 89 млн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кв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метров</w:t>
      </w:r>
      <w:r w:rsidR="00165B18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конец 1980-х</w:t>
      </w:r>
      <w:r w:rsidR="00D710AC" w:rsidRPr="00D710AC">
        <w:rPr>
          <w:rFonts w:eastAsia="TimesNewRomanPSMT"/>
        </w:rPr>
        <w:t xml:space="preserve">) </w:t>
      </w:r>
      <w:r w:rsidRPr="00D710AC">
        <w:rPr>
          <w:rFonts w:eastAsia="TimesNewRomanPSMT"/>
        </w:rPr>
        <w:t>упал до 39 млн</w:t>
      </w:r>
      <w:r w:rsidR="00D710AC"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К тому же большая половина этого жилья была</w:t>
      </w:r>
      <w:r w:rsidR="00AB452A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построена на деньги самых обеспеченных людей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Да и</w:t>
      </w:r>
      <w:r w:rsidR="00D710AC">
        <w:rPr>
          <w:rFonts w:eastAsia="TimesNewRomanPSMT"/>
        </w:rPr>
        <w:t xml:space="preserve"> "</w:t>
      </w:r>
      <w:r w:rsidRPr="00D710AC">
        <w:rPr>
          <w:rFonts w:eastAsia="TimesNewRomanPSMT"/>
        </w:rPr>
        <w:t>география</w:t>
      </w:r>
      <w:r w:rsidR="00D710AC">
        <w:rPr>
          <w:rFonts w:eastAsia="TimesNewRomanPSMT"/>
        </w:rPr>
        <w:t xml:space="preserve">" </w:t>
      </w:r>
      <w:r w:rsidRPr="00D710AC">
        <w:rPr>
          <w:rFonts w:eastAsia="TimesNewRomanPSMT"/>
        </w:rPr>
        <w:t>строительства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такова, что почти 40% жилья строится в Москве, Московской области, Санкт-Петербурге, Краснодарском крае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По оценке департамента жилищной политики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Правительства Москвы, доля покупателей, которые в Москве приобретают квартиры не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для проживания, а с целью вложения средств, доходит до 40</w:t>
      </w:r>
      <w:r w:rsidR="00D710AC">
        <w:rPr>
          <w:rFonts w:eastAsia="TimesNewRomanPSMT"/>
        </w:rPr>
        <w:t>-</w:t>
      </w:r>
      <w:r w:rsidRPr="00D710AC">
        <w:rPr>
          <w:rFonts w:eastAsia="TimesNewRomanPSMT"/>
        </w:rPr>
        <w:t>42%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Ипотечные кредиты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довольно высоки, да и распределяются они крайне неравномерно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Принятые законы,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том числе Градостроительный комплекс привели к тому, что отменены экологическая,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геологическая и другие жизненно важные экспертизы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На отвод земли под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строительство решающее влияние оказывает не государство и муниципалитеты, а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частные кампании и спекулятивная конъюнктура</w:t>
      </w:r>
      <w:r w:rsidR="00D710AC" w:rsidRPr="00D710AC">
        <w:rPr>
          <w:rFonts w:eastAsia="TimesNewRomanPSMT"/>
        </w:rPr>
        <w:t>.</w:t>
      </w:r>
    </w:p>
    <w:p w:rsidR="00D710AC" w:rsidRDefault="00D710AC" w:rsidP="00D710AC">
      <w:pPr>
        <w:rPr>
          <w:rFonts w:eastAsia="TimesNewRomanPSMT"/>
        </w:rPr>
      </w:pPr>
      <w:r>
        <w:rPr>
          <w:rFonts w:eastAsia="TimesNewRomanPSMT"/>
        </w:rPr>
        <w:t>"</w:t>
      </w:r>
      <w:r w:rsidR="0066370E" w:rsidRPr="00D710AC">
        <w:rPr>
          <w:rFonts w:eastAsia="TimesNewRomanPSMT"/>
        </w:rPr>
        <w:t>Скромная</w:t>
      </w:r>
      <w:r>
        <w:rPr>
          <w:rFonts w:eastAsia="TimesNewRomanPSMT"/>
        </w:rPr>
        <w:t xml:space="preserve">" </w:t>
      </w:r>
      <w:r w:rsidR="0066370E" w:rsidRPr="00D710AC">
        <w:rPr>
          <w:rFonts w:eastAsia="TimesNewRomanPSMT"/>
        </w:rPr>
        <w:t>позиция российского государства сказалась и в том, что серьезный</w:t>
      </w:r>
      <w:r w:rsidR="008A083E" w:rsidRPr="00D710AC">
        <w:rPr>
          <w:rFonts w:eastAsia="TimesNewRomanPSMT"/>
        </w:rPr>
        <w:t xml:space="preserve"> </w:t>
      </w:r>
      <w:r w:rsidR="0066370E" w:rsidRPr="00D710AC">
        <w:rPr>
          <w:rFonts w:eastAsia="TimesNewRomanPSMT"/>
        </w:rPr>
        <w:t>анализ состояния строительной отрасли был сделан только в 2002 г</w:t>
      </w:r>
      <w:r w:rsidRPr="00D710AC">
        <w:rPr>
          <w:rFonts w:eastAsia="TimesNewRomanPSMT"/>
        </w:rPr>
        <w:t xml:space="preserve">. </w:t>
      </w:r>
      <w:r w:rsidR="0066370E" w:rsidRPr="00D710AC">
        <w:rPr>
          <w:rFonts w:eastAsia="TimesNewRomanPSMT"/>
        </w:rPr>
        <w:t>Вырос объем</w:t>
      </w:r>
      <w:r w:rsidR="008A083E" w:rsidRPr="00D710AC">
        <w:rPr>
          <w:rFonts w:eastAsia="TimesNewRomanPSMT"/>
        </w:rPr>
        <w:t xml:space="preserve"> </w:t>
      </w:r>
      <w:r w:rsidR="0066370E" w:rsidRPr="00D710AC">
        <w:rPr>
          <w:rFonts w:eastAsia="TimesNewRomanPSMT"/>
        </w:rPr>
        <w:t>ветхого и аварийного жилья</w:t>
      </w:r>
      <w:r>
        <w:rPr>
          <w:rFonts w:eastAsia="TimesNewRomanPSMT"/>
        </w:rPr>
        <w:t xml:space="preserve"> (</w:t>
      </w:r>
      <w:r w:rsidR="0066370E" w:rsidRPr="00D710AC">
        <w:rPr>
          <w:rFonts w:eastAsia="TimesNewRomanPSMT"/>
        </w:rPr>
        <w:t>более 82 млн</w:t>
      </w:r>
      <w:r w:rsidRPr="00D710AC">
        <w:rPr>
          <w:rFonts w:eastAsia="TimesNewRomanPSMT"/>
        </w:rPr>
        <w:t xml:space="preserve">. </w:t>
      </w:r>
      <w:r w:rsidR="0066370E" w:rsidRPr="00D710AC">
        <w:rPr>
          <w:rFonts w:eastAsia="TimesNewRomanPSMT"/>
        </w:rPr>
        <w:t>кв</w:t>
      </w:r>
      <w:r w:rsidRPr="00D710AC">
        <w:rPr>
          <w:rFonts w:eastAsia="TimesNewRomanPSMT"/>
        </w:rPr>
        <w:t xml:space="preserve">. </w:t>
      </w:r>
      <w:r w:rsidR="0066370E" w:rsidRPr="00D710AC">
        <w:rPr>
          <w:rFonts w:eastAsia="TimesNewRomanPSMT"/>
        </w:rPr>
        <w:t>м</w:t>
      </w:r>
      <w:r w:rsidRPr="00D710AC">
        <w:rPr>
          <w:rFonts w:eastAsia="TimesNewRomanPSMT"/>
        </w:rPr>
        <w:t xml:space="preserve">). </w:t>
      </w:r>
      <w:r w:rsidR="0066370E" w:rsidRPr="00D710AC">
        <w:rPr>
          <w:rFonts w:eastAsia="TimesNewRomanPSMT"/>
        </w:rPr>
        <w:t>ПНП</w:t>
      </w:r>
      <w:r>
        <w:rPr>
          <w:rFonts w:eastAsia="TimesNewRomanPSMT"/>
        </w:rPr>
        <w:t xml:space="preserve"> "</w:t>
      </w:r>
      <w:r w:rsidR="0066370E" w:rsidRPr="00D710AC">
        <w:rPr>
          <w:rFonts w:eastAsia="TimesNewRomanPSMT"/>
        </w:rPr>
        <w:t>Доступное и комфортное</w:t>
      </w:r>
      <w:r w:rsidR="008A083E" w:rsidRPr="00D710AC">
        <w:rPr>
          <w:rFonts w:eastAsia="TimesNewRomanPSMT"/>
        </w:rPr>
        <w:t xml:space="preserve"> </w:t>
      </w:r>
      <w:r w:rsidR="0066370E" w:rsidRPr="00D710AC">
        <w:rPr>
          <w:rFonts w:eastAsia="TimesNewRomanPSMT"/>
        </w:rPr>
        <w:t>жилье</w:t>
      </w:r>
      <w:r>
        <w:rPr>
          <w:rFonts w:eastAsia="TimesNewRomanPSMT"/>
        </w:rPr>
        <w:t xml:space="preserve">" </w:t>
      </w:r>
      <w:r w:rsidR="0066370E" w:rsidRPr="00D710AC">
        <w:rPr>
          <w:rFonts w:eastAsia="TimesNewRomanPSMT"/>
        </w:rPr>
        <w:t>ставит задачу довести объем вводимого жилья до уровня советского времени к</w:t>
      </w:r>
      <w:r w:rsidR="008A083E" w:rsidRPr="00D710AC">
        <w:rPr>
          <w:rFonts w:eastAsia="TimesNewRomanPSMT"/>
        </w:rPr>
        <w:t xml:space="preserve"> </w:t>
      </w:r>
      <w:r w:rsidR="0066370E" w:rsidRPr="00D710AC">
        <w:rPr>
          <w:rFonts w:eastAsia="TimesNewRomanPSMT"/>
        </w:rPr>
        <w:t>2010-2011 гг</w:t>
      </w:r>
      <w:r w:rsidRPr="00D710AC">
        <w:rPr>
          <w:rFonts w:eastAsia="TimesNewRomanPSMT"/>
        </w:rPr>
        <w:t xml:space="preserve">. </w:t>
      </w:r>
      <w:r w:rsidR="0066370E" w:rsidRPr="00D710AC">
        <w:rPr>
          <w:rFonts w:eastAsia="TimesNewRomanPSMT"/>
        </w:rPr>
        <w:t>Но этого недостаточно, чтобы решить проблему, при таком объеме ветхого</w:t>
      </w:r>
      <w:r w:rsidR="008A083E" w:rsidRPr="00D710AC">
        <w:rPr>
          <w:rFonts w:eastAsia="TimesNewRomanPSMT"/>
        </w:rPr>
        <w:t xml:space="preserve"> </w:t>
      </w:r>
      <w:r w:rsidR="0066370E" w:rsidRPr="00D710AC">
        <w:rPr>
          <w:rFonts w:eastAsia="TimesNewRomanPSMT"/>
        </w:rPr>
        <w:t>жилья</w:t>
      </w:r>
      <w:r w:rsidRPr="00D710AC">
        <w:rPr>
          <w:rFonts w:eastAsia="TimesNewRomanPSMT"/>
        </w:rPr>
        <w:t xml:space="preserve">. </w:t>
      </w:r>
      <w:r w:rsidR="0066370E" w:rsidRPr="00D710AC">
        <w:rPr>
          <w:rFonts w:eastAsia="TimesNewRomanPSMT"/>
        </w:rPr>
        <w:t>Да и этой цифры вводимого жилья без вмешательства государства невозможно</w:t>
      </w:r>
      <w:r w:rsidR="008A083E" w:rsidRPr="00D710AC">
        <w:rPr>
          <w:rFonts w:eastAsia="TimesNewRomanPSMT"/>
        </w:rPr>
        <w:t xml:space="preserve"> </w:t>
      </w:r>
      <w:r w:rsidR="0066370E" w:rsidRPr="00D710AC">
        <w:rPr>
          <w:rFonts w:eastAsia="TimesNewRomanPSMT"/>
        </w:rPr>
        <w:t>достигнуть</w:t>
      </w:r>
      <w:r w:rsidRPr="00D710AC">
        <w:rPr>
          <w:rFonts w:eastAsia="TimesNewRomanPSMT"/>
        </w:rPr>
        <w:t>.</w:t>
      </w: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Отсутствует в России комплексная градостроительная концепция, способная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учитывать потребности и особенности регионов, защищающей интересы государства,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строителей, жильцов, граждан, приобретающих жилье, проблемы демографии,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миграции, производства, социальной дифференциации и бедности является одной из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краеугольных социальных проблем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До настоящего времени не создан государственный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орган, способный координировать усилия в этой сфере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Законодательство таково, что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ценовые факторы</w:t>
      </w:r>
      <w:r w:rsidR="00D710AC" w:rsidRPr="00D710AC">
        <w:rPr>
          <w:rFonts w:eastAsia="TimesNewRomanPSMT"/>
        </w:rPr>
        <w:t xml:space="preserve"> - </w:t>
      </w:r>
      <w:r w:rsidRPr="00D710AC">
        <w:rPr>
          <w:rFonts w:eastAsia="TimesNewRomanPSMT"/>
        </w:rPr>
        <w:t>спекулятивная стоимость земли, проектирования, согласований,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стройматериалов</w:t>
      </w:r>
      <w:r w:rsidR="00D710AC" w:rsidRPr="00D710AC">
        <w:rPr>
          <w:rFonts w:eastAsia="TimesNewRomanPSMT"/>
        </w:rPr>
        <w:t xml:space="preserve"> - </w:t>
      </w:r>
      <w:r w:rsidRPr="00D710AC">
        <w:rPr>
          <w:rFonts w:eastAsia="TimesNewRomanPSMT"/>
        </w:rPr>
        <w:t>нередко ставят под угрозу выполнение ПНП</w:t>
      </w:r>
      <w:r w:rsidR="00D710AC" w:rsidRPr="00D710AC">
        <w:rPr>
          <w:rFonts w:eastAsia="TimesNewRomanPSMT"/>
        </w:rPr>
        <w:t>.</w:t>
      </w:r>
    </w:p>
    <w:p w:rsidR="008A083E" w:rsidRPr="00D710AC" w:rsidRDefault="00D710AC" w:rsidP="00D710AC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r w:rsidR="008A083E" w:rsidRPr="00D710AC">
        <w:rPr>
          <w:rFonts w:eastAsia="TimesNewRomanPSMT"/>
        </w:rPr>
        <w:t>Заключение</w:t>
      </w:r>
    </w:p>
    <w:p w:rsidR="00D710AC" w:rsidRDefault="00D710AC" w:rsidP="00D710AC">
      <w:pPr>
        <w:rPr>
          <w:rFonts w:eastAsia="TimesNewRomanPSMT"/>
        </w:rPr>
      </w:pPr>
    </w:p>
    <w:p w:rsidR="00D710AC" w:rsidRDefault="0066370E" w:rsidP="00D710AC">
      <w:pPr>
        <w:rPr>
          <w:rFonts w:eastAsia="TimesNewRomanPSMT"/>
        </w:rPr>
      </w:pPr>
      <w:r w:rsidRPr="00D710AC">
        <w:rPr>
          <w:rFonts w:eastAsia="TimesNewRomanPSMT"/>
        </w:rPr>
        <w:t>Вероятно, нашему государству целесообразно внедрить положительный опыт</w:t>
      </w:r>
      <w:r w:rsidR="00D710AC" w:rsidRPr="00D710AC">
        <w:rPr>
          <w:rFonts w:eastAsia="TimesNewRomanPSMT"/>
        </w:rPr>
        <w:t xml:space="preserve">, </w:t>
      </w:r>
      <w:r w:rsidRPr="00D710AC">
        <w:rPr>
          <w:rFonts w:eastAsia="TimesNewRomanPSMT"/>
        </w:rPr>
        <w:t>эффективно используемый в Китае, Казахстане, Белоруссии, а также в некоторых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регионах России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Татарстане, Белгородской и Омской областях</w:t>
      </w:r>
      <w:r w:rsidR="00D710AC" w:rsidRPr="00D710AC">
        <w:rPr>
          <w:rFonts w:eastAsia="TimesNewRomanPSMT"/>
        </w:rPr>
        <w:t xml:space="preserve">). </w:t>
      </w:r>
      <w:r w:rsidRPr="00D710AC">
        <w:rPr>
          <w:rFonts w:eastAsia="TimesNewRomanPSMT"/>
        </w:rPr>
        <w:t>В этих регионах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государство в лице строительных министерств, губернаторов, представителей других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структур играет активную мобилизационную роль в концентрации всех ресурсов на этом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 xml:space="preserve">направлении, </w:t>
      </w:r>
      <w:r w:rsidR="00D710AC">
        <w:rPr>
          <w:rFonts w:eastAsia="TimesNewRomanPSMT"/>
        </w:rPr>
        <w:t>т.е.</w:t>
      </w:r>
      <w:r w:rsidR="00D710AC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выполняет важнейшую функцию социально ориентированного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государства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ПНП по своей сути предполагают развертывание мобилизационных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механизмов, концентрацию усилий государства, бизнеса, граждан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Мобилизационные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механизмы могут быть задействованы</w:t>
      </w:r>
      <w:r w:rsidR="00D710AC" w:rsidRPr="00D710AC">
        <w:rPr>
          <w:rFonts w:eastAsia="TimesNewRomanPSMT"/>
        </w:rPr>
        <w:t xml:space="preserve">; </w:t>
      </w:r>
      <w:r w:rsidRPr="00D710AC">
        <w:rPr>
          <w:rFonts w:eastAsia="TimesNewRomanPSMT"/>
        </w:rPr>
        <w:t>при изменении позиции государства и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стремлении России ввести европейские социальные стандарты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В настоящее время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России важнейшей чертой социального государства становится именно его возможность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включить мобилизационные ресурсы и механизмы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Только при непосредственном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участии государства возможно будет осуществить ПНП в здравоохранении,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образовании, строительстве доступного жилья, развитии АПК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Ратификация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Европейской социальной хартии должна стать важнейшим стимулом для изменения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позиции российского государства, консолидации общества, концентрации ресурсов в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рамках приоритетных национальных проектов с целью превращения России в подлинно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социальное государство</w:t>
      </w:r>
      <w:r w:rsidR="00D710AC" w:rsidRPr="00D710AC">
        <w:rPr>
          <w:rFonts w:eastAsia="TimesNewRomanPSMT"/>
        </w:rPr>
        <w:t>.</w:t>
      </w:r>
    </w:p>
    <w:p w:rsidR="00165B18" w:rsidRPr="00D710AC" w:rsidRDefault="00D710AC" w:rsidP="00D710AC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r w:rsidR="008A083E" w:rsidRPr="00D710AC">
        <w:rPr>
          <w:rFonts w:eastAsia="TimesNewRomanPSMT"/>
        </w:rPr>
        <w:t>Список литературы</w:t>
      </w:r>
    </w:p>
    <w:p w:rsidR="00D710AC" w:rsidRDefault="00D710AC" w:rsidP="00D710AC">
      <w:pPr>
        <w:rPr>
          <w:rFonts w:eastAsia="TimesNewRomanPSMT"/>
        </w:rPr>
      </w:pPr>
    </w:p>
    <w:p w:rsidR="00D710AC" w:rsidRDefault="008A083E" w:rsidP="00D710AC">
      <w:pPr>
        <w:pStyle w:val="a1"/>
        <w:tabs>
          <w:tab w:val="left" w:pos="420"/>
        </w:tabs>
        <w:rPr>
          <w:rFonts w:eastAsia="TimesNewRomanPSMT"/>
        </w:rPr>
      </w:pPr>
      <w:r w:rsidRPr="00D710AC">
        <w:rPr>
          <w:rFonts w:eastAsia="TimesNewRomanPSMT"/>
        </w:rPr>
        <w:t>Хрестоматия по истории зарубежных стран</w:t>
      </w:r>
      <w:r w:rsidR="00D710AC" w:rsidRPr="00D710AC">
        <w:rPr>
          <w:rFonts w:eastAsia="TimesNewRomanPSMT"/>
        </w:rPr>
        <w:t xml:space="preserve">. </w:t>
      </w:r>
      <w:r w:rsidR="00D710AC">
        <w:rPr>
          <w:rFonts w:eastAsia="TimesNewRomanPSMT"/>
        </w:rPr>
        <w:t>-</w:t>
      </w:r>
      <w:r w:rsidRPr="00D710AC">
        <w:rPr>
          <w:rFonts w:eastAsia="TimesNewRomanPSMT"/>
        </w:rPr>
        <w:t xml:space="preserve"> М</w:t>
      </w:r>
      <w:r w:rsidR="00D710AC">
        <w:rPr>
          <w:rFonts w:eastAsia="TimesNewRomanPSMT"/>
        </w:rPr>
        <w:t>.:</w:t>
      </w:r>
      <w:r w:rsidR="00D710AC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Проспект, 2007</w:t>
      </w:r>
      <w:r w:rsidR="00D710AC" w:rsidRPr="00D710AC">
        <w:rPr>
          <w:rFonts w:eastAsia="TimesNewRomanPSMT"/>
        </w:rPr>
        <w:t>.</w:t>
      </w:r>
    </w:p>
    <w:p w:rsidR="00D710AC" w:rsidRDefault="00165B18" w:rsidP="00D710AC">
      <w:pPr>
        <w:pStyle w:val="a1"/>
        <w:tabs>
          <w:tab w:val="left" w:pos="420"/>
        </w:tabs>
        <w:rPr>
          <w:rFonts w:eastAsia="TimesNewRomanPSMT"/>
        </w:rPr>
      </w:pPr>
      <w:r w:rsidRPr="00D710AC">
        <w:rPr>
          <w:rFonts w:eastAsia="TimesNewRomanPSMT"/>
        </w:rPr>
        <w:t>Кошман Н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Ни один проект не будет работать, если нет плана социально-экономического развития страны</w:t>
      </w:r>
      <w:r w:rsidR="00D710AC">
        <w:rPr>
          <w:rFonts w:eastAsia="TimesNewRomanPSMT"/>
        </w:rPr>
        <w:t xml:space="preserve"> // </w:t>
      </w:r>
      <w:r w:rsidRPr="00D710AC">
        <w:rPr>
          <w:rFonts w:eastAsia="TimesNewRomanPSMT"/>
        </w:rPr>
        <w:t>Российская Федерация сегодня</w:t>
      </w:r>
      <w:r w:rsidR="00D710AC">
        <w:rPr>
          <w:rFonts w:eastAsia="TimesNewRomanPSMT"/>
        </w:rPr>
        <w:t>. 20</w:t>
      </w:r>
      <w:r w:rsidRPr="00D710AC">
        <w:rPr>
          <w:rFonts w:eastAsia="TimesNewRomanPSMT"/>
        </w:rPr>
        <w:t>07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№ 8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</w:t>
      </w:r>
      <w:r w:rsidR="00D710AC">
        <w:rPr>
          <w:rFonts w:eastAsia="TimesNewRomanPSMT"/>
        </w:rPr>
        <w:t>.3</w:t>
      </w:r>
      <w:r w:rsidRPr="00D710AC">
        <w:rPr>
          <w:rFonts w:eastAsia="TimesNewRomanPSMT"/>
        </w:rPr>
        <w:t>0</w:t>
      </w:r>
      <w:r w:rsidR="00D710AC" w:rsidRPr="00D710AC">
        <w:rPr>
          <w:rFonts w:eastAsia="TimesNewRomanPSMT"/>
        </w:rPr>
        <w:t>.</w:t>
      </w:r>
    </w:p>
    <w:p w:rsidR="00D710AC" w:rsidRDefault="00165B18" w:rsidP="00D710AC">
      <w:pPr>
        <w:pStyle w:val="a1"/>
        <w:tabs>
          <w:tab w:val="left" w:pos="420"/>
        </w:tabs>
        <w:rPr>
          <w:rFonts w:eastAsia="TimesNewRomanPSMT"/>
        </w:rPr>
      </w:pPr>
      <w:r w:rsidRPr="00D710AC">
        <w:rPr>
          <w:rFonts w:eastAsia="TimesNewRomanPSMT"/>
        </w:rPr>
        <w:t>Человек и закон</w:t>
      </w:r>
      <w:r w:rsidR="00D710AC">
        <w:rPr>
          <w:rFonts w:eastAsia="TimesNewRomanPSMT"/>
        </w:rPr>
        <w:t>. 20</w:t>
      </w:r>
      <w:r w:rsidRPr="00D710AC">
        <w:rPr>
          <w:rFonts w:eastAsia="TimesNewRomanPSMT"/>
        </w:rPr>
        <w:t>07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№ 1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С</w:t>
      </w:r>
      <w:r w:rsidR="00D710AC">
        <w:rPr>
          <w:rFonts w:eastAsia="TimesNewRomanPSMT"/>
        </w:rPr>
        <w:t>.1</w:t>
      </w:r>
      <w:r w:rsidRPr="00D710AC">
        <w:rPr>
          <w:rFonts w:eastAsia="TimesNewRomanPSMT"/>
        </w:rPr>
        <w:t>0</w:t>
      </w:r>
      <w:r w:rsidR="00D710AC" w:rsidRPr="00D710AC">
        <w:rPr>
          <w:rFonts w:eastAsia="TimesNewRomanPSMT"/>
        </w:rPr>
        <w:t>.</w:t>
      </w:r>
    </w:p>
    <w:p w:rsidR="00D710AC" w:rsidRDefault="00165B18" w:rsidP="00D710AC">
      <w:pPr>
        <w:pStyle w:val="a1"/>
        <w:tabs>
          <w:tab w:val="left" w:pos="420"/>
        </w:tabs>
        <w:rPr>
          <w:rFonts w:eastAsia="TimesNewRomanPSMT"/>
        </w:rPr>
      </w:pPr>
      <w:r w:rsidRPr="00D710AC">
        <w:rPr>
          <w:rFonts w:eastAsia="TimesNewRomanPSMT"/>
        </w:rPr>
        <w:t>По данным Госкомстата, в 2005 г</w:t>
      </w:r>
      <w:r w:rsidR="00D710AC" w:rsidRPr="00D710AC">
        <w:rPr>
          <w:rFonts w:eastAsia="TimesNewRomanPSMT"/>
        </w:rPr>
        <w:t xml:space="preserve">. </w:t>
      </w:r>
      <w:r w:rsidRPr="00D710AC">
        <w:rPr>
          <w:rFonts w:eastAsia="TimesNewRomanPSMT"/>
        </w:rPr>
        <w:t>децильный коэффициент превышал 1</w:t>
      </w:r>
      <w:r w:rsidR="00D710AC" w:rsidRPr="00D710AC">
        <w:rPr>
          <w:rFonts w:eastAsia="TimesNewRomanPSMT"/>
        </w:rPr>
        <w:t xml:space="preserve">: </w:t>
      </w:r>
      <w:r w:rsidRPr="00D710AC">
        <w:rPr>
          <w:rFonts w:eastAsia="TimesNewRomanPSMT"/>
        </w:rPr>
        <w:t>13, в 2006 г</w:t>
      </w:r>
      <w:r w:rsidR="00D710AC" w:rsidRPr="00D710AC">
        <w:rPr>
          <w:rFonts w:eastAsia="TimesNewRomanPSMT"/>
        </w:rPr>
        <w:t>. -</w:t>
      </w:r>
      <w:r w:rsid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1</w:t>
      </w:r>
      <w:r w:rsidR="00D710AC" w:rsidRPr="00D710AC">
        <w:rPr>
          <w:rFonts w:eastAsia="TimesNewRomanPSMT"/>
        </w:rPr>
        <w:t xml:space="preserve">: </w:t>
      </w:r>
      <w:r w:rsidRPr="00D710AC">
        <w:rPr>
          <w:rFonts w:eastAsia="TimesNewRomanPSMT"/>
        </w:rPr>
        <w:t>14, в 2007</w:t>
      </w:r>
      <w:r w:rsidR="00D710AC">
        <w:rPr>
          <w:rFonts w:eastAsia="TimesNewRomanPSMT"/>
        </w:rPr>
        <w:t xml:space="preserve"> (</w:t>
      </w:r>
      <w:r w:rsidRPr="00D710AC">
        <w:rPr>
          <w:rFonts w:eastAsia="TimesNewRomanPSMT"/>
        </w:rPr>
        <w:t>оценочно</w:t>
      </w:r>
      <w:r w:rsidR="00D710AC" w:rsidRPr="00D710AC">
        <w:rPr>
          <w:rFonts w:eastAsia="TimesNewRomanPSMT"/>
        </w:rPr>
        <w:t xml:space="preserve">) - </w:t>
      </w:r>
      <w:r w:rsidRPr="00D710AC">
        <w:rPr>
          <w:rFonts w:eastAsia="TimesNewRomanPSMT"/>
        </w:rPr>
        <w:t>более 1</w:t>
      </w:r>
      <w:r w:rsidR="00D710AC" w:rsidRPr="00D710AC">
        <w:rPr>
          <w:rFonts w:eastAsia="TimesNewRomanPSMT"/>
        </w:rPr>
        <w:t xml:space="preserve">: </w:t>
      </w:r>
      <w:r w:rsidRPr="00D710AC">
        <w:rPr>
          <w:rFonts w:eastAsia="TimesNewRomanPSMT"/>
        </w:rPr>
        <w:t>15</w:t>
      </w:r>
      <w:r w:rsidR="00D710AC" w:rsidRPr="00D710AC">
        <w:rPr>
          <w:rFonts w:eastAsia="TimesNewRomanPSMT"/>
        </w:rPr>
        <w:t>.</w:t>
      </w:r>
    </w:p>
    <w:p w:rsidR="00D710AC" w:rsidRDefault="00165B18" w:rsidP="00D710AC">
      <w:pPr>
        <w:pStyle w:val="a1"/>
        <w:tabs>
          <w:tab w:val="left" w:pos="420"/>
        </w:tabs>
        <w:rPr>
          <w:rFonts w:eastAsia="TimesNewRomanPSMT"/>
        </w:rPr>
      </w:pPr>
      <w:r w:rsidRPr="00D710AC">
        <w:rPr>
          <w:rFonts w:eastAsia="TimesNewRomanPSMT"/>
        </w:rPr>
        <w:t>Труды российских ученых В</w:t>
      </w:r>
      <w:r w:rsidR="00D710AC">
        <w:rPr>
          <w:rFonts w:eastAsia="TimesNewRomanPSMT"/>
        </w:rPr>
        <w:t xml:space="preserve">.С. </w:t>
      </w:r>
      <w:r w:rsidRPr="00D710AC">
        <w:rPr>
          <w:rFonts w:eastAsia="TimesNewRomanPSMT"/>
        </w:rPr>
        <w:t>Нерсесянца, Л</w:t>
      </w:r>
      <w:r w:rsidR="00D710AC">
        <w:rPr>
          <w:rFonts w:eastAsia="TimesNewRomanPSMT"/>
        </w:rPr>
        <w:t xml:space="preserve">.С. </w:t>
      </w:r>
      <w:r w:rsidRPr="00D710AC">
        <w:rPr>
          <w:rFonts w:eastAsia="TimesNewRomanPSMT"/>
        </w:rPr>
        <w:t>Мамута, Е</w:t>
      </w:r>
      <w:r w:rsidR="00D710AC">
        <w:rPr>
          <w:rFonts w:eastAsia="TimesNewRomanPSMT"/>
        </w:rPr>
        <w:t xml:space="preserve">.А. </w:t>
      </w:r>
      <w:r w:rsidRPr="00D710AC">
        <w:rPr>
          <w:rFonts w:eastAsia="TimesNewRomanPSMT"/>
        </w:rPr>
        <w:t>Лукашевой, И</w:t>
      </w:r>
      <w:r w:rsidR="00D710AC">
        <w:rPr>
          <w:rFonts w:eastAsia="TimesNewRomanPSMT"/>
        </w:rPr>
        <w:t xml:space="preserve">.А. </w:t>
      </w:r>
      <w:r w:rsidRPr="00D710AC">
        <w:rPr>
          <w:rFonts w:eastAsia="TimesNewRomanPSMT"/>
        </w:rPr>
        <w:t>Ледях,</w:t>
      </w:r>
      <w:r w:rsidR="008A083E" w:rsidRPr="00D710AC">
        <w:rPr>
          <w:rFonts w:eastAsia="TimesNewRomanPSMT"/>
        </w:rPr>
        <w:t xml:space="preserve"> </w:t>
      </w:r>
      <w:r w:rsidRPr="00D710AC">
        <w:rPr>
          <w:rFonts w:eastAsia="TimesNewRomanPSMT"/>
        </w:rPr>
        <w:t>С</w:t>
      </w:r>
      <w:r w:rsidR="00D710AC">
        <w:rPr>
          <w:rFonts w:eastAsia="TimesNewRomanPSMT"/>
        </w:rPr>
        <w:t xml:space="preserve">.В. </w:t>
      </w:r>
      <w:r w:rsidRPr="00D710AC">
        <w:rPr>
          <w:rFonts w:eastAsia="TimesNewRomanPSMT"/>
        </w:rPr>
        <w:t>Полениной, В</w:t>
      </w:r>
      <w:r w:rsidR="00D710AC">
        <w:rPr>
          <w:rFonts w:eastAsia="TimesNewRomanPSMT"/>
        </w:rPr>
        <w:t xml:space="preserve">.И. </w:t>
      </w:r>
      <w:r w:rsidRPr="00D710AC">
        <w:rPr>
          <w:rFonts w:eastAsia="TimesNewRomanPSMT"/>
        </w:rPr>
        <w:t>Жукова, Б</w:t>
      </w:r>
      <w:r w:rsidR="00D710AC">
        <w:rPr>
          <w:rFonts w:eastAsia="TimesNewRomanPSMT"/>
        </w:rPr>
        <w:t xml:space="preserve">.И. </w:t>
      </w:r>
      <w:r w:rsidRPr="00D710AC">
        <w:rPr>
          <w:rFonts w:eastAsia="TimesNewRomanPSMT"/>
        </w:rPr>
        <w:t>Краснова, П</w:t>
      </w:r>
      <w:r w:rsidR="00D710AC">
        <w:rPr>
          <w:rFonts w:eastAsia="TimesNewRomanPSMT"/>
        </w:rPr>
        <w:t xml:space="preserve">.Д. </w:t>
      </w:r>
      <w:r w:rsidRPr="00D710AC">
        <w:rPr>
          <w:rFonts w:eastAsia="TimesNewRomanPSMT"/>
        </w:rPr>
        <w:t>Павленка, Е</w:t>
      </w:r>
      <w:r w:rsidR="00D710AC">
        <w:rPr>
          <w:rFonts w:eastAsia="TimesNewRomanPSMT"/>
        </w:rPr>
        <w:t xml:space="preserve">.Ш. </w:t>
      </w:r>
      <w:r w:rsidRPr="00D710AC">
        <w:rPr>
          <w:rFonts w:eastAsia="TimesNewRomanPSMT"/>
        </w:rPr>
        <w:t>Гонтмахера, Т</w:t>
      </w:r>
      <w:r w:rsidR="00D710AC">
        <w:rPr>
          <w:rFonts w:eastAsia="TimesNewRomanPSMT"/>
        </w:rPr>
        <w:t xml:space="preserve">.С. </w:t>
      </w:r>
      <w:r w:rsidRPr="00D710AC">
        <w:rPr>
          <w:rFonts w:eastAsia="TimesNewRomanPSMT"/>
        </w:rPr>
        <w:t>Сулимовой и др</w:t>
      </w:r>
      <w:r w:rsidR="00D710AC" w:rsidRPr="00D710AC">
        <w:rPr>
          <w:rFonts w:eastAsia="TimesNewRomanPSMT"/>
        </w:rPr>
        <w:t>.</w:t>
      </w:r>
    </w:p>
    <w:p w:rsidR="00165B18" w:rsidRPr="00D710AC" w:rsidRDefault="00165B18" w:rsidP="00D710AC">
      <w:bookmarkStart w:id="0" w:name="_GoBack"/>
      <w:bookmarkEnd w:id="0"/>
    </w:p>
    <w:sectPr w:rsidR="00165B18" w:rsidRPr="00D710AC" w:rsidSect="00D710A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AF" w:rsidRDefault="00122EAF">
      <w:r>
        <w:separator/>
      </w:r>
    </w:p>
  </w:endnote>
  <w:endnote w:type="continuationSeparator" w:id="0">
    <w:p w:rsidR="00122EAF" w:rsidRDefault="0012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AC" w:rsidRDefault="00D710AC" w:rsidP="00D710AC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AF" w:rsidRDefault="00122EAF">
      <w:r>
        <w:separator/>
      </w:r>
    </w:p>
  </w:footnote>
  <w:footnote w:type="continuationSeparator" w:id="0">
    <w:p w:rsidR="00122EAF" w:rsidRDefault="0012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AC" w:rsidRDefault="00FD0A57" w:rsidP="00D710A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710AC" w:rsidRDefault="00D710AC" w:rsidP="00D710AC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59585B"/>
    <w:multiLevelType w:val="hybridMultilevel"/>
    <w:tmpl w:val="B474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70E"/>
    <w:rsid w:val="00122EAF"/>
    <w:rsid w:val="00165B18"/>
    <w:rsid w:val="00224BC1"/>
    <w:rsid w:val="00637269"/>
    <w:rsid w:val="0066370E"/>
    <w:rsid w:val="00717514"/>
    <w:rsid w:val="0083160B"/>
    <w:rsid w:val="008A083E"/>
    <w:rsid w:val="00A82D22"/>
    <w:rsid w:val="00AB452A"/>
    <w:rsid w:val="00C855B3"/>
    <w:rsid w:val="00D15A35"/>
    <w:rsid w:val="00D710AC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B4704A-4125-47A6-B5DC-32797AF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710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10A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10A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710A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10A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10A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10A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10A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10A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710A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D710A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710AC"/>
  </w:style>
  <w:style w:type="table" w:styleId="-1">
    <w:name w:val="Table Web 1"/>
    <w:basedOn w:val="a4"/>
    <w:uiPriority w:val="99"/>
    <w:rsid w:val="00D710A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D710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710AC"/>
    <w:rPr>
      <w:vertAlign w:val="superscript"/>
    </w:rPr>
  </w:style>
  <w:style w:type="paragraph" w:styleId="ab">
    <w:name w:val="Body Text"/>
    <w:basedOn w:val="a2"/>
    <w:link w:val="ad"/>
    <w:uiPriority w:val="99"/>
    <w:rsid w:val="00D710AC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D710A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710AC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D710A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710A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D710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D710AC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710AC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710A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710AC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710AC"/>
    <w:rPr>
      <w:sz w:val="28"/>
      <w:szCs w:val="28"/>
    </w:rPr>
  </w:style>
  <w:style w:type="paragraph" w:styleId="af6">
    <w:name w:val="Normal (Web)"/>
    <w:basedOn w:val="a2"/>
    <w:uiPriority w:val="99"/>
    <w:rsid w:val="00D710A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710A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710A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10A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10A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10AC"/>
    <w:pPr>
      <w:ind w:left="958"/>
    </w:pPr>
  </w:style>
  <w:style w:type="paragraph" w:styleId="23">
    <w:name w:val="Body Text Indent 2"/>
    <w:basedOn w:val="a2"/>
    <w:link w:val="24"/>
    <w:uiPriority w:val="99"/>
    <w:rsid w:val="00D710A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710A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710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710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10AC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10AC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710A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710A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10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10AC"/>
    <w:rPr>
      <w:i/>
      <w:iCs/>
    </w:rPr>
  </w:style>
  <w:style w:type="paragraph" w:customStyle="1" w:styleId="af9">
    <w:name w:val="ТАБЛИЦА"/>
    <w:next w:val="a2"/>
    <w:autoRedefine/>
    <w:uiPriority w:val="99"/>
    <w:rsid w:val="00D710A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710A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D710AC"/>
  </w:style>
  <w:style w:type="table" w:customStyle="1" w:styleId="14">
    <w:name w:val="Стиль таблицы1"/>
    <w:basedOn w:val="a4"/>
    <w:uiPriority w:val="99"/>
    <w:rsid w:val="00D710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710A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710A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710A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D710A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710A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последние годы коренным образом изменились внешние и внутренние</vt:lpstr>
    </vt:vector>
  </TitlesOfParts>
  <Company>ussr</Company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последние годы коренным образом изменились внешние и внутренние</dc:title>
  <dc:subject/>
  <dc:creator>user</dc:creator>
  <cp:keywords/>
  <dc:description/>
  <cp:lastModifiedBy>admin</cp:lastModifiedBy>
  <cp:revision>2</cp:revision>
  <dcterms:created xsi:type="dcterms:W3CDTF">2014-03-06T03:41:00Z</dcterms:created>
  <dcterms:modified xsi:type="dcterms:W3CDTF">2014-03-06T03:41:00Z</dcterms:modified>
</cp:coreProperties>
</file>