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</w:p>
    <w:p w:rsidR="00B844D6" w:rsidRPr="00F934A9" w:rsidRDefault="00F934A9" w:rsidP="00F934A9">
      <w:pPr>
        <w:spacing w:line="360" w:lineRule="auto"/>
        <w:ind w:firstLine="709"/>
        <w:jc w:val="center"/>
        <w:rPr>
          <w:rStyle w:val="FontStyle30"/>
          <w:color w:val="000000"/>
          <w:sz w:val="28"/>
          <w:szCs w:val="28"/>
        </w:rPr>
      </w:pPr>
      <w:r>
        <w:rPr>
          <w:rStyle w:val="FontStyle30"/>
          <w:color w:val="000000"/>
          <w:sz w:val="28"/>
          <w:szCs w:val="28"/>
        </w:rPr>
        <w:t>Реферат</w:t>
      </w:r>
    </w:p>
    <w:p w:rsidR="00B844D6" w:rsidRPr="00A42F44" w:rsidRDefault="00B844D6" w:rsidP="00A42F44">
      <w:pPr>
        <w:spacing w:line="360" w:lineRule="auto"/>
        <w:ind w:firstLine="709"/>
        <w:jc w:val="center"/>
        <w:rPr>
          <w:rStyle w:val="FontStyle30"/>
          <w:color w:val="000000"/>
          <w:sz w:val="28"/>
          <w:szCs w:val="28"/>
        </w:rPr>
      </w:pPr>
      <w:r w:rsidRPr="00A42F44">
        <w:rPr>
          <w:rStyle w:val="FontStyle30"/>
          <w:color w:val="000000"/>
          <w:sz w:val="28"/>
          <w:szCs w:val="28"/>
        </w:rPr>
        <w:t>Факторы, определяющие повышение эффективности лесопромышленного комплекса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br w:type="page"/>
        <w:t>На данном этапе развития экономики бюджет России не в должном объеме обеспечивает рост инвестиций в основные отрасли народного хозяйства. Россия обладает крупнейшими лесосырьевыми ресурсами (80 млрд. м), составляющими порядка 25% мировых запасов леса. На территории в 763,5 млн. га, покрытой лесом, сосредоточены, в основном, ценные хвойные породы, на долю которых приходится более 70% общего запаса древесины.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 xml:space="preserve">В отрасли занято около 2 млн. человек, что составляет порядка 8% трудоспособного населения, а в общем объеме ВВП продукция лесопромышленного комплекса занимает пятое место, доля продукции ЛПК в промышленном производстве составляет 4,5%, в совокупном экспорте страны - 4,1%, это четвертое место в структуре российского экспорта. Торговля древесиной ежегодно дает бюджету порядка 5 млрд. долларов, объем налоговых платежей предприятий отрасли за </w:t>
      </w:r>
      <w:smartTag w:uri="urn:schemas-microsoft-com:office:smarttags" w:element="metricconverter">
        <w:smartTagPr>
          <w:attr w:name="ProductID" w:val="2005 г"/>
        </w:smartTagPr>
        <w:r w:rsidRPr="00A42F44">
          <w:rPr>
            <w:rStyle w:val="FontStyle33"/>
            <w:color w:val="000000"/>
            <w:sz w:val="28"/>
            <w:szCs w:val="28"/>
          </w:rPr>
          <w:t>2005 г</w:t>
        </w:r>
      </w:smartTag>
      <w:r w:rsidRPr="00A42F44">
        <w:rPr>
          <w:rStyle w:val="FontStyle33"/>
          <w:color w:val="000000"/>
          <w:sz w:val="28"/>
          <w:szCs w:val="28"/>
        </w:rPr>
        <w:t>. в консолидированный бюджет составил 15,2 млрд. руб., то есть 4,5% общей суммы налоговых поступлений, в том числе в федеральный бюджет 4,4 млрд. рублей. Владея почти одной четвертью мировых запасов лесных ресурсов, в настоящее время в мировом экспорте леса и лесопродукции на долю России приходится всего 2,5% вывоза древесины и 1,2% бумаги и картона.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bookmarkStart w:id="0" w:name="bookmark24"/>
      <w:r w:rsidRPr="00A42F44">
        <w:rPr>
          <w:rStyle w:val="FontStyle33"/>
          <w:color w:val="000000"/>
          <w:sz w:val="28"/>
          <w:szCs w:val="28"/>
        </w:rPr>
        <w:t>А</w:t>
      </w:r>
      <w:bookmarkEnd w:id="0"/>
      <w:r w:rsidRPr="00A42F44">
        <w:rPr>
          <w:rStyle w:val="FontStyle33"/>
          <w:color w:val="000000"/>
          <w:sz w:val="28"/>
          <w:szCs w:val="28"/>
        </w:rPr>
        <w:t>нализ динамики объемов мирового производства и внутреннего потребления лесобумажной продукции ведущих лесопромышленных страна за период 2000-2005 гг. свидетельствует о том, что Россия отошла на второй план и по большинству показателей: объемам лесозаготовок, производству бумаги, картона, фанеры, и значительно уступает США, Канаде, Китаю, Бразилии и ряду других стран.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Переход к рыночной экономике оказался для ЛПК наиболее трудным. В начале 90-х годов была одна главная задача: приватизировать все, что можно, и по этому показателю лесопромышленный комплекс без преувеличения находится в лидерах - порядка 95% лесопромышленности, а это 30 тысяч только лесозаготовительных и перерабатывающих предприятий, находится у частников. При этом до последнего времени так и не было создано никакой системы регулирования отраслью в целом. Особенно неблагоприятная ситуация складывается в лесозаготовительной и лесопильной подотраслях ЛПК. Сокращение производства пиломатериалов началось с 1989 года. Объем выпуска пиломатериалов в 1998 году по отношению к 1990 году сократился почти в 4 раза. Ухудшилась структура и качество вырабатываемых пиломатериалов. Очень медленно идет обновление технологического оборудования и в основном за счет предприятий малой мощности.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 xml:space="preserve">Справедливости ради следует сказать, что при всем вышеизложенном лесопромышленный комплекс сейчас одна из немногих внешне благополучных отраслей промышленности в России. За период с января по август </w:t>
      </w:r>
      <w:smartTag w:uri="urn:schemas-microsoft-com:office:smarttags" w:element="metricconverter">
        <w:smartTagPr>
          <w:attr w:name="ProductID" w:val="2005 г"/>
        </w:smartTagPr>
        <w:r w:rsidRPr="00A42F44">
          <w:rPr>
            <w:rStyle w:val="FontStyle33"/>
            <w:color w:val="000000"/>
            <w:sz w:val="28"/>
            <w:szCs w:val="28"/>
          </w:rPr>
          <w:t>2005 г</w:t>
        </w:r>
      </w:smartTag>
      <w:r w:rsidRPr="00A42F44">
        <w:rPr>
          <w:rStyle w:val="FontStyle33"/>
          <w:color w:val="000000"/>
          <w:sz w:val="28"/>
          <w:szCs w:val="28"/>
        </w:rPr>
        <w:t xml:space="preserve">. по отношению к тому же периоду </w:t>
      </w:r>
      <w:smartTag w:uri="urn:schemas-microsoft-com:office:smarttags" w:element="metricconverter">
        <w:smartTagPr>
          <w:attr w:name="ProductID" w:val="2000 г"/>
        </w:smartTagPr>
        <w:r w:rsidRPr="00A42F44">
          <w:rPr>
            <w:rStyle w:val="FontStyle33"/>
            <w:color w:val="000000"/>
            <w:sz w:val="28"/>
            <w:szCs w:val="28"/>
          </w:rPr>
          <w:t>2000 г</w:t>
        </w:r>
      </w:smartTag>
      <w:r w:rsidRPr="00A42F44">
        <w:rPr>
          <w:rStyle w:val="FontStyle33"/>
          <w:color w:val="000000"/>
          <w:sz w:val="28"/>
          <w:szCs w:val="28"/>
        </w:rPr>
        <w:t>. наблюдается увеличение объема выпуска продукции в лесозаготовительной отрасли - 109,3%, в деревообрабатывающей - 111,3%, в целлюлозно-бумажной - 119,5%. Необходимо отметить, что названный рост в отраслях лесопромышленного комплекса происходит на фоне критического положения как в обеспечении материально-техническими ресурсами, оборотными средствами, так и в социальной сфере. Такая ситуация объясняется тем, что рост экономических показателей вызван в значительной мере искусственно как следствие девальвации рубля в августе 1998 года и не означает устойчивого, позитивного изменения макроэкономических показателей.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 xml:space="preserve">Осуществляемый в отрасли процесс перехода к рыночным формам хозяйствования, кроме положительных результатов - расширение самостоятельности предприятий, повышение ответственности, диверсификация производства, повлек за собой и возникновение серьезных проблем во всем лесопромышленном комплексе. Произошел разрыв хозяйственных интеграционных связей и экономический спад производства по сравнению с дореформенным периодом. Изменилась структура производства и нарушилась межотраслевая сбалансированность, возникли структурные диспропорции между подотрослями ЛПК, что в результате привело к сокращению удельного веса производства продукции с высокой степенью обработки и усилению сырьевой направленности производства и экспорта. Сырьевая направленность экспорта в лесопромышленном комплексе сложилась еще при советской власти и к </w:t>
      </w:r>
      <w:smartTag w:uri="urn:schemas-microsoft-com:office:smarttags" w:element="metricconverter">
        <w:smartTagPr>
          <w:attr w:name="ProductID" w:val="1999 г"/>
        </w:smartTagPr>
        <w:r w:rsidRPr="00A42F44">
          <w:rPr>
            <w:rStyle w:val="FontStyle33"/>
            <w:color w:val="000000"/>
            <w:sz w:val="28"/>
            <w:szCs w:val="28"/>
          </w:rPr>
          <w:t>1999 г</w:t>
        </w:r>
      </w:smartTag>
      <w:r w:rsidRPr="00A42F44">
        <w:rPr>
          <w:rStyle w:val="FontStyle33"/>
          <w:color w:val="000000"/>
          <w:sz w:val="28"/>
          <w:szCs w:val="28"/>
        </w:rPr>
        <w:t>. доля круглого леса в экспорте лесопродукции достигла уже 70%.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В советский период весь экспорт лесопромышленного комплекса контролировался "Экспортлесом", в настоящее же время существует более 11 тысяч экспортеров. Но на внешнем рынке эффективно могут работать только крупные организации, а бесчисленное множество мелких лесоэкспортеров сегодня заботит, по большому счету, только одно - как можно быстрее продать, причем, по демпинговым ценам. Изменение экспортных цен представлено в таблицах 1 и 2.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Таблица 1.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Экспортные цены на пиломатериалы по регионам России, долл./куб.м.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40"/>
        <w:gridCol w:w="814"/>
        <w:gridCol w:w="814"/>
        <w:gridCol w:w="1708"/>
      </w:tblGrid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2000 год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2001 год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A42F44">
                <w:rPr>
                  <w:rStyle w:val="FontStyle29"/>
                  <w:color w:val="000000"/>
                  <w:sz w:val="20"/>
                  <w:szCs w:val="20"/>
                </w:rPr>
                <w:t>2005 г</w:t>
              </w:r>
            </w:smartTag>
            <w:r w:rsidRPr="00A42F44">
              <w:rPr>
                <w:rStyle w:val="FontStyle29"/>
                <w:color w:val="000000"/>
                <w:sz w:val="20"/>
                <w:szCs w:val="20"/>
              </w:rPr>
              <w:t xml:space="preserve">. к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A42F44">
                <w:rPr>
                  <w:rStyle w:val="FontStyle29"/>
                  <w:color w:val="000000"/>
                  <w:sz w:val="20"/>
                  <w:szCs w:val="20"/>
                </w:rPr>
                <w:t>2001 г</w:t>
              </w:r>
            </w:smartTag>
            <w:r w:rsidRPr="00A42F44">
              <w:rPr>
                <w:rStyle w:val="FontStyle29"/>
                <w:color w:val="000000"/>
                <w:sz w:val="20"/>
                <w:szCs w:val="20"/>
              </w:rPr>
              <w:t>., %</w:t>
            </w:r>
          </w:p>
        </w:tc>
      </w:tr>
      <w:tr w:rsidR="00B844D6" w:rsidRPr="00A42F44" w:rsidTr="00A42F44">
        <w:trPr>
          <w:trHeight w:val="30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4</w:t>
            </w:r>
          </w:p>
        </w:tc>
      </w:tr>
      <w:tr w:rsidR="00B844D6" w:rsidRPr="00A42F44" w:rsidTr="00A42F44">
        <w:trPr>
          <w:trHeight w:val="29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Россия, всего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116,2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97,4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83,8</w:t>
            </w:r>
          </w:p>
        </w:tc>
      </w:tr>
      <w:tr w:rsidR="00B844D6" w:rsidRPr="00A42F44" w:rsidTr="00A42F44">
        <w:trPr>
          <w:trHeight w:val="2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Северный район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114,1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102,8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90,0</w:t>
            </w:r>
          </w:p>
        </w:tc>
      </w:tr>
      <w:tr w:rsidR="00B844D6" w:rsidRPr="00A42F44" w:rsidTr="00A42F44">
        <w:trPr>
          <w:trHeight w:val="2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Республика Карелия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109,8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96,3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87,7</w:t>
            </w:r>
          </w:p>
        </w:tc>
      </w:tr>
      <w:tr w:rsidR="00B844D6" w:rsidRPr="00A42F44" w:rsidTr="00A42F44">
        <w:trPr>
          <w:trHeight w:val="28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Республика Коми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80,4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78,6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97,8</w:t>
            </w:r>
          </w:p>
        </w:tc>
      </w:tr>
      <w:tr w:rsidR="00B844D6" w:rsidRPr="00A42F44" w:rsidTr="00A42F44">
        <w:trPr>
          <w:trHeight w:val="2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Архангельская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122,6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113,0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92,2</w:t>
            </w:r>
          </w:p>
        </w:tc>
      </w:tr>
      <w:tr w:rsidR="00B844D6" w:rsidRPr="00A42F44" w:rsidTr="00A42F44">
        <w:trPr>
          <w:trHeight w:val="28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Вологодская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89,9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82,5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91,8</w:t>
            </w:r>
          </w:p>
        </w:tc>
      </w:tr>
      <w:tr w:rsidR="00B844D6" w:rsidRPr="00A42F44" w:rsidTr="00A42F44">
        <w:trPr>
          <w:trHeight w:val="2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Северо-Западный район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106,9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91,2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85,3</w:t>
            </w:r>
          </w:p>
        </w:tc>
      </w:tr>
      <w:tr w:rsidR="00B844D6" w:rsidRPr="00A42F44" w:rsidTr="00A42F44">
        <w:trPr>
          <w:trHeight w:val="28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г. С. - Петербург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127,9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111,8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87,4</w:t>
            </w:r>
          </w:p>
        </w:tc>
      </w:tr>
      <w:tr w:rsidR="00B844D6" w:rsidRPr="00A42F44" w:rsidTr="00A42F44">
        <w:trPr>
          <w:trHeight w:val="2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Ленинградская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105,7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88,5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83,7</w:t>
            </w:r>
          </w:p>
        </w:tc>
      </w:tr>
      <w:tr w:rsidR="00B844D6" w:rsidRPr="00A42F44" w:rsidTr="00A42F44">
        <w:trPr>
          <w:trHeight w:val="2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Новгородская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90,1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86,6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96,1</w:t>
            </w:r>
          </w:p>
        </w:tc>
      </w:tr>
      <w:tr w:rsidR="00B844D6" w:rsidRPr="00A42F44" w:rsidTr="00A42F44">
        <w:trPr>
          <w:trHeight w:val="28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Псковская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46,3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38,2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82,5</w:t>
            </w:r>
          </w:p>
        </w:tc>
      </w:tr>
      <w:tr w:rsidR="00B844D6" w:rsidRPr="00A42F44" w:rsidTr="00A42F44">
        <w:trPr>
          <w:trHeight w:val="2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Центральный район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114,0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79,9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70,1</w:t>
            </w:r>
          </w:p>
        </w:tc>
      </w:tr>
      <w:tr w:rsidR="00B844D6" w:rsidRPr="00A42F44" w:rsidTr="00A42F44">
        <w:trPr>
          <w:trHeight w:val="28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г. Москва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129,6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102,5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79,1</w:t>
            </w:r>
          </w:p>
        </w:tc>
      </w:tr>
      <w:tr w:rsidR="00B844D6" w:rsidRPr="00A42F44" w:rsidTr="00A42F44">
        <w:trPr>
          <w:trHeight w:val="29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Московская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181,2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71,8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39,6</w:t>
            </w:r>
          </w:p>
        </w:tc>
      </w:tr>
      <w:tr w:rsidR="00B844D6" w:rsidRPr="00A42F44" w:rsidTr="00A42F44">
        <w:trPr>
          <w:trHeight w:val="29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Владимирская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96,0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55,4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57,7</w:t>
            </w:r>
          </w:p>
        </w:tc>
      </w:tr>
      <w:tr w:rsidR="00B844D6" w:rsidRPr="00A42F44" w:rsidTr="00A42F44">
        <w:trPr>
          <w:trHeight w:val="28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Тверская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79,7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54,6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68,5</w:t>
            </w:r>
          </w:p>
        </w:tc>
      </w:tr>
      <w:tr w:rsidR="00B844D6" w:rsidRPr="00A42F44" w:rsidTr="00A42F44">
        <w:trPr>
          <w:trHeight w:val="2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Костромская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107,8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64,7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60,0</w:t>
            </w:r>
          </w:p>
        </w:tc>
      </w:tr>
      <w:tr w:rsidR="00B844D6" w:rsidRPr="00A42F44" w:rsidTr="00A42F44">
        <w:trPr>
          <w:trHeight w:val="30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Ярославская область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59,8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88,4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147,8</w:t>
            </w:r>
          </w:p>
        </w:tc>
      </w:tr>
    </w:tbl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 xml:space="preserve">Как видно из табл.1, при экспорте пиломатериалов наблюдается большой разброс цен. Если в Архангельской области средняя цена на </w:t>
      </w:r>
      <w:smartTag w:uri="urn:schemas-microsoft-com:office:smarttags" w:element="metricconverter">
        <w:smartTagPr>
          <w:attr w:name="ProductID" w:val="1 куб. м"/>
        </w:smartTagPr>
        <w:r w:rsidRPr="00A42F44">
          <w:rPr>
            <w:rStyle w:val="FontStyle33"/>
            <w:color w:val="000000"/>
            <w:sz w:val="28"/>
            <w:szCs w:val="28"/>
          </w:rPr>
          <w:t>1 куб. м</w:t>
        </w:r>
      </w:smartTag>
      <w:r w:rsidRPr="00A42F44">
        <w:rPr>
          <w:rStyle w:val="FontStyle33"/>
          <w:color w:val="000000"/>
          <w:sz w:val="28"/>
          <w:szCs w:val="28"/>
        </w:rPr>
        <w:t xml:space="preserve">. составляет 113 долл., то в Псковской только 38,2 долларов. </w:t>
      </w:r>
      <w:r w:rsidRPr="00A42F44">
        <w:rPr>
          <w:rStyle w:val="FontStyle33"/>
          <w:color w:val="000000"/>
          <w:sz w:val="28"/>
          <w:szCs w:val="28"/>
          <w:lang w:val="en-US"/>
        </w:rPr>
        <w:t>C</w:t>
      </w:r>
      <w:r w:rsidRPr="00A42F44">
        <w:rPr>
          <w:rStyle w:val="FontStyle33"/>
          <w:color w:val="000000"/>
          <w:sz w:val="28"/>
          <w:szCs w:val="28"/>
        </w:rPr>
        <w:t xml:space="preserve"> одной стороны, это говорит о качестве лесопиления, с другой стороны, например, Псковская область никогда раньше не экспортировала пиломатериалы. Поэтому они продаются практически по цене круглого леса. Внутренний спрос в области, а также кризисное ее состояние вынуждают предприятия поставлять продукцию по демпинговым ценам. При этом не выдерживаются требования не только экспортных, но и внутренних ГОСТов, в результате чего низкокачественные пиломатериалы поставляются в основном в страны Балтии, где после необходимой доработки они поступают в Западную Европу. Если в </w:t>
      </w:r>
      <w:smartTag w:uri="urn:schemas-microsoft-com:office:smarttags" w:element="metricconverter">
        <w:smartTagPr>
          <w:attr w:name="ProductID" w:val="1998 г"/>
        </w:smartTagPr>
        <w:r w:rsidRPr="00A42F44">
          <w:rPr>
            <w:rStyle w:val="FontStyle33"/>
            <w:color w:val="000000"/>
            <w:sz w:val="28"/>
            <w:szCs w:val="28"/>
          </w:rPr>
          <w:t>1998 г</w:t>
        </w:r>
      </w:smartTag>
      <w:r w:rsidRPr="00A42F44">
        <w:rPr>
          <w:rStyle w:val="FontStyle33"/>
          <w:color w:val="000000"/>
          <w:sz w:val="28"/>
          <w:szCs w:val="28"/>
        </w:rPr>
        <w:t xml:space="preserve">. цена </w:t>
      </w:r>
      <w:smartTag w:uri="urn:schemas-microsoft-com:office:smarttags" w:element="metricconverter">
        <w:smartTagPr>
          <w:attr w:name="ProductID" w:val="1 м"/>
        </w:smartTagPr>
        <w:r w:rsidRPr="00A42F44">
          <w:rPr>
            <w:rStyle w:val="FontStyle33"/>
            <w:color w:val="000000"/>
            <w:sz w:val="28"/>
            <w:szCs w:val="28"/>
          </w:rPr>
          <w:t>1 м</w:t>
        </w:r>
      </w:smartTag>
      <w:r w:rsidRPr="00A42F44">
        <w:rPr>
          <w:rStyle w:val="FontStyle33"/>
          <w:color w:val="000000"/>
          <w:sz w:val="28"/>
          <w:szCs w:val="28"/>
        </w:rPr>
        <w:t xml:space="preserve"> пиломатериалов, поставляемых из России в Великобританию, Францию, Германию, Нидерланды и др. составляла 130 - 150 долл. за кубический метр, то в </w:t>
      </w:r>
      <w:smartTag w:uri="urn:schemas-microsoft-com:office:smarttags" w:element="metricconverter">
        <w:smartTagPr>
          <w:attr w:name="ProductID" w:val="2005 г"/>
        </w:smartTagPr>
        <w:r w:rsidRPr="00A42F44">
          <w:rPr>
            <w:rStyle w:val="FontStyle33"/>
            <w:color w:val="000000"/>
            <w:sz w:val="28"/>
            <w:szCs w:val="28"/>
          </w:rPr>
          <w:t>2005 г</w:t>
        </w:r>
      </w:smartTag>
      <w:r w:rsidRPr="00A42F44">
        <w:rPr>
          <w:rStyle w:val="FontStyle33"/>
          <w:color w:val="000000"/>
          <w:sz w:val="28"/>
          <w:szCs w:val="28"/>
        </w:rPr>
        <w:t>. цены снизились в среднем на 30 -35 долл./м. (табл. 2). Традиционно низкими остаются цены на пиломатериалы, поставляемые в страны Балтии.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Таблица 2.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Динамика цен экспорта пиломатериалов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1"/>
        <w:gridCol w:w="3980"/>
        <w:gridCol w:w="630"/>
        <w:gridCol w:w="530"/>
        <w:gridCol w:w="530"/>
      </w:tblGrid>
      <w:tr w:rsidR="00B844D6" w:rsidRPr="00A42F44" w:rsidTr="00F934A9">
        <w:trPr>
          <w:trHeight w:val="65"/>
        </w:trPr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Страны</w:t>
            </w:r>
          </w:p>
        </w:tc>
        <w:tc>
          <w:tcPr>
            <w:tcW w:w="0" w:type="auto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Г о д ы</w:t>
            </w:r>
          </w:p>
        </w:tc>
      </w:tr>
      <w:tr w:rsidR="00B844D6" w:rsidRPr="00A42F44" w:rsidTr="00F934A9">
        <w:trPr>
          <w:trHeight w:val="6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</w:p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</w:p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2001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2005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7"/>
                <w:color w:val="000000"/>
                <w:sz w:val="20"/>
                <w:szCs w:val="20"/>
              </w:rPr>
            </w:pPr>
            <w:r w:rsidRPr="00A42F44">
              <w:rPr>
                <w:rStyle w:val="FontStyle27"/>
                <w:color w:val="000000"/>
                <w:sz w:val="20"/>
                <w:szCs w:val="20"/>
              </w:rPr>
              <w:t>Россия, всего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116,2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97,4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94,9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Швеция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153,2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125,9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100,6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Финляндия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77,6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65,4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72,9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Норвегия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112,3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92,6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90,8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Великобритания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151,7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128,3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116,2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Германия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130,88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108,9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97,6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Франция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149,7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128,8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111,2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Бельгия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148,5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123,1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109,5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Дания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135,9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132,1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118,2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Польша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169,5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107,5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81,0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Австрия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113,6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106,2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104,1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Нидерланды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132,1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124,5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115,6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Страны Балтии, всего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72,4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54,9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62,5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В том числе: - Латвия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92,6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55,5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61,2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- Литва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66,7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56,8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68,7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- Эстония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60,3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51,7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57,1</w:t>
            </w:r>
          </w:p>
        </w:tc>
      </w:tr>
      <w:tr w:rsidR="00B844D6" w:rsidRPr="00A42F44" w:rsidTr="00A42F44">
        <w:trPr>
          <w:trHeight w:val="6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Итого в страны Северной и Западной Европы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123,7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100,2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44D6" w:rsidRPr="00A42F44" w:rsidRDefault="00B844D6" w:rsidP="00A42F44">
            <w:pPr>
              <w:spacing w:line="360" w:lineRule="auto"/>
              <w:rPr>
                <w:rStyle w:val="FontStyle29"/>
                <w:color w:val="000000"/>
                <w:sz w:val="20"/>
                <w:szCs w:val="20"/>
              </w:rPr>
            </w:pPr>
            <w:r w:rsidRPr="00A42F44">
              <w:rPr>
                <w:rStyle w:val="FontStyle29"/>
                <w:color w:val="000000"/>
                <w:sz w:val="20"/>
                <w:szCs w:val="20"/>
              </w:rPr>
              <w:t>96,0</w:t>
            </w:r>
          </w:p>
        </w:tc>
      </w:tr>
    </w:tbl>
    <w:p w:rsidR="00A42F44" w:rsidRDefault="00A42F44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  <w:lang w:val="en-US"/>
        </w:rPr>
      </w:pP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  <w:vertAlign w:val="superscript"/>
        </w:rPr>
      </w:pPr>
      <w:r w:rsidRPr="00A42F44">
        <w:rPr>
          <w:rStyle w:val="FontStyle33"/>
          <w:color w:val="000000"/>
          <w:sz w:val="28"/>
          <w:szCs w:val="28"/>
        </w:rPr>
        <w:t>Сложившейся в системе ценообразования ситуацией достаточно грамотно пользуются прибалтийские республики. Как видно из табл. 2, экспорт пиломатериалов в страны Балтии осуществляется по самым низким ценам. Приобретенный практически за бесценок материал дорабатывается на местных предприятиях до европейских стандартов и далее экспортируется прибалтийскими странами на европейский рынок. В настоящее время три прибалтийские страны экспортируют пиломатериалов в целом ровно столько, сколько вся Россия.</w:t>
      </w:r>
      <w:r w:rsidR="0028659B" w:rsidRPr="00A42F44">
        <w:rPr>
          <w:rStyle w:val="FontStyle33"/>
          <w:color w:val="000000"/>
          <w:sz w:val="28"/>
          <w:szCs w:val="28"/>
          <w:vertAlign w:val="superscript"/>
        </w:rPr>
        <w:t xml:space="preserve"> 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Перестроечные процессы при отсутствии четкой программы управления лесопромышленным комплексом в сочетании с либерализацией цен, систематическими неплатежами и инфляционным процессом привели к потере собственных оборотных средств предприятиями отрасли. Подобное состояние отрасли нельзя охарактеризовать иначе, как кризисное. Доля убыточных предприятий в лесопромышленном комплексе составляет порядка 53%, при том, что в целом по промышленности этот показатель равен 40,6%. Наибольший удельный вес убыточных предприятий приходится на регионы, удаленные от внешних и внутренних товарных рынков.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Увеличение затрат на рубль произведенной продукции, рост кредиторской задолженности в сочетании с невысоким уровнем лесных податей и низкими ставками платы за древесину, отпускаемую на корню, значительно снижают доходность лесного хозяйства. Отсутствие сертификации в лесопромышленной отрасли приводит к снижению цен на лесоматериалы на мировом рынке на 20-30%, что приводит к ежегодным потерям отрасли до 1 млрд. долларов.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bookmarkStart w:id="1" w:name="bookmark25"/>
      <w:r w:rsidRPr="00A42F44">
        <w:rPr>
          <w:rStyle w:val="FontStyle33"/>
          <w:color w:val="000000"/>
          <w:sz w:val="28"/>
          <w:szCs w:val="28"/>
        </w:rPr>
        <w:t>Т</w:t>
      </w:r>
      <w:bookmarkEnd w:id="1"/>
      <w:r w:rsidRPr="00A42F44">
        <w:rPr>
          <w:rStyle w:val="FontStyle33"/>
          <w:color w:val="000000"/>
          <w:sz w:val="28"/>
          <w:szCs w:val="28"/>
        </w:rPr>
        <w:t>аким образом, экономический кризис в лесопромышленном комплексе России в значительной мере обусловлен тем, что в условиях перехода к рыночной экономике практически не были разработаны стратегия и тактика, определяющие направление развития лесопромышленного производства в период перехода экономики к рыночным формам хозяйствования. Вхождение России в рынок происходило при отсутствии предпосылок для формирования цивилизованного рыночного пространства. Предпочтение было отдано формальным рыночным атрибутам: либерализации цен, переделу собственности, свободе конкуренции и пр.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 xml:space="preserve">Оценка действующей системы управления с точки зрения влияния на социально-экономическую эффективность производства и структурную перестройку позволяет говорить о потере управляемости экономическими процессами, о глубоком кризисе управления. Именно глубоким кризисом управления можно объяснить и высокую степень криминализации отраслей лесопромышленного комплекса. Особенно ярко эта ситуация выражена в лесозаготовительной отрасли. Статистические данные о незаконно заготовленной древесине говорят сами за себя. По данным за </w:t>
      </w:r>
      <w:smartTag w:uri="urn:schemas-microsoft-com:office:smarttags" w:element="metricconverter">
        <w:smartTagPr>
          <w:attr w:name="ProductID" w:val="1999 г"/>
        </w:smartTagPr>
        <w:r w:rsidRPr="00A42F44">
          <w:rPr>
            <w:rStyle w:val="FontStyle33"/>
            <w:color w:val="000000"/>
            <w:sz w:val="28"/>
            <w:szCs w:val="28"/>
          </w:rPr>
          <w:t>1999 г</w:t>
        </w:r>
      </w:smartTag>
      <w:r w:rsidRPr="00A42F44">
        <w:rPr>
          <w:rStyle w:val="FontStyle33"/>
          <w:color w:val="000000"/>
          <w:sz w:val="28"/>
          <w:szCs w:val="28"/>
        </w:rPr>
        <w:t>., при официальных лесозаготовках в объеме 69,8 млн.м, объем незаконно заготовленной древесины составил 17,9 млн.м., а объем вывезенной из регионов деловой древесины - 87,7 млн.м. То есть, объем вывезенной из регионов деловой древесины превышает объем официально заготовленной. Наиболее существенный разрыв между этими показателями зафиксирован в Уральском и Центральном регионах. Контрабандная заготовка и вывоз лесоматериалов из России достигли таких громадных размеров, что сопредельные с нами страны - Финляндия и Китай сократили вырубки собственного леса, ориентируясь на более дешевое российское сырье. Причем из нашей страны вывозится пиловочник, а затем к нам же ввозятся скандинавская мебель, оконные и дверные блоки. «Черный» рынок лесопродукции развивается настолько бурно, что скоро по масштабам сравняется с легальным. При этом налоговые потери от незаконных заготовок составляют не менее 1,8 млрд. руб. в год.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bookmarkStart w:id="2" w:name="bookmark26"/>
      <w:r w:rsidRPr="00A42F44">
        <w:rPr>
          <w:rStyle w:val="FontStyle33"/>
          <w:color w:val="000000"/>
          <w:sz w:val="28"/>
          <w:szCs w:val="28"/>
        </w:rPr>
        <w:t>В</w:t>
      </w:r>
      <w:bookmarkEnd w:id="2"/>
      <w:r w:rsidRPr="00A42F44">
        <w:rPr>
          <w:rStyle w:val="FontStyle33"/>
          <w:color w:val="000000"/>
          <w:sz w:val="28"/>
          <w:szCs w:val="28"/>
        </w:rPr>
        <w:t xml:space="preserve">ысокие железнодорожные тарифы на грузовые перевозки вынуждают экспортеров лесозаготовителей и переработчиков избегать затрат на перевозки и заключать экспортные контракты на условиях продажи материалов со складов производителей. Изменение условий поставок лесопродукции с </w:t>
      </w:r>
      <w:r w:rsidRPr="00A42F44">
        <w:rPr>
          <w:rStyle w:val="FontStyle33"/>
          <w:color w:val="000000"/>
          <w:sz w:val="28"/>
          <w:szCs w:val="28"/>
          <w:lang w:val="en-US"/>
        </w:rPr>
        <w:t>CIF</w:t>
      </w:r>
      <w:r w:rsidRPr="00A42F44">
        <w:rPr>
          <w:rStyle w:val="FontStyle33"/>
          <w:color w:val="000000"/>
          <w:sz w:val="28"/>
          <w:szCs w:val="28"/>
        </w:rPr>
        <w:t xml:space="preserve"> и </w:t>
      </w:r>
      <w:r w:rsidRPr="00A42F44">
        <w:rPr>
          <w:rStyle w:val="FontStyle33"/>
          <w:color w:val="000000"/>
          <w:sz w:val="28"/>
          <w:szCs w:val="28"/>
          <w:lang w:val="en-US"/>
        </w:rPr>
        <w:t>DAF</w:t>
      </w:r>
      <w:r w:rsidRPr="00A42F44">
        <w:rPr>
          <w:rStyle w:val="FontStyle33"/>
          <w:color w:val="000000"/>
          <w:sz w:val="28"/>
          <w:szCs w:val="28"/>
        </w:rPr>
        <w:t>, включающих в цену товара стоимость перевозки грузов, на условия "франко-склад производителя" ведет к снижению экспортных цен, а, следовательно, и ставок таможенных пошлин. К числу потерь налоговых поступлений в консолидированный бюджет можно отнести и потери от несовершенства законодательной базы, отраженной в Лесном кодексе по так называемым "лесным платежам" в лесном хозяйстве.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Мировой опыт показывает, что в ведущих лесопромышленных странах со сложившейся рыночной экономикой велико участие государства в регулировании деятельности лесопромышленного комплекса и в формировании промышленной, инвестиционной, экономической и экологической политики. Поэтому на современном этапе проведения реформ необходимо усиление роли государства в управлении ЛПК, в проведении единой промышленной и структурной политики. В России на данный момент отсутствует единая вертикальная структура управления в лесном комплексе, которая должна отслеживать ситуацию в отрасли в целом, как субъекте макроэкономического анализа, проводить государственную общеотраслевую, причем долговременную, политику. В настоящее время участие государства в управлении ЛПК осуществляется через комитеты, управления, отделы в администрациях субъектов Российской Федерации, что, как показывает экономическое состояние лесного комплекса, недостаточно эффективно.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 xml:space="preserve">На совещании по проблемам лесной отрасли в </w:t>
      </w:r>
      <w:smartTag w:uri="urn:schemas-microsoft-com:office:smarttags" w:element="metricconverter">
        <w:smartTagPr>
          <w:attr w:name="ProductID" w:val="2000 г"/>
        </w:smartTagPr>
        <w:r w:rsidRPr="00A42F44">
          <w:rPr>
            <w:rStyle w:val="FontStyle33"/>
            <w:color w:val="000000"/>
            <w:sz w:val="28"/>
            <w:szCs w:val="28"/>
          </w:rPr>
          <w:t>2000 г</w:t>
        </w:r>
      </w:smartTag>
      <w:r w:rsidRPr="00A42F44">
        <w:rPr>
          <w:rStyle w:val="FontStyle33"/>
          <w:color w:val="000000"/>
          <w:sz w:val="28"/>
          <w:szCs w:val="28"/>
        </w:rPr>
        <w:t>. ставились государственные задачи: получение лесхозами максимальной прибыли и увеличение загрузки перерабатывающих производств. Решение этих задач, в свою очередь, напрямую зависит от проведения необходимой государственной инвестиционной и налоговой политики, совершенствования таможенного законодательства, развития системы маркетинга, мониторинга и контроллинга в отрасли, перехода на ведение интенсивного лесного хозяйства.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Лесное хозяйство и в рыночной экономике остается важнейшей сферой государственного регулирования и особо актуальной является проблема налоговых платежей. Необходимо введение федерального "лесного налога", а также взимание с лесопользователей лесных податей - в случае краткосрочного использования лесфонда и арендной платы - при долгосрочном использовании лесного фонда. В перспективе необходимо переходить на рентные платежи.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Рентные платежи должны гарантировать не только обеспечение реальными деньгами всех работ в конкретном районе лесозаготовок, включая мероприятия по восстановлению лесных ресурсов, но и пополнять местный и федеральный бюджеты. Такой подход, кроме всего, позволит получать своевременную информацию об объемах производства и сбыта лесопродукции, расценках на нее. Если рентные платежи будут введены в действие, объем поступлений доходов от заготовки древесины в госбюджет увеличится, по оценкам Министерства природных ресурсов РФ, втрое. Кроме того, желательно изменить систему налогообложения лесозаготовительных предприятий, чтобы сделать эту отрасль привлекательной, так как на настоящий момент лесозаготовка - самое слабое звено лесного комплекса страны.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Оздоровление лесопромышленного производства и восстановление управляемости лесопромышленным комплексом с целью повышения уровня его доходности возможно с повышением регулирующей роли государства посредством объединения предприятий в крупные вертикально-интегрированные структуры, то есть отраслевые корпорации с государственным участием. Такой подход позволит оперативно осуществлять межотраслевой, внутрифирменный и другие виды перелива капиталов, повысить конкурентоспособность и инвестиционную привлекательность.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Снижение уровня инвестиционной активности в реальный сектор экономики в период рыночных преобразований привело к тому, что в ЛПК темпы падения инвестиций превысили темпы снижения объемов производства более, чем в два раза. В результате значительная часть лесопромышленных предприятий оснащена устаревшим оборудованием, и износ основных фондов в среднем по отрасли достиг 80%. При этом удельный вес государственных инвестиций в структуре инвестиций в ЛПК в последние годы находится в пределах 1% от всех инвестиций в основной капитал. Основным источником инвестиционных поступлений в этот период выступают собственные средства предприятий, на долю которых приходится 2/3 всех инвестиций. Примерно половина от их общего объема - амортизационные отчисления.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 xml:space="preserve">В составе привлеченных средств наибольший удельный вес занимают иностранные инвестиции, доля которых, несмотря на спад инвестиционной активности, составляла от 25,6% - в </w:t>
      </w:r>
      <w:smartTag w:uri="urn:schemas-microsoft-com:office:smarttags" w:element="metricconverter">
        <w:smartTagPr>
          <w:attr w:name="ProductID" w:val="2003 г"/>
        </w:smartTagPr>
        <w:r w:rsidRPr="00A42F44">
          <w:rPr>
            <w:rStyle w:val="FontStyle33"/>
            <w:color w:val="000000"/>
            <w:sz w:val="28"/>
            <w:szCs w:val="28"/>
          </w:rPr>
          <w:t>2003 г</w:t>
        </w:r>
      </w:smartTag>
      <w:r w:rsidRPr="00A42F44">
        <w:rPr>
          <w:rStyle w:val="FontStyle33"/>
          <w:color w:val="000000"/>
          <w:sz w:val="28"/>
          <w:szCs w:val="28"/>
        </w:rPr>
        <w:t>. до 21,8% в 2004 году. Однако после дефолта, объявленного Правительством, иностранный капитал резко свернул свою деятельность на российском рынке, и удельный вес иностранных инвестиций снизился в несколько раз.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Низкая активность инвестиционных процессов предопределялась резким сокращением государственных средств на развитие производства при недостаточных экономических и правовых гарантиях для российских и зарубежных инвесторов. На многих предприятиях отрасли отсутствовали реальные эффективные собственники, заинтересованные в развитии производства. Неразвитость рынка ценных бумаг, низкая ликвидность акций лесопромышленных предприятий, и что особо важно, невозможность использования прибыли, как источника инвестирования лесопромышленного производства по причине его низкой рентабельности и наличия 50% убыточных предприятий также не позволяли привлекать требуемые инвестиции.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  <w:vertAlign w:val="superscript"/>
        </w:rPr>
      </w:pPr>
      <w:r w:rsidRPr="00A42F44">
        <w:rPr>
          <w:rStyle w:val="FontStyle33"/>
          <w:color w:val="000000"/>
          <w:sz w:val="28"/>
          <w:szCs w:val="28"/>
        </w:rPr>
        <w:t xml:space="preserve">Удельный вес привлеченных инвестиций в лесопромышленный комплекс на 10,6% выше, чем в целом по промышленности России. Привлечение средств осуществлялось в основном за счет иностранных инвестиций - 112 млн. долларов (21,8% от всех инвестиций в основной капитал, для сравнения в среднем по промышленности России - 5,4%), средств коммерческих структур - соответственно 10,2% и 7,0%. В отличие от мировой практики, когда во многих странах прирост объемов иностранных инвестиций обычно следует за отечественными, в России в целом по промышленности продолжалось падение отечественных инвестиций в </w:t>
      </w:r>
      <w:smartTag w:uri="urn:schemas-microsoft-com:office:smarttags" w:element="metricconverter">
        <w:smartTagPr>
          <w:attr w:name="ProductID" w:val="1998 г"/>
        </w:smartTagPr>
        <w:r w:rsidRPr="00A42F44">
          <w:rPr>
            <w:rStyle w:val="FontStyle33"/>
            <w:color w:val="000000"/>
            <w:sz w:val="28"/>
            <w:szCs w:val="28"/>
          </w:rPr>
          <w:t>1998 г</w:t>
        </w:r>
      </w:smartTag>
      <w:r w:rsidRPr="00A42F44">
        <w:rPr>
          <w:rStyle w:val="FontStyle33"/>
          <w:color w:val="000000"/>
          <w:sz w:val="28"/>
          <w:szCs w:val="28"/>
        </w:rPr>
        <w:t>. на 19,1%, в том числе по лесопромышленному комплексу - на 12,2%, что не способствует повышению активности привлечения инвестиций из-за рубежа.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bookmarkStart w:id="3" w:name="bookmark27"/>
      <w:r w:rsidRPr="00A42F44">
        <w:rPr>
          <w:rStyle w:val="FontStyle33"/>
          <w:color w:val="000000"/>
          <w:sz w:val="28"/>
          <w:szCs w:val="28"/>
        </w:rPr>
        <w:t>П</w:t>
      </w:r>
      <w:bookmarkEnd w:id="3"/>
      <w:r w:rsidRPr="00A42F44">
        <w:rPr>
          <w:rStyle w:val="FontStyle33"/>
          <w:color w:val="000000"/>
          <w:sz w:val="28"/>
          <w:szCs w:val="28"/>
        </w:rPr>
        <w:t xml:space="preserve">о данным Госкомстата России, в </w:t>
      </w:r>
      <w:smartTag w:uri="urn:schemas-microsoft-com:office:smarttags" w:element="metricconverter">
        <w:smartTagPr>
          <w:attr w:name="ProductID" w:val="2005 г"/>
        </w:smartTagPr>
        <w:r w:rsidRPr="00A42F44">
          <w:rPr>
            <w:rStyle w:val="FontStyle33"/>
            <w:color w:val="000000"/>
            <w:sz w:val="28"/>
            <w:szCs w:val="28"/>
          </w:rPr>
          <w:t>2005 г</w:t>
        </w:r>
      </w:smartTag>
      <w:r w:rsidRPr="00A42F44">
        <w:rPr>
          <w:rStyle w:val="FontStyle33"/>
          <w:color w:val="000000"/>
          <w:sz w:val="28"/>
          <w:szCs w:val="28"/>
        </w:rPr>
        <w:t>. кредиты банков в разрезе отраслей лесопромышленного комплекса распределялись в следующих объемах: лесозаготовительная - 10,3 млн.руб. (3%), деревообрабатывающая - 235,1 млн.руб. (68,8%), целлюлозно-бумажная - 96,2 млн.руб. (28,2%). Приоритет деревообрабатывающей промышленности в привлечении частных инвестиций свидетельствует о сравнительно быстрой окупаемости и относительно небольшой капиталоемкости реализуемых проектов в этой отрасли ЛПК.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3"/>
          <w:color w:val="000000"/>
          <w:sz w:val="28"/>
          <w:szCs w:val="28"/>
        </w:rPr>
      </w:pPr>
      <w:r w:rsidRPr="00A42F44">
        <w:rPr>
          <w:rStyle w:val="FontStyle33"/>
          <w:color w:val="000000"/>
          <w:sz w:val="28"/>
          <w:szCs w:val="28"/>
        </w:rPr>
        <w:t>Сравнение инвестиционных процессов в лесопромышленном комплексе России и остальном мире показывает, что комплексу требуются большие капитальные вложения, особенно в производство продукции высокой степени обработки (целлюлоза, бумага, картон, древесные плиты, пиломатериалы, мебель). Процессы, наблюдаемые в ЛПК России, не могут не вызывать тревоги. Фактически происходит появление новых мощных конкурентов на мировом рынке лесобумажной продукции, оснащенных самой передовой техникой и технологией, позволяющей выпускать высококачественные товары. Эта тенденция все более четко прослеживается в отношении ЛПК России, где выбытие производственных мощностей, как правило, морально и физически устаревших, и отсутствие их ввода приводит к вытеснению продукции предприятий с мирового рынка. В этой связи остро стоит вопрос о разработке государственной промышленной политики в лесопромышленном комплексе России, где для привлечения инвестиций в крупные и стратегически важные проекты необходимо более активное использование бюджетных, кредитных, собственных и иностранных инвестиций.</w:t>
      </w:r>
    </w:p>
    <w:p w:rsidR="00B844D6" w:rsidRPr="00A42F44" w:rsidRDefault="00B844D6" w:rsidP="00A42F44">
      <w:pPr>
        <w:spacing w:line="360" w:lineRule="auto"/>
        <w:ind w:firstLine="709"/>
        <w:rPr>
          <w:rStyle w:val="FontStyle30"/>
          <w:color w:val="000000"/>
          <w:sz w:val="28"/>
          <w:szCs w:val="28"/>
        </w:rPr>
      </w:pPr>
      <w:bookmarkStart w:id="4" w:name="bookmark28"/>
      <w:r w:rsidRPr="00A42F44">
        <w:rPr>
          <w:rStyle w:val="FontStyle33"/>
          <w:color w:val="000000"/>
          <w:sz w:val="28"/>
          <w:szCs w:val="28"/>
        </w:rPr>
        <w:t>Н</w:t>
      </w:r>
      <w:bookmarkEnd w:id="4"/>
      <w:r w:rsidRPr="00A42F44">
        <w:rPr>
          <w:rStyle w:val="FontStyle33"/>
          <w:color w:val="000000"/>
          <w:sz w:val="28"/>
          <w:szCs w:val="28"/>
        </w:rPr>
        <w:t xml:space="preserve">есмотря на потенциальные возможности ЛПК, - база которого лесной фонд- государство их не использует. Доля госсектора в общем объеме производства деловой древесины составила в </w:t>
      </w:r>
      <w:smartTag w:uri="urn:schemas-microsoft-com:office:smarttags" w:element="metricconverter">
        <w:smartTagPr>
          <w:attr w:name="ProductID" w:val="2005 г"/>
        </w:smartTagPr>
        <w:r w:rsidRPr="00A42F44">
          <w:rPr>
            <w:rStyle w:val="FontStyle33"/>
            <w:color w:val="000000"/>
            <w:sz w:val="28"/>
            <w:szCs w:val="28"/>
          </w:rPr>
          <w:t>2005 г</w:t>
        </w:r>
      </w:smartTag>
      <w:r w:rsidRPr="00A42F44">
        <w:rPr>
          <w:rStyle w:val="FontStyle33"/>
          <w:color w:val="000000"/>
          <w:sz w:val="28"/>
          <w:szCs w:val="28"/>
        </w:rPr>
        <w:t xml:space="preserve">. 11,1%, пиломатериалов -18,1%, шпалы - 22%, целлюлозы - 0,04%, бумаги - 4,9%, картона - 0,2%, сальдированный финансовый результат организации госсектора лесной, деревообрабатывающей и целлюлозно-бумажной промышленности за </w:t>
      </w:r>
      <w:smartTag w:uri="urn:schemas-microsoft-com:office:smarttags" w:element="metricconverter">
        <w:smartTagPr>
          <w:attr w:name="ProductID" w:val="2005 г"/>
        </w:smartTagPr>
        <w:r w:rsidRPr="00A42F44">
          <w:rPr>
            <w:rStyle w:val="FontStyle33"/>
            <w:color w:val="000000"/>
            <w:sz w:val="28"/>
            <w:szCs w:val="28"/>
          </w:rPr>
          <w:t>2005 г</w:t>
        </w:r>
      </w:smartTag>
      <w:r w:rsidRPr="00A42F44">
        <w:rPr>
          <w:rStyle w:val="FontStyle33"/>
          <w:color w:val="000000"/>
          <w:sz w:val="28"/>
          <w:szCs w:val="28"/>
        </w:rPr>
        <w:t>. - около 1 млрд. рублей.</w:t>
      </w:r>
      <w:r w:rsidR="0028659B" w:rsidRPr="00A42F44">
        <w:rPr>
          <w:rStyle w:val="FontStyle30"/>
          <w:color w:val="000000"/>
          <w:sz w:val="28"/>
          <w:szCs w:val="28"/>
        </w:rPr>
        <w:t xml:space="preserve"> </w:t>
      </w:r>
      <w:bookmarkStart w:id="5" w:name="_GoBack"/>
      <w:bookmarkEnd w:id="5"/>
    </w:p>
    <w:sectPr w:rsidR="00B844D6" w:rsidRPr="00A42F44" w:rsidSect="00A42F4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movePersonalInformatio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44D6"/>
    <w:rsid w:val="000A7EB6"/>
    <w:rsid w:val="001035D4"/>
    <w:rsid w:val="0019068B"/>
    <w:rsid w:val="001C0B2F"/>
    <w:rsid w:val="001C4871"/>
    <w:rsid w:val="0028659B"/>
    <w:rsid w:val="003A0830"/>
    <w:rsid w:val="004E748F"/>
    <w:rsid w:val="00504D53"/>
    <w:rsid w:val="00584945"/>
    <w:rsid w:val="005B19A8"/>
    <w:rsid w:val="00607940"/>
    <w:rsid w:val="00633045"/>
    <w:rsid w:val="00636483"/>
    <w:rsid w:val="008522C3"/>
    <w:rsid w:val="009157C3"/>
    <w:rsid w:val="00926A2A"/>
    <w:rsid w:val="009E09B5"/>
    <w:rsid w:val="00A42F44"/>
    <w:rsid w:val="00A46744"/>
    <w:rsid w:val="00B844D6"/>
    <w:rsid w:val="00BD5254"/>
    <w:rsid w:val="00C060FD"/>
    <w:rsid w:val="00CF08AE"/>
    <w:rsid w:val="00D17D9A"/>
    <w:rsid w:val="00D77651"/>
    <w:rsid w:val="00E54063"/>
    <w:rsid w:val="00E5542B"/>
    <w:rsid w:val="00F934A9"/>
    <w:rsid w:val="00FB36F6"/>
    <w:rsid w:val="00FE4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7940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styleId="1">
    <w:name w:val="heading 1"/>
    <w:basedOn w:val="a"/>
    <w:next w:val="a0"/>
    <w:link w:val="10"/>
    <w:uiPriority w:val="99"/>
    <w:qFormat/>
    <w:rsid w:val="00607940"/>
    <w:pPr>
      <w:keepNext/>
      <w:keepLines/>
      <w:pageBreakBefore/>
      <w:suppressAutoHyphens/>
      <w:spacing w:before="640" w:after="320"/>
      <w:jc w:val="center"/>
      <w:outlineLvl w:val="0"/>
    </w:pPr>
    <w:rPr>
      <w:b/>
      <w:bCs/>
      <w:kern w:val="32"/>
      <w:sz w:val="32"/>
      <w:szCs w:val="32"/>
    </w:rPr>
  </w:style>
  <w:style w:type="paragraph" w:styleId="2">
    <w:name w:val="heading 2"/>
    <w:basedOn w:val="a"/>
    <w:next w:val="a0"/>
    <w:link w:val="20"/>
    <w:uiPriority w:val="99"/>
    <w:qFormat/>
    <w:rsid w:val="00607940"/>
    <w:pPr>
      <w:keepNext/>
      <w:keepLines/>
      <w:suppressAutoHyphens/>
      <w:spacing w:before="480" w:after="240"/>
      <w:jc w:val="center"/>
      <w:outlineLvl w:val="1"/>
    </w:pPr>
    <w:rPr>
      <w:b/>
      <w:bCs/>
      <w:iCs/>
      <w:sz w:val="30"/>
    </w:rPr>
  </w:style>
  <w:style w:type="paragraph" w:styleId="3">
    <w:name w:val="heading 3"/>
    <w:basedOn w:val="a"/>
    <w:next w:val="a0"/>
    <w:link w:val="30"/>
    <w:uiPriority w:val="99"/>
    <w:qFormat/>
    <w:rsid w:val="00607940"/>
    <w:pPr>
      <w:keepNext/>
      <w:keepLines/>
      <w:suppressAutoHyphens/>
      <w:spacing w:before="360" w:after="240"/>
      <w:jc w:val="center"/>
      <w:outlineLvl w:val="2"/>
    </w:pPr>
    <w:rPr>
      <w:b/>
      <w:bCs/>
      <w:i/>
      <w:szCs w:val="26"/>
    </w:rPr>
  </w:style>
  <w:style w:type="paragraph" w:styleId="4">
    <w:name w:val="heading 4"/>
    <w:basedOn w:val="a"/>
    <w:next w:val="a0"/>
    <w:link w:val="40"/>
    <w:uiPriority w:val="99"/>
    <w:qFormat/>
    <w:rsid w:val="00607940"/>
    <w:pPr>
      <w:keepNext/>
      <w:keepLines/>
      <w:suppressAutoHyphens/>
      <w:spacing w:before="240" w:after="120"/>
      <w:ind w:left="709"/>
      <w:jc w:val="left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rsid w:val="00A46744"/>
    <w:pPr>
      <w:overflowPunct w:val="0"/>
      <w:spacing w:before="240" w:after="120"/>
      <w:ind w:left="737"/>
      <w:textAlignment w:val="baseline"/>
      <w:outlineLvl w:val="4"/>
    </w:pPr>
    <w:rPr>
      <w:rFonts w:ascii="Arial CYR" w:hAnsi="Arial CYR" w:cs="Arial CYR"/>
      <w:b/>
      <w:bCs/>
      <w:i/>
      <w:iCs/>
      <w:sz w:val="28"/>
      <w:szCs w:val="28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A46744"/>
    <w:pPr>
      <w:keepNext/>
      <w:jc w:val="center"/>
      <w:outlineLvl w:val="5"/>
    </w:pPr>
    <w:rPr>
      <w:b/>
      <w:bCs/>
      <w:sz w:val="28"/>
      <w:szCs w:val="28"/>
      <w:lang w:eastAsia="en-US"/>
    </w:rPr>
  </w:style>
  <w:style w:type="paragraph" w:styleId="7">
    <w:name w:val="heading 7"/>
    <w:basedOn w:val="a"/>
    <w:next w:val="a"/>
    <w:link w:val="70"/>
    <w:uiPriority w:val="99"/>
    <w:qFormat/>
    <w:rsid w:val="00A46744"/>
    <w:pPr>
      <w:keepNext/>
      <w:jc w:val="center"/>
      <w:outlineLvl w:val="6"/>
    </w:pPr>
    <w:rPr>
      <w:sz w:val="28"/>
      <w:szCs w:val="28"/>
      <w:u w:val="double"/>
      <w:lang w:eastAsia="en-US"/>
    </w:rPr>
  </w:style>
  <w:style w:type="paragraph" w:styleId="8">
    <w:name w:val="heading 8"/>
    <w:basedOn w:val="a"/>
    <w:next w:val="a"/>
    <w:link w:val="80"/>
    <w:uiPriority w:val="99"/>
    <w:qFormat/>
    <w:rsid w:val="00A46744"/>
    <w:pPr>
      <w:keepNext/>
      <w:ind w:firstLine="709"/>
      <w:outlineLvl w:val="7"/>
    </w:pPr>
    <w:rPr>
      <w:b/>
      <w:bCs/>
      <w:sz w:val="28"/>
      <w:szCs w:val="28"/>
      <w:lang w:val="en-US" w:eastAsia="en-US"/>
    </w:rPr>
  </w:style>
  <w:style w:type="paragraph" w:styleId="9">
    <w:name w:val="heading 9"/>
    <w:basedOn w:val="a"/>
    <w:next w:val="a"/>
    <w:link w:val="90"/>
    <w:uiPriority w:val="99"/>
    <w:qFormat/>
    <w:rsid w:val="00A46744"/>
    <w:pPr>
      <w:keepNext/>
      <w:jc w:val="center"/>
      <w:outlineLvl w:val="8"/>
    </w:pPr>
    <w:rPr>
      <w:b/>
      <w:bCs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character" w:styleId="a4">
    <w:name w:val="Hyperlink"/>
    <w:uiPriority w:val="99"/>
    <w:rsid w:val="00A46744"/>
    <w:rPr>
      <w:rFonts w:cs="Times New Roman"/>
      <w:color w:val="0000FF"/>
      <w:u w:val="single"/>
    </w:rPr>
  </w:style>
  <w:style w:type="character" w:styleId="a5">
    <w:name w:val="footnote reference"/>
    <w:uiPriority w:val="99"/>
    <w:semiHidden/>
    <w:rsid w:val="00607940"/>
    <w:rPr>
      <w:rFonts w:ascii="Times New Roman" w:hAnsi="Times New Roman" w:cs="Times New Roman"/>
      <w:vertAlign w:val="superscript"/>
    </w:rPr>
  </w:style>
  <w:style w:type="paragraph" w:styleId="a6">
    <w:name w:val="footer"/>
    <w:basedOn w:val="a"/>
    <w:link w:val="a7"/>
    <w:uiPriority w:val="99"/>
    <w:rsid w:val="00A46744"/>
    <w:pPr>
      <w:tabs>
        <w:tab w:val="center" w:pos="4677"/>
        <w:tab w:val="right" w:pos="9355"/>
      </w:tabs>
      <w:ind w:firstLine="709"/>
    </w:pPr>
    <w:rPr>
      <w:sz w:val="28"/>
      <w:szCs w:val="28"/>
      <w:lang w:val="en-US" w:eastAsia="en-US"/>
    </w:r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A46744"/>
    <w:rPr>
      <w:rFonts w:cs="Times New Roman"/>
    </w:rPr>
  </w:style>
  <w:style w:type="paragraph" w:styleId="11">
    <w:name w:val="toc 1"/>
    <w:basedOn w:val="a"/>
    <w:next w:val="a"/>
    <w:autoRedefine/>
    <w:uiPriority w:val="99"/>
    <w:semiHidden/>
    <w:rsid w:val="00A46744"/>
    <w:pPr>
      <w:spacing w:before="120"/>
      <w:ind w:right="567"/>
      <w:jc w:val="left"/>
    </w:pPr>
    <w:rPr>
      <w:b/>
      <w:bCs/>
      <w:caps/>
      <w:noProof/>
    </w:rPr>
  </w:style>
  <w:style w:type="paragraph" w:styleId="21">
    <w:name w:val="toc 2"/>
    <w:basedOn w:val="a"/>
    <w:next w:val="a"/>
    <w:autoRedefine/>
    <w:uiPriority w:val="99"/>
    <w:semiHidden/>
    <w:rsid w:val="00A46744"/>
    <w:pPr>
      <w:ind w:left="284" w:right="567"/>
      <w:jc w:val="left"/>
    </w:pPr>
    <w:rPr>
      <w:smallCaps/>
      <w:noProof/>
    </w:rPr>
  </w:style>
  <w:style w:type="paragraph" w:styleId="31">
    <w:name w:val="toc 3"/>
    <w:basedOn w:val="a"/>
    <w:next w:val="a"/>
    <w:autoRedefine/>
    <w:uiPriority w:val="99"/>
    <w:semiHidden/>
    <w:rsid w:val="00A46744"/>
    <w:pPr>
      <w:ind w:left="560"/>
      <w:jc w:val="left"/>
    </w:pPr>
    <w:rPr>
      <w:i/>
      <w:iCs/>
    </w:rPr>
  </w:style>
  <w:style w:type="paragraph" w:styleId="41">
    <w:name w:val="toc 4"/>
    <w:basedOn w:val="a"/>
    <w:next w:val="a"/>
    <w:autoRedefine/>
    <w:uiPriority w:val="99"/>
    <w:semiHidden/>
    <w:rsid w:val="00A46744"/>
    <w:pPr>
      <w:ind w:left="840"/>
      <w:jc w:val="left"/>
    </w:pPr>
  </w:style>
  <w:style w:type="paragraph" w:styleId="51">
    <w:name w:val="toc 5"/>
    <w:basedOn w:val="a"/>
    <w:next w:val="a"/>
    <w:autoRedefine/>
    <w:uiPriority w:val="99"/>
    <w:semiHidden/>
    <w:rsid w:val="00A46744"/>
    <w:pPr>
      <w:ind w:left="1120"/>
      <w:jc w:val="left"/>
    </w:pPr>
  </w:style>
  <w:style w:type="paragraph" w:styleId="61">
    <w:name w:val="toc 6"/>
    <w:basedOn w:val="a"/>
    <w:next w:val="a"/>
    <w:autoRedefine/>
    <w:uiPriority w:val="99"/>
    <w:semiHidden/>
    <w:rsid w:val="00A46744"/>
    <w:pPr>
      <w:ind w:left="1400"/>
      <w:jc w:val="left"/>
    </w:pPr>
  </w:style>
  <w:style w:type="paragraph" w:styleId="71">
    <w:name w:val="toc 7"/>
    <w:basedOn w:val="a"/>
    <w:next w:val="a"/>
    <w:autoRedefine/>
    <w:uiPriority w:val="99"/>
    <w:semiHidden/>
    <w:rsid w:val="00A46744"/>
    <w:pPr>
      <w:ind w:left="1680"/>
      <w:jc w:val="left"/>
    </w:pPr>
  </w:style>
  <w:style w:type="paragraph" w:styleId="81">
    <w:name w:val="toc 8"/>
    <w:basedOn w:val="a"/>
    <w:next w:val="a"/>
    <w:autoRedefine/>
    <w:uiPriority w:val="99"/>
    <w:semiHidden/>
    <w:rsid w:val="00A46744"/>
    <w:pPr>
      <w:ind w:left="1960"/>
      <w:jc w:val="left"/>
    </w:pPr>
  </w:style>
  <w:style w:type="paragraph" w:styleId="91">
    <w:name w:val="toc 9"/>
    <w:basedOn w:val="a"/>
    <w:next w:val="a"/>
    <w:autoRedefine/>
    <w:uiPriority w:val="99"/>
    <w:semiHidden/>
    <w:rsid w:val="00A46744"/>
    <w:pPr>
      <w:ind w:left="2240"/>
      <w:jc w:val="left"/>
    </w:pPr>
  </w:style>
  <w:style w:type="paragraph" w:styleId="a9">
    <w:name w:val="footnote text"/>
    <w:basedOn w:val="a"/>
    <w:link w:val="aa"/>
    <w:uiPriority w:val="99"/>
    <w:semiHidden/>
    <w:rsid w:val="00607940"/>
    <w:pPr>
      <w:keepLines/>
      <w:widowControl/>
      <w:ind w:firstLine="283"/>
    </w:pPr>
    <w:rPr>
      <w:szCs w:val="20"/>
    </w:rPr>
  </w:style>
  <w:style w:type="character" w:customStyle="1" w:styleId="aa">
    <w:name w:val="Текст сноски Знак"/>
    <w:link w:val="a9"/>
    <w:uiPriority w:val="99"/>
    <w:semiHidden/>
    <w:rPr>
      <w:sz w:val="20"/>
      <w:szCs w:val="20"/>
    </w:rPr>
  </w:style>
  <w:style w:type="paragraph" w:styleId="a0">
    <w:name w:val="Body Text"/>
    <w:basedOn w:val="a"/>
    <w:link w:val="ab"/>
    <w:uiPriority w:val="99"/>
    <w:rsid w:val="00607940"/>
    <w:pPr>
      <w:widowControl/>
      <w:ind w:firstLine="709"/>
    </w:pPr>
    <w:rPr>
      <w:sz w:val="28"/>
    </w:rPr>
  </w:style>
  <w:style w:type="character" w:customStyle="1" w:styleId="ab">
    <w:name w:val="Основной текст Знак"/>
    <w:link w:val="a0"/>
    <w:uiPriority w:val="99"/>
    <w:semiHidden/>
    <w:rPr>
      <w:sz w:val="24"/>
      <w:szCs w:val="24"/>
    </w:rPr>
  </w:style>
  <w:style w:type="paragraph" w:customStyle="1" w:styleId="ac">
    <w:name w:val="Название рисунка"/>
    <w:basedOn w:val="a0"/>
    <w:next w:val="a0"/>
    <w:uiPriority w:val="99"/>
    <w:rsid w:val="00607940"/>
    <w:pPr>
      <w:keepLines/>
      <w:suppressAutoHyphens/>
      <w:spacing w:after="240"/>
      <w:ind w:firstLine="0"/>
      <w:contextualSpacing/>
      <w:jc w:val="center"/>
    </w:pPr>
  </w:style>
  <w:style w:type="paragraph" w:customStyle="1" w:styleId="ad">
    <w:name w:val="Название таблицы"/>
    <w:basedOn w:val="a"/>
    <w:uiPriority w:val="99"/>
    <w:rsid w:val="00607940"/>
    <w:pPr>
      <w:keepNext/>
      <w:keepLines/>
      <w:suppressAutoHyphens/>
      <w:spacing w:before="120" w:after="120"/>
      <w:contextualSpacing/>
      <w:jc w:val="center"/>
    </w:pPr>
    <w:rPr>
      <w:b/>
    </w:rPr>
  </w:style>
  <w:style w:type="paragraph" w:customStyle="1" w:styleId="ae">
    <w:name w:val="Номер таблицы"/>
    <w:basedOn w:val="a"/>
    <w:uiPriority w:val="99"/>
    <w:rsid w:val="00607940"/>
    <w:pPr>
      <w:keepNext/>
      <w:keepLines/>
      <w:suppressAutoHyphens/>
      <w:spacing w:before="240" w:after="120"/>
      <w:contextualSpacing/>
      <w:jc w:val="right"/>
    </w:pPr>
    <w:rPr>
      <w:i/>
    </w:rPr>
  </w:style>
  <w:style w:type="paragraph" w:customStyle="1" w:styleId="af">
    <w:name w:val="Номер формулы"/>
    <w:basedOn w:val="a0"/>
    <w:next w:val="a0"/>
    <w:uiPriority w:val="99"/>
    <w:rsid w:val="00607940"/>
    <w:pPr>
      <w:keepLines/>
      <w:suppressAutoHyphens/>
      <w:ind w:firstLine="0"/>
      <w:contextualSpacing/>
      <w:jc w:val="right"/>
    </w:pPr>
  </w:style>
  <w:style w:type="paragraph" w:customStyle="1" w:styleId="af0">
    <w:name w:val="Параграф рисунка"/>
    <w:basedOn w:val="a"/>
    <w:uiPriority w:val="99"/>
    <w:rsid w:val="00607940"/>
    <w:pPr>
      <w:keepLines/>
      <w:widowControl/>
      <w:shd w:val="clear" w:color="auto" w:fill="FFFFFF"/>
      <w:suppressAutoHyphens/>
      <w:spacing w:before="480" w:after="480"/>
      <w:jc w:val="center"/>
    </w:pPr>
    <w:rPr>
      <w:bCs/>
      <w:sz w:val="28"/>
      <w:szCs w:val="18"/>
    </w:rPr>
  </w:style>
  <w:style w:type="paragraph" w:customStyle="1" w:styleId="af1">
    <w:name w:val="Примечание таблицы"/>
    <w:basedOn w:val="a"/>
    <w:next w:val="a0"/>
    <w:uiPriority w:val="99"/>
    <w:rsid w:val="00607940"/>
    <w:pPr>
      <w:shd w:val="clear" w:color="auto" w:fill="FFFFFF"/>
      <w:suppressAutoHyphens/>
      <w:spacing w:before="80" w:after="320"/>
      <w:ind w:firstLine="283"/>
      <w:contextualSpacing/>
    </w:pPr>
    <w:rPr>
      <w:bCs/>
      <w:position w:val="-8"/>
      <w:szCs w:val="58"/>
    </w:rPr>
  </w:style>
  <w:style w:type="table" w:customStyle="1" w:styleId="32">
    <w:name w:val="3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7">
    <w:name w:val="57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28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2">
    <w:name w:val="Формула"/>
    <w:basedOn w:val="a0"/>
    <w:next w:val="a0"/>
    <w:uiPriority w:val="99"/>
    <w:rsid w:val="00607940"/>
    <w:pPr>
      <w:keepLines/>
      <w:shd w:val="clear" w:color="auto" w:fill="FFFFFF"/>
      <w:tabs>
        <w:tab w:val="center" w:pos="4678"/>
        <w:tab w:val="right" w:pos="9923"/>
      </w:tabs>
      <w:suppressAutoHyphens/>
      <w:spacing w:before="240" w:after="240" w:line="360" w:lineRule="auto"/>
      <w:ind w:firstLine="0"/>
      <w:contextualSpacing/>
      <w:jc w:val="center"/>
    </w:pPr>
    <w:rPr>
      <w:bCs/>
      <w:szCs w:val="28"/>
    </w:rPr>
  </w:style>
  <w:style w:type="paragraph" w:customStyle="1" w:styleId="af3">
    <w:name w:val="Шапка таблицы"/>
    <w:basedOn w:val="a"/>
    <w:uiPriority w:val="99"/>
    <w:rsid w:val="00607940"/>
    <w:pPr>
      <w:keepNext/>
      <w:keepLines/>
      <w:jc w:val="center"/>
    </w:pPr>
    <w:rPr>
      <w:szCs w:val="20"/>
    </w:rPr>
  </w:style>
  <w:style w:type="paragraph" w:customStyle="1" w:styleId="Style1">
    <w:name w:val="Style1"/>
    <w:basedOn w:val="a"/>
    <w:uiPriority w:val="99"/>
    <w:rsid w:val="00B844D6"/>
    <w:pPr>
      <w:jc w:val="left"/>
    </w:pPr>
  </w:style>
  <w:style w:type="paragraph" w:customStyle="1" w:styleId="Style4">
    <w:name w:val="Style4"/>
    <w:basedOn w:val="a"/>
    <w:uiPriority w:val="99"/>
    <w:rsid w:val="00B844D6"/>
    <w:pPr>
      <w:jc w:val="left"/>
    </w:pPr>
  </w:style>
  <w:style w:type="paragraph" w:customStyle="1" w:styleId="Style5">
    <w:name w:val="Style5"/>
    <w:basedOn w:val="a"/>
    <w:uiPriority w:val="99"/>
    <w:rsid w:val="00B844D6"/>
    <w:pPr>
      <w:jc w:val="left"/>
    </w:pPr>
  </w:style>
  <w:style w:type="paragraph" w:customStyle="1" w:styleId="Style7">
    <w:name w:val="Style7"/>
    <w:basedOn w:val="a"/>
    <w:uiPriority w:val="99"/>
    <w:rsid w:val="00B844D6"/>
    <w:pPr>
      <w:jc w:val="left"/>
    </w:pPr>
  </w:style>
  <w:style w:type="paragraph" w:customStyle="1" w:styleId="Style9">
    <w:name w:val="Style9"/>
    <w:basedOn w:val="a"/>
    <w:uiPriority w:val="99"/>
    <w:rsid w:val="00B844D6"/>
    <w:pPr>
      <w:jc w:val="left"/>
    </w:pPr>
  </w:style>
  <w:style w:type="paragraph" w:customStyle="1" w:styleId="Style10">
    <w:name w:val="Style10"/>
    <w:basedOn w:val="a"/>
    <w:uiPriority w:val="99"/>
    <w:rsid w:val="00B844D6"/>
    <w:pPr>
      <w:jc w:val="left"/>
    </w:pPr>
  </w:style>
  <w:style w:type="paragraph" w:customStyle="1" w:styleId="Style11">
    <w:name w:val="Style11"/>
    <w:basedOn w:val="a"/>
    <w:uiPriority w:val="99"/>
    <w:rsid w:val="00B844D6"/>
    <w:pPr>
      <w:jc w:val="left"/>
    </w:pPr>
  </w:style>
  <w:style w:type="paragraph" w:customStyle="1" w:styleId="Style14">
    <w:name w:val="Style14"/>
    <w:basedOn w:val="a"/>
    <w:uiPriority w:val="99"/>
    <w:rsid w:val="00B844D6"/>
    <w:pPr>
      <w:jc w:val="left"/>
    </w:pPr>
  </w:style>
  <w:style w:type="paragraph" w:customStyle="1" w:styleId="Style16">
    <w:name w:val="Style16"/>
    <w:basedOn w:val="a"/>
    <w:uiPriority w:val="99"/>
    <w:rsid w:val="00B844D6"/>
    <w:pPr>
      <w:jc w:val="left"/>
    </w:pPr>
  </w:style>
  <w:style w:type="paragraph" w:customStyle="1" w:styleId="Style18">
    <w:name w:val="Style18"/>
    <w:basedOn w:val="a"/>
    <w:uiPriority w:val="99"/>
    <w:rsid w:val="00B844D6"/>
    <w:pPr>
      <w:jc w:val="left"/>
    </w:pPr>
  </w:style>
  <w:style w:type="paragraph" w:customStyle="1" w:styleId="Style19">
    <w:name w:val="Style19"/>
    <w:basedOn w:val="a"/>
    <w:uiPriority w:val="99"/>
    <w:rsid w:val="00B844D6"/>
    <w:pPr>
      <w:jc w:val="left"/>
    </w:pPr>
  </w:style>
  <w:style w:type="paragraph" w:customStyle="1" w:styleId="Style22">
    <w:name w:val="Style22"/>
    <w:basedOn w:val="a"/>
    <w:uiPriority w:val="99"/>
    <w:rsid w:val="00B844D6"/>
    <w:pPr>
      <w:jc w:val="left"/>
    </w:pPr>
  </w:style>
  <w:style w:type="character" w:customStyle="1" w:styleId="FontStyle27">
    <w:name w:val="Font Style27"/>
    <w:uiPriority w:val="99"/>
    <w:rsid w:val="00B844D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uiPriority w:val="99"/>
    <w:rsid w:val="00B844D6"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uiPriority w:val="99"/>
    <w:rsid w:val="00B844D6"/>
    <w:rPr>
      <w:rFonts w:ascii="Times New Roman" w:hAnsi="Times New Roman" w:cs="Times New Roman"/>
      <w:sz w:val="22"/>
      <w:szCs w:val="22"/>
    </w:rPr>
  </w:style>
  <w:style w:type="character" w:customStyle="1" w:styleId="FontStyle30">
    <w:name w:val="Font Style30"/>
    <w:uiPriority w:val="99"/>
    <w:rsid w:val="00B844D6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uiPriority w:val="99"/>
    <w:rsid w:val="00B844D6"/>
    <w:rPr>
      <w:rFonts w:ascii="Times New Roman" w:hAnsi="Times New Roman" w:cs="Times New Roman"/>
      <w:sz w:val="14"/>
      <w:szCs w:val="14"/>
    </w:rPr>
  </w:style>
  <w:style w:type="character" w:customStyle="1" w:styleId="FontStyle33">
    <w:name w:val="Font Style33"/>
    <w:uiPriority w:val="99"/>
    <w:rsid w:val="00B844D6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2859</Words>
  <Characters>16298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Факторы, определяющие повышение эффективности лесопромышленного комплекса</vt:lpstr>
    </vt:vector>
  </TitlesOfParts>
  <Company/>
  <LinksUpToDate>false</LinksUpToDate>
  <CharactersWithSpaces>19119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Факторы, определяющие повышение эффективности лесопромышленного комплекса</dc:title>
  <dc:subject/>
  <dc:creator/>
  <cp:keywords/>
  <dc:description/>
  <cp:lastModifiedBy/>
  <cp:revision>1</cp:revision>
  <dcterms:created xsi:type="dcterms:W3CDTF">2014-03-07T18:56:00Z</dcterms:created>
  <dcterms:modified xsi:type="dcterms:W3CDTF">2014-03-07T18:56:00Z</dcterms:modified>
</cp:coreProperties>
</file>