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6E" w:rsidRDefault="008655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lang w:val="uk-UA"/>
        </w:rPr>
      </w:pPr>
      <w:r>
        <w:rPr>
          <w:rFonts w:ascii="Bookman Old Style" w:hAnsi="Bookman Old Style"/>
          <w:b/>
          <w:bCs/>
        </w:rPr>
        <w:t xml:space="preserve">ФАКТОРИ, ЩО </w:t>
      </w:r>
      <w:r>
        <w:rPr>
          <w:rFonts w:ascii="Bookman Old Style" w:hAnsi="Bookman Old Style"/>
          <w:b/>
          <w:bCs/>
          <w:lang w:val="uk-UA"/>
        </w:rPr>
        <w:t>ВПЛИВАЮТЬ НА РОЗВИТОК МАЛОГО ПІДПРИЄМНИЦТВА В УКРАЇНІ</w:t>
      </w:r>
    </w:p>
    <w:p w:rsidR="00652A6E" w:rsidRDefault="00652A6E">
      <w:pPr>
        <w:pStyle w:val="a3"/>
        <w:spacing w:before="0" w:beforeAutospacing="0" w:after="0" w:afterAutospacing="0"/>
        <w:ind w:firstLine="540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Уже відсвяткували свій десятирічний ювілей перші в Україні малі підприємства (ті, що зуміли вижити), підросли діти перших українських підприємців, а суспільство ще й досі вагається і не може відповісти на запитання, чи потрібен Україні малий бізнес і чи можлива трансформація економіки України без підприємців малого бізнесу.</w:t>
      </w:r>
      <w:r>
        <w:rPr>
          <w:rFonts w:ascii="Bookman Old Style" w:hAnsi="Bookman Old Style"/>
          <w:szCs w:val="20"/>
          <w:lang w:val="uk-UA"/>
        </w:rPr>
        <w:br/>
      </w:r>
      <w:r>
        <w:rPr>
          <w:rFonts w:ascii="Bookman Old Style" w:hAnsi="Bookman Old Style"/>
          <w:szCs w:val="20"/>
        </w:rPr>
        <w:t>Та практичну відповідь на це запитання ми маємо, що засвідчується даними офіційної статистики, згідно з якими у сфері малого підприємництва в Україні діє:</w:t>
      </w:r>
    </w:p>
    <w:p w:rsidR="00652A6E" w:rsidRDefault="00865525">
      <w:pPr>
        <w:pStyle w:val="a3"/>
        <w:numPr>
          <w:ilvl w:val="0"/>
          <w:numId w:val="2"/>
        </w:numPr>
        <w:tabs>
          <w:tab w:val="clear" w:pos="1260"/>
          <w:tab w:val="num" w:pos="720"/>
        </w:tabs>
        <w:spacing w:before="0" w:beforeAutospacing="0" w:after="0" w:afterAutospacing="0"/>
        <w:ind w:left="72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151,4 тис. малих підприємств із загальною чисельністю працівників 1,032 млн. чол.;</w:t>
      </w:r>
    </w:p>
    <w:p w:rsidR="00652A6E" w:rsidRDefault="00865525">
      <w:pPr>
        <w:pStyle w:val="a3"/>
        <w:numPr>
          <w:ilvl w:val="0"/>
          <w:numId w:val="2"/>
        </w:numPr>
        <w:tabs>
          <w:tab w:val="clear" w:pos="1260"/>
          <w:tab w:val="num" w:pos="720"/>
        </w:tabs>
        <w:spacing w:before="0" w:beforeAutospacing="0" w:after="0" w:afterAutospacing="0"/>
        <w:ind w:left="72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4,7 тис. спільних підприємств із загальною чисельністю працівників 95 тис. чол.;</w:t>
      </w:r>
    </w:p>
    <w:p w:rsidR="00652A6E" w:rsidRDefault="00865525">
      <w:pPr>
        <w:pStyle w:val="a3"/>
        <w:numPr>
          <w:ilvl w:val="0"/>
          <w:numId w:val="2"/>
        </w:numPr>
        <w:tabs>
          <w:tab w:val="clear" w:pos="1260"/>
          <w:tab w:val="num" w:pos="720"/>
        </w:tabs>
        <w:spacing w:before="0" w:beforeAutospacing="0" w:after="0" w:afterAutospacing="0"/>
        <w:ind w:left="72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35,5 тис. фермерських господарств із загальною чисельністю працівників 67 тис. чол.;</w:t>
      </w:r>
    </w:p>
    <w:p w:rsidR="00652A6E" w:rsidRDefault="00865525">
      <w:pPr>
        <w:pStyle w:val="a3"/>
        <w:numPr>
          <w:ilvl w:val="0"/>
          <w:numId w:val="2"/>
        </w:numPr>
        <w:tabs>
          <w:tab w:val="clear" w:pos="1260"/>
        </w:tabs>
        <w:spacing w:before="0" w:beforeAutospacing="0" w:after="0" w:afterAutospacing="0"/>
        <w:ind w:left="540" w:hanging="18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930 тис. індивідуальних підприємців, що працюють без створення юридичної особи.</w:t>
      </w:r>
    </w:p>
    <w:p w:rsidR="00652A6E" w:rsidRDefault="00652A6E">
      <w:pPr>
        <w:pStyle w:val="a3"/>
        <w:spacing w:before="0" w:beforeAutospacing="0" w:after="0" w:afterAutospacing="0"/>
        <w:ind w:firstLine="540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 xml:space="preserve">Отже, по Україні в сфері малого підприємництва зайнято понад 2,1 млн. чол., а виробляється в малому секторі економіки 7% ВВП. На 1000 чоловік населення маємо 3 малих підприємства. Це краплина в морі. </w:t>
      </w:r>
      <w:r>
        <w:rPr>
          <w:rFonts w:ascii="Bookman Old Style" w:hAnsi="Bookman Old Style"/>
          <w:szCs w:val="20"/>
          <w:lang w:val="uk-UA"/>
        </w:rPr>
        <w:t>В</w:t>
      </w:r>
      <w:r>
        <w:rPr>
          <w:rFonts w:ascii="Bookman Old Style" w:hAnsi="Bookman Old Style"/>
          <w:szCs w:val="20"/>
        </w:rPr>
        <w:t xml:space="preserve"> Україні мале підприємництво - це екзотика і хобі відчайдушних людей.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lang w:val="uk-UA"/>
        </w:rPr>
      </w:pPr>
    </w:p>
    <w:tbl>
      <w:tblPr>
        <w:tblW w:w="90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441"/>
        <w:gridCol w:w="941"/>
        <w:gridCol w:w="1014"/>
        <w:gridCol w:w="1216"/>
        <w:gridCol w:w="890"/>
        <w:gridCol w:w="994"/>
        <w:gridCol w:w="1162"/>
        <w:gridCol w:w="1417"/>
      </w:tblGrid>
      <w:tr w:rsidR="00652A6E">
        <w:trPr>
          <w:tblCellSpacing w:w="0" w:type="dxa"/>
          <w:jc w:val="center"/>
        </w:trPr>
        <w:tc>
          <w:tcPr>
            <w:tcW w:w="8295" w:type="dxa"/>
            <w:gridSpan w:val="8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Cs w:val="20"/>
              </w:rPr>
              <w:t>Стан розвитку малого підприємництва</w:t>
            </w:r>
            <w:r>
              <w:rPr>
                <w:rFonts w:ascii="Bookman Old Style" w:hAnsi="Bookman Old Style"/>
                <w:b/>
                <w:bCs/>
                <w:szCs w:val="20"/>
              </w:rPr>
              <w:br/>
            </w:r>
            <w:r>
              <w:rPr>
                <w:rStyle w:val="a4"/>
                <w:rFonts w:ascii="Bookman Old Style" w:hAnsi="Bookman Old Style"/>
                <w:b w:val="0"/>
                <w:bCs w:val="0"/>
                <w:szCs w:val="20"/>
              </w:rPr>
              <w:t>в розвинутих країнах світу і в Україні: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Показники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США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Японія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Велико-</w:t>
            </w:r>
            <w:r>
              <w:rPr>
                <w:rFonts w:ascii="Bookman Old Style" w:hAnsi="Bookman Old Style"/>
                <w:b/>
                <w:bCs/>
                <w:sz w:val="20"/>
                <w:szCs w:val="15"/>
              </w:rPr>
              <w:br/>
            </w: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британія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Італія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Німеч-</w:t>
            </w:r>
            <w:r>
              <w:rPr>
                <w:rFonts w:ascii="Bookman Old Style" w:hAnsi="Bookman Old Style"/>
                <w:b/>
                <w:bCs/>
                <w:sz w:val="20"/>
                <w:szCs w:val="15"/>
              </w:rPr>
              <w:br/>
            </w: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чина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Франція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Україна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Кількість МП (тис.)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19300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6450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2630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3920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2290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1980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151,4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Кількість МП на 1000 чол. населення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74,2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49,6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46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37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35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3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Зайнято в МП млн. чол.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70,2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39,5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13,6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16,8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18,5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15,2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2,1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Частка МП у загальній кількості зайнятих (%)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54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49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46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54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8,0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133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Частка МП у ВВП (%)</w:t>
            </w:r>
          </w:p>
        </w:tc>
        <w:tc>
          <w:tcPr>
            <w:tcW w:w="5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50--55</w:t>
            </w:r>
          </w:p>
        </w:tc>
        <w:tc>
          <w:tcPr>
            <w:tcW w:w="70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52--55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50--53</w:t>
            </w:r>
          </w:p>
        </w:tc>
        <w:tc>
          <w:tcPr>
            <w:tcW w:w="6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57--60</w:t>
            </w:r>
          </w:p>
        </w:tc>
        <w:tc>
          <w:tcPr>
            <w:tcW w:w="90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50--54</w:t>
            </w:r>
          </w:p>
        </w:tc>
        <w:tc>
          <w:tcPr>
            <w:tcW w:w="870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55--62</w:t>
            </w:r>
          </w:p>
        </w:tc>
        <w:tc>
          <w:tcPr>
            <w:tcW w:w="795" w:type="dxa"/>
            <w:vAlign w:val="center"/>
          </w:tcPr>
          <w:p w:rsidR="00652A6E" w:rsidRDefault="00865525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7,0</w:t>
            </w:r>
          </w:p>
        </w:tc>
      </w:tr>
      <w:tr w:rsidR="00652A6E">
        <w:trPr>
          <w:tblCellSpacing w:w="0" w:type="dxa"/>
          <w:jc w:val="center"/>
        </w:trPr>
        <w:tc>
          <w:tcPr>
            <w:tcW w:w="8295" w:type="dxa"/>
            <w:gridSpan w:val="8"/>
            <w:vAlign w:val="center"/>
          </w:tcPr>
          <w:p w:rsidR="00652A6E" w:rsidRDefault="00865525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Style w:val="a4"/>
                <w:rFonts w:ascii="Bookman Old Style" w:hAnsi="Bookman Old Style"/>
                <w:b w:val="0"/>
                <w:bCs w:val="0"/>
                <w:sz w:val="20"/>
                <w:szCs w:val="15"/>
              </w:rPr>
              <w:t>Джерело: Моніторинг інвестиційної діяльності в Україні. 1999. № 3. С. 49, 59.</w:t>
            </w:r>
          </w:p>
        </w:tc>
      </w:tr>
    </w:tbl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За станом розвитку малого підприємства Україна в десятки разів відстає від країн ЄС. Нас значно випереджають за всіма показниками розвитку малого підприємства Польща, Словенія, Чехія, Росія, Естонія та інші посткомуністичні держави.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Дослідження фахівців багатьох національних, міжнародних урядових і неурядових організацій, таких, наприклад, як Міжнародна фінансова корпорація, Міжнародний центр перспективних досліджень, Координаційно-експертний центр об'єднань підприємців України, Український незалежний центр політичних досліджень, Спілка підприємців малих, середніх та приватизованих підприємств України, Гарвардський університет міжнародного розвитку, а також науковців Національної академії України та вітчизняних вищих навчальних закладів, дають більш-менш узагальнюючу картину перешкод, котрі стримують і гальмують розвиток підприємництва в Україні.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За результатами соціологічних досліджень МФК та анкетування малих приватних підприємств, які проводив Центр соціальних експертиз і прогнозів Інституту соціології, проблеми і перешкоди для розвитку малого бізнесу в Україні можуть бути розподілені на кілька категорій.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Bookman Old Style" w:hAnsi="Bookman Old Style"/>
          <w:color w:val="800000"/>
          <w:szCs w:val="20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Bookman Old Style" w:hAnsi="Bookman Old Style"/>
          <w:color w:val="800000"/>
          <w:szCs w:val="20"/>
        </w:rPr>
      </w:pPr>
      <w:r>
        <w:rPr>
          <w:rStyle w:val="a4"/>
          <w:rFonts w:ascii="Bookman Old Style" w:hAnsi="Bookman Old Style"/>
          <w:color w:val="800000"/>
          <w:szCs w:val="20"/>
        </w:rPr>
        <w:t>Законодавчі та адміністративні фактори.</w:t>
      </w:r>
    </w:p>
    <w:p w:rsidR="00652A6E" w:rsidRDefault="00865525">
      <w:pPr>
        <w:pStyle w:val="a3"/>
        <w:spacing w:before="0" w:beforeAutospacing="0" w:after="0" w:afterAutospacing="0"/>
        <w:ind w:firstLine="54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Це фактори, пов'язані із законодавством України та податковою системою, або, іншими словами, перешкоди, створені державою, які включають: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>високі податки (на що вказали 97% респондентів);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>велика кількість різних податків (86% респондентів);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  <w:lang w:val="uk-UA"/>
        </w:rPr>
        <w:t>часті зміни до вимог податкової звітності (77% респондентів);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  <w:lang w:val="uk-UA"/>
        </w:rPr>
        <w:t xml:space="preserve">велика кількість видів підприємницької діяльності, які підлягають ліцензуванню </w:t>
      </w:r>
      <w:r>
        <w:rPr>
          <w:rFonts w:ascii="Bookman Old Style" w:hAnsi="Bookman Old Style"/>
          <w:szCs w:val="20"/>
        </w:rPr>
        <w:t>(42%) та заскладна процедура отримання ліцензій (16%);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>заскладна процедура реєстрації підприємства (41%);</w:t>
      </w:r>
    </w:p>
    <w:p w:rsidR="00652A6E" w:rsidRDefault="00865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>часті перевірки державними органами (38% респондентів);</w:t>
      </w:r>
    </w:p>
    <w:p w:rsidR="00652A6E" w:rsidRDefault="00652A6E">
      <w:pPr>
        <w:pStyle w:val="a3"/>
        <w:spacing w:before="0" w:beforeAutospacing="0" w:after="0" w:afterAutospacing="0"/>
        <w:jc w:val="both"/>
        <w:rPr>
          <w:rStyle w:val="a4"/>
          <w:rFonts w:ascii="Bookman Old Style" w:hAnsi="Bookman Old Style"/>
          <w:color w:val="800000"/>
          <w:szCs w:val="20"/>
        </w:rPr>
      </w:pPr>
    </w:p>
    <w:p w:rsidR="00652A6E" w:rsidRDefault="00865525">
      <w:pPr>
        <w:pStyle w:val="a3"/>
        <w:spacing w:before="0" w:beforeAutospacing="0" w:after="0" w:afterAutospacing="0"/>
        <w:jc w:val="both"/>
        <w:rPr>
          <w:rStyle w:val="a4"/>
          <w:rFonts w:ascii="Bookman Old Style" w:hAnsi="Bookman Old Style"/>
          <w:color w:val="800000"/>
          <w:szCs w:val="20"/>
        </w:rPr>
      </w:pPr>
      <w:r>
        <w:rPr>
          <w:rStyle w:val="a4"/>
          <w:rFonts w:ascii="Bookman Old Style" w:hAnsi="Bookman Old Style"/>
          <w:color w:val="800000"/>
          <w:szCs w:val="20"/>
        </w:rPr>
        <w:t>Ринкові умови</w:t>
      </w:r>
    </w:p>
    <w:p w:rsidR="00652A6E" w:rsidRDefault="00865525">
      <w:pPr>
        <w:pStyle w:val="a3"/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Фактори, пов'язані з підприємницькою діяльністю взагалі: - низький попит на продукцію (57% респондентів);</w:t>
      </w:r>
    </w:p>
    <w:p w:rsidR="00652A6E" w:rsidRDefault="008655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неплатежі з боку клієнтів (57% опитаних);</w:t>
      </w:r>
    </w:p>
    <w:p w:rsidR="00652A6E" w:rsidRDefault="008655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труднощі з отриманням кредиту (52%);</w:t>
      </w:r>
    </w:p>
    <w:p w:rsidR="00652A6E" w:rsidRDefault="008655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тиск з боку кримінальних елементів (30%);</w:t>
      </w:r>
    </w:p>
    <w:p w:rsidR="00652A6E" w:rsidRDefault="008655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труднощі з конвертацією валюти (28%);</w:t>
      </w:r>
    </w:p>
    <w:p w:rsidR="00652A6E" w:rsidRDefault="008655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нестача ділової інформації (24%) та брак управлінських знань (19%). 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Результати опитування показують, що незважаючи на загальну важку макроекономічну ситуацію та фінансову кризу 1998 року серед чотирьох найчастіше згадуваних проблем найсерйознішими залишаються саме проблеми бюрократичного характеру та ті, що пов'язані з державним управлінням. Такі результати і висновки наводять дослідники Міжнародного центру перспективних досліджень (графіки 1 і 2).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Не додає оптимизму і прогноз змін у динаміці розвитку малого підприємництва. Можна зробити висновок, що малі підприємства навряд чи зможуть вирішити такі проблеми власними силами і самостійно подолати перешкоди, що постають перед ними. Вони малі, вразливі і потребують підтримки, насамперед державної.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Зверну</w:t>
      </w:r>
      <w:r>
        <w:rPr>
          <w:rFonts w:ascii="Bookman Old Style" w:hAnsi="Bookman Old Style"/>
          <w:szCs w:val="20"/>
          <w:lang w:val="uk-UA"/>
        </w:rPr>
        <w:t>вш</w:t>
      </w:r>
      <w:r>
        <w:rPr>
          <w:rFonts w:ascii="Bookman Old Style" w:hAnsi="Bookman Old Style"/>
          <w:szCs w:val="20"/>
        </w:rPr>
        <w:t xml:space="preserve">ись до словників щодо тлумачення слів "підтримати", "підтримка" </w:t>
      </w:r>
      <w:r>
        <w:rPr>
          <w:rFonts w:ascii="Bookman Old Style" w:hAnsi="Bookman Old Style"/>
          <w:szCs w:val="20"/>
          <w:lang w:val="uk-UA"/>
        </w:rPr>
        <w:t xml:space="preserve">можна </w:t>
      </w:r>
      <w:r>
        <w:rPr>
          <w:rFonts w:ascii="Bookman Old Style" w:hAnsi="Bookman Old Style"/>
          <w:szCs w:val="20"/>
        </w:rPr>
        <w:t>зраді</w:t>
      </w:r>
      <w:r>
        <w:rPr>
          <w:rFonts w:ascii="Bookman Old Style" w:hAnsi="Bookman Old Style"/>
          <w:szCs w:val="20"/>
          <w:lang w:val="uk-UA"/>
        </w:rPr>
        <w:t>ти</w:t>
      </w:r>
      <w:r>
        <w:rPr>
          <w:rFonts w:ascii="Bookman Old Style" w:hAnsi="Bookman Old Style"/>
          <w:szCs w:val="20"/>
        </w:rPr>
        <w:t xml:space="preserve"> за наш малий бізнес, бо сподівання на державну підтримку поширюються на такі кроки держави:</w:t>
      </w:r>
    </w:p>
    <w:p w:rsidR="00652A6E" w:rsidRDefault="008655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</w:rPr>
        <w:t>"підтримати, не дати впасти";</w:t>
      </w:r>
    </w:p>
    <w:p w:rsidR="00652A6E" w:rsidRDefault="008655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</w:rPr>
        <w:t>"подати допомогу, посприяти";</w:t>
      </w:r>
    </w:p>
    <w:p w:rsidR="00652A6E" w:rsidRDefault="008655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</w:rPr>
        <w:t>"схвалити, виступити на захист";</w:t>
      </w:r>
    </w:p>
    <w:p w:rsidR="00652A6E" w:rsidRDefault="00865525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</w:rPr>
        <w:t>"не дати припинитись, порушитись";</w:t>
      </w:r>
    </w:p>
    <w:p w:rsidR="00652A6E" w:rsidRDefault="00865525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</w:rPr>
        <w:t>"бути опорою".</w:t>
      </w:r>
      <w:r>
        <w:rPr>
          <w:rFonts w:ascii="Bookman Old Style" w:hAnsi="Bookman Old Style"/>
          <w:szCs w:val="20"/>
        </w:rPr>
        <w:br/>
      </w:r>
    </w:p>
    <w:p w:rsidR="00652A6E" w:rsidRDefault="00865525">
      <w:pPr>
        <w:pStyle w:val="a3"/>
        <w:spacing w:before="0" w:beforeAutospacing="0" w:after="0" w:afterAutospacing="0"/>
        <w:ind w:left="360" w:firstLine="180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Як бачимо, можливості тут неймовірні. Але ж чи є у держави для цього:</w:t>
      </w:r>
    </w:p>
    <w:p w:rsidR="00652A6E" w:rsidRDefault="00865525">
      <w:pPr>
        <w:pStyle w:val="a3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72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  <w:lang w:val="uk-UA"/>
        </w:rPr>
        <w:t>бажання;</w:t>
      </w:r>
    </w:p>
    <w:p w:rsidR="00652A6E" w:rsidRDefault="00865525">
      <w:pPr>
        <w:pStyle w:val="a3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72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  <w:lang w:val="uk-UA"/>
        </w:rPr>
        <w:t>необхідність;</w:t>
      </w:r>
    </w:p>
    <w:p w:rsidR="00652A6E" w:rsidRDefault="00865525">
      <w:pPr>
        <w:pStyle w:val="a3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72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  <w:lang w:val="uk-UA"/>
        </w:rPr>
        <w:t>можливість;</w:t>
      </w:r>
    </w:p>
    <w:p w:rsidR="00652A6E" w:rsidRDefault="00865525">
      <w:pPr>
        <w:pStyle w:val="a3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72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  <w:lang w:val="uk-UA"/>
        </w:rPr>
        <w:t>механізм підтримки малого бізнесу.</w:t>
      </w:r>
    </w:p>
    <w:p w:rsidR="00652A6E" w:rsidRDefault="00652A6E">
      <w:pPr>
        <w:rPr>
          <w:rFonts w:ascii="Bookman Old Style" w:hAnsi="Bookman Old Style"/>
          <w:lang w:val="uk-UA"/>
        </w:rPr>
      </w:pPr>
    </w:p>
    <w:p w:rsidR="00652A6E" w:rsidRDefault="00652A6E">
      <w:pPr>
        <w:jc w:val="both"/>
        <w:rPr>
          <w:rFonts w:ascii="Bookman Old Style" w:hAnsi="Bookman Old Style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 xml:space="preserve">Виходячи з наявності в Україні певної кількості державних структур, до функцій яких належить сприяння розвитку приватного, насамперед малого, підприємництва, можна було б стверджувати, що держава має бажання, розуміє необхідність, знаходить можливості і формує механізми підтримки малого підприємництва. З прийняттям Закону України "Про підприємництво" від 7 лютого 1991 року й утворенням Державного комітету України із сприяння малим підприємствам і підприємництву (травень 1991 року) державна політика щодо малого підприємництва начебто логічно і цілеспрямовано розвивається в напрямку підтримки в Україні сектора малого бізнесу. З цією ж метою було створено і центральний орган виконавчої влади - Державний комітет України з питань розвитку підприємництва (29 лютого 1997 року), розроблено концепцію державної політики розвитку малого підприємництва, програми державної підтримки малого підприємництва і розвитку малого підприємництва на 1999--2000 роки. Опрацьовано також концепцію Національної програми сприяння розвитку малого підприємництва, завдання до реалізації Національної програми розвитку малого підприємництва, концепцію Державної регуляторної політики. Формально зроблено достатньо, а реально "візок малого підприємства і досі там, де й був". 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Style w:val="a5"/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Style w:val="a5"/>
          <w:rFonts w:ascii="Bookman Old Style" w:hAnsi="Bookman Old Style"/>
          <w:szCs w:val="20"/>
        </w:rPr>
        <w:t>Чому так відбувається?</w:t>
      </w:r>
      <w:r>
        <w:rPr>
          <w:rFonts w:ascii="Bookman Old Style" w:hAnsi="Bookman Old Style"/>
          <w:szCs w:val="20"/>
        </w:rPr>
        <w:t xml:space="preserve"> Ось дві думки з цього приводу: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color w:val="800000"/>
          <w:szCs w:val="20"/>
          <w:lang w:val="uk-UA"/>
        </w:rPr>
      </w:pPr>
      <w:r>
        <w:rPr>
          <w:rFonts w:ascii="Bookman Old Style" w:hAnsi="Bookman Old Style"/>
          <w:color w:val="800000"/>
          <w:szCs w:val="20"/>
        </w:rPr>
        <w:t>1. Держава повинна мати відповідальність перед МП.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color w:val="800000"/>
          <w:szCs w:val="20"/>
          <w:lang w:val="uk-UA"/>
        </w:rPr>
      </w:pPr>
      <w:r>
        <w:rPr>
          <w:rFonts w:ascii="Bookman Old Style" w:hAnsi="Bookman Old Style"/>
          <w:color w:val="800000"/>
          <w:szCs w:val="20"/>
        </w:rPr>
        <w:t>2. МП повинні мати соціальну відповідальність.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Суспільство має право знати стратегічні задуми держави: чи буде сектор недержавного підприємництва обмежуватись і згортатись, чи розвиватись і зміцнюватись.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 xml:space="preserve">Вже неодноразово підкреслювалось, що малий бізнес поки що залишається екзотичним явищем в економіці України, а середній бізнес - явищем невизначеним. </w:t>
      </w:r>
      <w:r>
        <w:rPr>
          <w:rFonts w:ascii="Bookman Old Style" w:hAnsi="Bookman Old Style"/>
          <w:szCs w:val="20"/>
        </w:rPr>
        <w:t>Отже, екзотика і невизначеність зумовлюють вихідні дані щодо теоретичного і практичного дослідження суті, ролі, місця підприємств малого і середнього бізнесу і можливостей державного регулювання їх діяльності. Як власник держава мусить опікуватись ефективністю діяльності власних малих і середніх підприємств, робити їх конкурентоспроможними, підтримувати підприємництво. Теоретично держава спроможна створювати рівні умови господарювання власним і невласним підприємствам, оскільки вона керується в управлінні не законами власності, а законами менеджменту. Практично ж, маючи владу і власність, держава змушена зберігати свою власність навіть за рахунок створення нерівних умов для інших власників за допомогою використання державної влади.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Складається парадоксальна для економіки ситуація:</w:t>
      </w:r>
    </w:p>
    <w:p w:rsidR="00652A6E" w:rsidRDefault="0086552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szCs w:val="20"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</w:rPr>
        <w:t>держава зберігає власні підприємства, котрі не в змозі її підтримати;</w:t>
      </w:r>
    </w:p>
    <w:p w:rsidR="00652A6E" w:rsidRDefault="0086552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szCs w:val="20"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  <w:lang w:val="uk-UA"/>
        </w:rPr>
        <w:t xml:space="preserve">водночас держава губить недержавні підприємства надмірним податковим тиском, корупцією і цим сама себе позбавляє джерел наповнення державного бюджету, створення нових робочих місць, своєчасної сплати заробітної платні, зменшення соціальної напруги у суспільстві тощо. 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 xml:space="preserve">Отже, необхідні кардинальні зміни в концепції і механізмі державного регулювання підприємницької діяльності підприємств малого і середнього бізнесу. </w:t>
      </w:r>
      <w:r>
        <w:rPr>
          <w:rFonts w:ascii="Bookman Old Style" w:hAnsi="Bookman Old Style"/>
          <w:szCs w:val="20"/>
        </w:rPr>
        <w:t>На думку дослідників і практиків, такі зміни полягають в наступному:</w:t>
      </w:r>
    </w:p>
    <w:p w:rsidR="00652A6E" w:rsidRDefault="0086552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слід усвідомити, що підприємницькі структури малого і середнього бізнесу - це не ворожа сила, а реальний сектор економіки України, і докорінно змінити державну політику щодо цього сектора;</w:t>
      </w:r>
    </w:p>
    <w:p w:rsidR="00652A6E" w:rsidRDefault="0086552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потрібно розробити концепцію становлення, розвитку і зміцнення сектора малого і середнього бізнесу, оскільки ринкова економіка без нього існувати не може;</w:t>
      </w:r>
    </w:p>
    <w:p w:rsidR="00652A6E" w:rsidRDefault="0086552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необхідно створити відповідний ринковий механізм регулювання підприємницької діяльності підприємств малого і середнього бізнесу.</w:t>
      </w: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</w:rPr>
        <w:t>Формально держава в Україні опікується малим і середнім бізнесом. Реально ж держава жодним чином не довела підприємцям, що вони потрібні не лише в невизначеному економічному сьогоденні, а є складовою довгострокової економічної стратегії держави. Підприємці повинні мати впевненість у майбутньому і в тому, що держава не посягне на їх власність силою державної влади. Однак, як здається, підприємці мають своє бачення щодо державної підтримки їх діяльності.</w:t>
      </w:r>
      <w:r>
        <w:rPr>
          <w:rFonts w:ascii="Bookman Old Style" w:hAnsi="Bookman Old Style"/>
          <w:szCs w:val="20"/>
        </w:rPr>
        <w:br/>
        <w:t>І, можливо, найголовніше - державні службовці повинні стати провідниками ринкової державної політики, а не використовувати державні посади задля задоволення власних потреб. Механізм державного регулювання має бути ринковим, а не корумпованим. Держава мусить нести відповідальність перед підприємництвом за виконання державних функцій підтримки підприємництва. А мале підприємництво повинно відповідати за виконання своєї економічної і соціальної місії в суспільстві.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>Державна політика щодо малого бізнесу, на думку керівників малих підприємств, повинна зосереджуватися на наступних напрямках:</w:t>
      </w:r>
    </w:p>
    <w:p w:rsidR="00652A6E" w:rsidRDefault="0086552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szCs w:val="20"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  <w:lang w:val="uk-UA"/>
        </w:rPr>
        <w:t>поліпшення механізмів оподаткування;</w:t>
      </w:r>
    </w:p>
    <w:p w:rsidR="00652A6E" w:rsidRDefault="0086552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  <w:lang w:val="uk-UA"/>
        </w:rPr>
        <w:t>стабілізація законодавства;</w:t>
      </w:r>
    </w:p>
    <w:p w:rsidR="00652A6E" w:rsidRDefault="0086552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  <w:lang w:val="uk-UA"/>
        </w:rPr>
        <w:t>вдосконалення механізмів кредитного фінансування малих підприємств, розробка і впровадження комплексу заохочувальних механізмів для комерційних банків, які працюють з малими підприємствами;</w:t>
      </w:r>
    </w:p>
    <w:p w:rsidR="00652A6E" w:rsidRDefault="0086552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lang w:val="uk-UA"/>
        </w:rPr>
      </w:pPr>
      <w:r>
        <w:rPr>
          <w:rFonts w:ascii="Bookman Old Style" w:hAnsi="Bookman Old Style"/>
          <w:b/>
          <w:bCs/>
          <w:i/>
          <w:iCs/>
          <w:szCs w:val="20"/>
          <w:lang w:val="uk-UA"/>
        </w:rPr>
        <w:t>подальше впорядкування процедури проведення перевірок діяльності підприємства.</w:t>
      </w:r>
    </w:p>
    <w:p w:rsidR="00652A6E" w:rsidRDefault="00865525">
      <w:pPr>
        <w:pStyle w:val="a3"/>
        <w:spacing w:before="0" w:beforeAutospacing="0" w:after="0" w:afterAutospacing="0"/>
        <w:ind w:left="108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0"/>
          <w:lang w:val="uk-UA"/>
        </w:rPr>
        <w:t xml:space="preserve"> Необхідно зважати на ці думки задля розвитку і зміцнення економіки України.</w:t>
      </w:r>
    </w:p>
    <w:p w:rsidR="00652A6E" w:rsidRDefault="00652A6E">
      <w:pPr>
        <w:rPr>
          <w:rFonts w:ascii="Bookman Old Style" w:hAnsi="Bookman Old Style"/>
          <w:lang w:val="uk-UA"/>
        </w:rPr>
      </w:pPr>
    </w:p>
    <w:p w:rsidR="00652A6E" w:rsidRDefault="00865525">
      <w:pPr>
        <w:pStyle w:val="a3"/>
        <w:spacing w:before="0" w:beforeAutospacing="0" w:after="0" w:afterAutospacing="0"/>
        <w:ind w:firstLine="540"/>
        <w:jc w:val="center"/>
        <w:rPr>
          <w:rFonts w:ascii="Bookman Old Style" w:hAnsi="Bookman Old Style"/>
          <w:b/>
          <w:bCs/>
          <w:szCs w:val="20"/>
          <w:lang w:val="uk-UA"/>
        </w:rPr>
      </w:pPr>
      <w:r>
        <w:rPr>
          <w:rFonts w:ascii="Bookman Old Style" w:hAnsi="Bookman Old Style"/>
          <w:lang w:val="uk-UA"/>
        </w:rPr>
        <w:br w:type="page"/>
      </w:r>
      <w:r>
        <w:rPr>
          <w:rFonts w:ascii="Bookman Old Style" w:hAnsi="Bookman Old Style"/>
          <w:b/>
          <w:bCs/>
          <w:szCs w:val="20"/>
          <w:lang w:val="uk-UA"/>
        </w:rPr>
        <w:t>Список використаної літератури.</w:t>
      </w:r>
    </w:p>
    <w:p w:rsidR="00652A6E" w:rsidRDefault="00652A6E">
      <w:pPr>
        <w:pStyle w:val="a3"/>
        <w:spacing w:before="0" w:beforeAutospacing="0" w:after="0" w:afterAutospacing="0"/>
        <w:ind w:firstLine="540"/>
        <w:jc w:val="both"/>
        <w:rPr>
          <w:rFonts w:ascii="Bookman Old Style" w:hAnsi="Bookman Old Style"/>
          <w:b/>
          <w:bCs/>
          <w:szCs w:val="20"/>
          <w:lang w:val="uk-UA"/>
        </w:rPr>
      </w:pPr>
    </w:p>
    <w:p w:rsidR="00652A6E" w:rsidRDefault="00865525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Про соціально-економічне становище України за 9 місяців 2000 року /Держкомстат України. - К., 2000. - 96 с.  </w:t>
      </w:r>
    </w:p>
    <w:p w:rsidR="00652A6E" w:rsidRDefault="00865525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Про соціально-економічне становище України за січ.-жовт. 2000 року /Держкомстат України. - К., 2000. - 110 с. </w:t>
      </w:r>
    </w:p>
    <w:p w:rsidR="00652A6E" w:rsidRDefault="00865525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Про діяльність підприємств, які змінили форму власності за 1 півріччя /Держкомстат України. - К., 2000. - 100 с.</w:t>
      </w:r>
    </w:p>
    <w:p w:rsidR="00652A6E" w:rsidRDefault="00865525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Ковальчук К.Ф., Рева Т.М. Налоговый менеджмент промышленного предприятия: Монография. - Днепропетровск: Изд-во ин-та технологии, 2000. - 122 с. - K-2.</w:t>
      </w:r>
    </w:p>
    <w:p w:rsidR="00652A6E" w:rsidRDefault="00652A6E">
      <w:pPr>
        <w:rPr>
          <w:rFonts w:ascii="Bookman Old Style" w:hAnsi="Bookman Old Style"/>
        </w:rPr>
      </w:pPr>
      <w:bookmarkStart w:id="0" w:name="_GoBack"/>
      <w:bookmarkEnd w:id="0"/>
    </w:p>
    <w:sectPr w:rsidR="00652A6E">
      <w:pgSz w:w="11906" w:h="16838"/>
      <w:pgMar w:top="1079" w:right="92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C4B"/>
    <w:multiLevelType w:val="hybridMultilevel"/>
    <w:tmpl w:val="8A8A6A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765002"/>
    <w:multiLevelType w:val="hybridMultilevel"/>
    <w:tmpl w:val="417A70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10677D"/>
    <w:multiLevelType w:val="hybridMultilevel"/>
    <w:tmpl w:val="EEFA8DF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68C4771"/>
    <w:multiLevelType w:val="hybridMultilevel"/>
    <w:tmpl w:val="0DE4580A"/>
    <w:lvl w:ilvl="0" w:tplc="75604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E0968"/>
    <w:multiLevelType w:val="hybridMultilevel"/>
    <w:tmpl w:val="F3F6C33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506FF"/>
    <w:multiLevelType w:val="hybridMultilevel"/>
    <w:tmpl w:val="3E6C40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31D5C"/>
    <w:multiLevelType w:val="hybridMultilevel"/>
    <w:tmpl w:val="1FD454F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84879"/>
    <w:multiLevelType w:val="hybridMultilevel"/>
    <w:tmpl w:val="F7A4FD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8C5A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525"/>
    <w:rsid w:val="00652A6E"/>
    <w:rsid w:val="00865525"/>
    <w:rsid w:val="00C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DDF4-50B6-4C8F-AD3C-734EBCB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Уже відсвяткували свій десятирічний ювілей перші в Україні малі підприємства (ті, що зуміли вижити), підросли діти перших укра</vt:lpstr>
    </vt:vector>
  </TitlesOfParts>
  <Company>ООО "Стилус-Трейд Лтд."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Уже відсвяткували свій десятирічний ювілей перші в Україні малі підприємства (ті, що зуміли вижити), підросли діти перших укра</dc:title>
  <dc:subject/>
  <dc:creator>Андрей И. Ищенко</dc:creator>
  <cp:keywords/>
  <dc:description/>
  <cp:lastModifiedBy>Irina</cp:lastModifiedBy>
  <cp:revision>2</cp:revision>
  <cp:lastPrinted>2000-12-20T15:54:00Z</cp:lastPrinted>
  <dcterms:created xsi:type="dcterms:W3CDTF">2014-08-15T09:28:00Z</dcterms:created>
  <dcterms:modified xsi:type="dcterms:W3CDTF">2014-08-15T09:28:00Z</dcterms:modified>
</cp:coreProperties>
</file>