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F4" w:rsidRPr="004D7190" w:rsidRDefault="006424F4" w:rsidP="006424F4">
      <w:pPr>
        <w:spacing w:before="120"/>
        <w:ind w:firstLine="0"/>
        <w:jc w:val="center"/>
        <w:rPr>
          <w:b/>
          <w:sz w:val="32"/>
          <w:szCs w:val="24"/>
        </w:rPr>
      </w:pPr>
      <w:r w:rsidRPr="004D7190">
        <w:rPr>
          <w:b/>
          <w:sz w:val="32"/>
          <w:szCs w:val="24"/>
        </w:rPr>
        <w:t>Фармакотерапия язвенной болезни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Широкий спектр средств растительного,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минерального и др.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происхождения традиционные препараты более 1000 наименований.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Современные препараты проверенные согласно современным стандартам 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условия двойного слепого плацебо контролируемого рандомизированного исследования - эта группа более узкая,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но она имеет реальные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возмож-ности для получения фармакологического эффекта.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Оценка препаратов проводится согласно международным стандартам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 лабораторных условиях,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 условиях клиники и производственной практик</w:t>
      </w:r>
      <w:r>
        <w:rPr>
          <w:sz w:val="24"/>
          <w:szCs w:val="24"/>
        </w:rPr>
        <w:t>и</w:t>
      </w:r>
      <w:r w:rsidRPr="00C95BD9">
        <w:rPr>
          <w:sz w:val="24"/>
          <w:szCs w:val="24"/>
        </w:rPr>
        <w:t>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Определение патофизиологических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механизмов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агрессии и защиты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Фактор агрессии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кислотно-пептический фактор (HCl)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гелиобактер пилори</w:t>
      </w:r>
      <w:r>
        <w:rPr>
          <w:sz w:val="24"/>
          <w:szCs w:val="24"/>
        </w:rPr>
        <w:t xml:space="preserve">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Факторы защиты: слизисто-бикарбонантный барьер, фосфолипидный сурфактант, эндогенные гисто просп простагландины, высокая репаративно-регенеративная способность слизистой желудка</w:t>
      </w:r>
    </w:p>
    <w:p w:rsidR="006424F4" w:rsidRPr="004D7190" w:rsidRDefault="006424F4" w:rsidP="006424F4">
      <w:pPr>
        <w:spacing w:before="120"/>
        <w:ind w:firstLine="0"/>
        <w:jc w:val="center"/>
        <w:rPr>
          <w:b/>
          <w:sz w:val="28"/>
          <w:szCs w:val="24"/>
        </w:rPr>
      </w:pPr>
      <w:r w:rsidRPr="004D7190">
        <w:rPr>
          <w:b/>
          <w:sz w:val="28"/>
          <w:szCs w:val="24"/>
        </w:rPr>
        <w:t>Патогенетические факторы язвообразования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Хроническое воспаление провоцируемое Н.Р.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Кислотно пептический фактор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Повышение агрессивных свойств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Увеличение массы обкладочных клеток и резкое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увеличение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реак-тивности клеток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нервные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 гуморальные раздражители,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 частности связанные с инфекцией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Повышение активности n. vagus (топической и/или фазической)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Увеличение массы и/или повышение чувствительности гастрин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про-дуцирующих клеток в частности связанной с инфекцией</w:t>
      </w:r>
    </w:p>
    <w:p w:rsidR="006424F4" w:rsidRPr="004D7190" w:rsidRDefault="006424F4" w:rsidP="006424F4">
      <w:pPr>
        <w:spacing w:before="120"/>
        <w:ind w:firstLine="0"/>
        <w:jc w:val="center"/>
        <w:rPr>
          <w:b/>
          <w:sz w:val="28"/>
          <w:szCs w:val="24"/>
        </w:rPr>
      </w:pPr>
      <w:r w:rsidRPr="004D7190">
        <w:rPr>
          <w:b/>
          <w:sz w:val="28"/>
          <w:szCs w:val="24"/>
        </w:rPr>
        <w:t>2.2. Снижение защитных свойств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Недостаточная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продукция защитной слизи и бикарбонатов в желудке, 12-перстной кишке и поджелудочной железе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Несостоятельность антродуоденального кислотного тормоза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Дисмоторика желудка и 12-перстной кишки</w:t>
      </w:r>
    </w:p>
    <w:p w:rsidR="006424F4" w:rsidRPr="004D7190" w:rsidRDefault="006424F4" w:rsidP="006424F4">
      <w:pPr>
        <w:spacing w:before="120"/>
        <w:ind w:firstLine="0"/>
        <w:jc w:val="center"/>
        <w:rPr>
          <w:b/>
          <w:sz w:val="28"/>
          <w:szCs w:val="24"/>
        </w:rPr>
      </w:pPr>
      <w:r w:rsidRPr="004D7190">
        <w:rPr>
          <w:b/>
          <w:sz w:val="28"/>
          <w:szCs w:val="24"/>
        </w:rPr>
        <w:t>Схема классификации противоязвенных препаратов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Средства предупреждающие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устраняющие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кислотно-пептическую агрессию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Антисекреторные средства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Антагонисты Н2-рецепторов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Ингибиторы протонной помпы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Антихолинэргические средства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Другие антисекреторные средства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Антацидные средства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Средства вызывающие деколонизацию (Eradicationis)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Средства увеличивающие защитные свойства слизистой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Средства стимулирующие собственные защитные свойства слизистой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образующие искуственное протективное покрытие на сли-зистой «плёнкообразующие»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Антисекреторные препараты - современное представление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Общая схема действия: Протонная помпа при своей работе выделяет ион водорода 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просвет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желудка в обмен на ион калия. При активации секреции усиливается 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кислотная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бикарбонатная секреция. Регуляция осуществляется нервными,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гуморальными и др видами регуляции. Гастрин усиливает секрецию париетальных клеток,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 через n.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vagus увеличивает выброс гистамина.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Н2-гистаминовые блокаторы или блокаторы протонной помпы они избиратольно действуют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на секрецию HCl и не действуют на другие виды секреции. Н2- гистаминовые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рецепторы и протонная помпа специфичны и разрабатывались лекарства взаимодействующие только с этими субстратами.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25 лет назад появились первые Н2-гистаминовые блокаторы. Сейчас 3 поколения: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1 поколение - цимитидин на базе имидозольного кольца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2 поколение - ранитидин на основе фуранов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3 поколение - фамитидин, низатидин, фоксатидин производные тиозола.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Отличие поколений препаратов по увеличению активности,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по увеличению безопасности и селективности.</w:t>
      </w:r>
    </w:p>
    <w:p w:rsidR="006424F4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Они гидрофильны,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плохо проникают через ГЭБ и у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отсутствует центральное действие.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Н2-гистаминовые блокаторы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2"/>
        <w:gridCol w:w="2290"/>
        <w:gridCol w:w="2452"/>
      </w:tblGrid>
      <w:tr w:rsidR="006424F4" w:rsidRPr="00C95BD9" w:rsidTr="00B11B4C">
        <w:trPr>
          <w:jc w:val="center"/>
        </w:trPr>
        <w:tc>
          <w:tcPr>
            <w:tcW w:w="259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Препарат</w:t>
            </w:r>
          </w:p>
        </w:tc>
        <w:tc>
          <w:tcPr>
            <w:tcW w:w="1162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разовая доза</w:t>
            </w:r>
          </w:p>
        </w:tc>
        <w:tc>
          <w:tcPr>
            <w:tcW w:w="124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суточная доза</w:t>
            </w:r>
          </w:p>
        </w:tc>
      </w:tr>
      <w:tr w:rsidR="006424F4" w:rsidRPr="00C95BD9" w:rsidTr="00B11B4C">
        <w:trPr>
          <w:jc w:val="center"/>
        </w:trPr>
        <w:tc>
          <w:tcPr>
            <w:tcW w:w="259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циметидин, диамет,тагосет, гистедил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200 мг</w:t>
            </w:r>
          </w:p>
        </w:tc>
        <w:tc>
          <w:tcPr>
            <w:tcW w:w="124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800-1000 мг</w:t>
            </w:r>
          </w:p>
        </w:tc>
      </w:tr>
      <w:tr w:rsidR="006424F4" w:rsidRPr="00C95BD9" w:rsidTr="00B11B4C">
        <w:trPr>
          <w:jc w:val="center"/>
        </w:trPr>
        <w:tc>
          <w:tcPr>
            <w:tcW w:w="259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ранитидин, дентон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150 мг</w:t>
            </w:r>
          </w:p>
        </w:tc>
        <w:tc>
          <w:tcPr>
            <w:tcW w:w="124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300 мг</w:t>
            </w:r>
          </w:p>
        </w:tc>
      </w:tr>
      <w:tr w:rsidR="006424F4" w:rsidRPr="00C95BD9" w:rsidTr="00B11B4C">
        <w:trPr>
          <w:jc w:val="center"/>
        </w:trPr>
        <w:tc>
          <w:tcPr>
            <w:tcW w:w="259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низатидин</w:t>
            </w:r>
          </w:p>
        </w:tc>
        <w:tc>
          <w:tcPr>
            <w:tcW w:w="1162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300 мг</w:t>
            </w:r>
          </w:p>
        </w:tc>
        <w:tc>
          <w:tcPr>
            <w:tcW w:w="124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300 мг</w:t>
            </w:r>
          </w:p>
        </w:tc>
      </w:tr>
      <w:tr w:rsidR="006424F4" w:rsidRPr="00C95BD9" w:rsidTr="00B11B4C">
        <w:trPr>
          <w:jc w:val="center"/>
        </w:trPr>
        <w:tc>
          <w:tcPr>
            <w:tcW w:w="259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фамитидин</w:t>
            </w:r>
          </w:p>
        </w:tc>
        <w:tc>
          <w:tcPr>
            <w:tcW w:w="1162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20-40 мг</w:t>
            </w:r>
          </w:p>
        </w:tc>
        <w:tc>
          <w:tcPr>
            <w:tcW w:w="124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150 мг</w:t>
            </w:r>
          </w:p>
        </w:tc>
      </w:tr>
      <w:tr w:rsidR="006424F4" w:rsidRPr="00C95BD9" w:rsidTr="00B11B4C">
        <w:trPr>
          <w:jc w:val="center"/>
        </w:trPr>
        <w:tc>
          <w:tcPr>
            <w:tcW w:w="259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мифатидин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Фармакокинетические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2174"/>
        <w:gridCol w:w="1675"/>
        <w:gridCol w:w="2117"/>
        <w:gridCol w:w="1772"/>
      </w:tblGrid>
      <w:tr w:rsidR="006424F4" w:rsidRPr="00C95BD9" w:rsidTr="00B11B4C"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биодоступность</w:t>
            </w:r>
          </w:p>
        </w:tc>
        <w:tc>
          <w:tcPr>
            <w:tcW w:w="850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Экскрекия с мочой</w:t>
            </w:r>
          </w:p>
        </w:tc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длительность</w:t>
            </w:r>
          </w:p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полувыведения</w:t>
            </w:r>
          </w:p>
        </w:tc>
        <w:tc>
          <w:tcPr>
            <w:tcW w:w="899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терапевт.</w:t>
            </w:r>
          </w:p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концентрац</w:t>
            </w:r>
          </w:p>
        </w:tc>
      </w:tr>
      <w:tr w:rsidR="006424F4" w:rsidRPr="00C95BD9" w:rsidTr="00B11B4C">
        <w:trPr>
          <w:trHeight w:val="304"/>
        </w:trPr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ЦИМЕТИДИН</w:t>
            </w:r>
          </w:p>
        </w:tc>
        <w:tc>
          <w:tcPr>
            <w:tcW w:w="110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84%</w:t>
            </w:r>
          </w:p>
        </w:tc>
        <w:tc>
          <w:tcPr>
            <w:tcW w:w="850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42%</w:t>
            </w:r>
          </w:p>
        </w:tc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 часа</w:t>
            </w:r>
          </w:p>
        </w:tc>
        <w:tc>
          <w:tcPr>
            <w:tcW w:w="899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500- 1000 мг</w:t>
            </w:r>
          </w:p>
        </w:tc>
      </w:tr>
      <w:tr w:rsidR="006424F4" w:rsidRPr="00C95BD9" w:rsidTr="00B11B4C"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РАНИТИДИН</w:t>
            </w:r>
          </w:p>
        </w:tc>
        <w:tc>
          <w:tcPr>
            <w:tcW w:w="110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50%</w:t>
            </w:r>
          </w:p>
        </w:tc>
        <w:tc>
          <w:tcPr>
            <w:tcW w:w="850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 часа</w:t>
            </w:r>
          </w:p>
        </w:tc>
        <w:tc>
          <w:tcPr>
            <w:tcW w:w="899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100 мг</w:t>
            </w:r>
          </w:p>
        </w:tc>
      </w:tr>
      <w:tr w:rsidR="006424F4" w:rsidRPr="00C95BD9" w:rsidTr="00B11B4C"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ФАМИТИДИН</w:t>
            </w:r>
          </w:p>
        </w:tc>
        <w:tc>
          <w:tcPr>
            <w:tcW w:w="110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50%</w:t>
            </w:r>
          </w:p>
        </w:tc>
        <w:tc>
          <w:tcPr>
            <w:tcW w:w="850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1,3 мг</w:t>
            </w:r>
          </w:p>
        </w:tc>
      </w:tr>
      <w:tr w:rsidR="006424F4" w:rsidRPr="00C95BD9" w:rsidTr="00B11B4C"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НИЗАТИДИН</w:t>
            </w:r>
          </w:p>
        </w:tc>
        <w:tc>
          <w:tcPr>
            <w:tcW w:w="1103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90%</w:t>
            </w:r>
          </w:p>
        </w:tc>
        <w:tc>
          <w:tcPr>
            <w:tcW w:w="850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:rsidR="006424F4" w:rsidRPr="00C95BD9" w:rsidRDefault="006424F4" w:rsidP="00B11B4C">
            <w:pPr>
              <w:ind w:firstLine="0"/>
              <w:jc w:val="left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60 мг</w:t>
            </w:r>
          </w:p>
        </w:tc>
      </w:tr>
    </w:tbl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При почечной недостаточности может быть задержка препарата.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Нес-мотря на короткое время периода полувыведения,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благодаря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токсической безопасности препаратов можно дать большую дозу и таким образом значи-тельно увеличить время терапевтической концентрации, у последних поко-лений естественно увеличен уровень безопасности. Циметидин связывается с Н2-гистаминовыми рецепторами и подавляет секрецию от влияний исходя-щих от гистамина.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Это типичные конкуренты рецепторов гистамина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по принципу доза-эффект.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3493"/>
      </w:tblGrid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эффект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секреция Н2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воздействие серотонина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воздействие гистамина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воздействие гастрина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воздействие холиномиметиков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 менее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объём желудочной секреции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снижается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продукцию пепсина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снижается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кислотность желудочного содерж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снижается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внутенний гемопоэтический фактор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уменьшается но не опасно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секреция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увеличивается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секреция поджелудочной железы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не изменяется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 xml:space="preserve">эвакуационная функция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не изменяется</w:t>
            </w:r>
          </w:p>
        </w:tc>
      </w:tr>
    </w:tbl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Схема дозировки Н2-гистаминовых блокаторов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4480"/>
        <w:gridCol w:w="2598"/>
      </w:tblGrid>
      <w:tr w:rsidR="006424F4" w:rsidRPr="00C95BD9" w:rsidTr="00B11B4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препарат</w:t>
            </w:r>
          </w:p>
        </w:tc>
        <w:tc>
          <w:tcPr>
            <w:tcW w:w="0" w:type="auto"/>
            <w:gridSpan w:val="2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суточная доза</w:t>
            </w:r>
          </w:p>
        </w:tc>
      </w:tr>
      <w:tr w:rsidR="006424F4" w:rsidRPr="00C95BD9" w:rsidTr="00B11B4C">
        <w:trPr>
          <w:cantSplit/>
          <w:jc w:val="center"/>
        </w:trPr>
        <w:tc>
          <w:tcPr>
            <w:tcW w:w="0" w:type="auto"/>
            <w:vMerge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лечебная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поддерживающая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циметидин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1000 (200 Х 3) + 400 на ночь</w:t>
            </w:r>
          </w:p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800 (400Х2, 200Х4 или 800 на ночь)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200-400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ранитидин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300 (150Х2)</w:t>
            </w:r>
          </w:p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200(40Х3 + 80 на ночь)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150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низатидин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300 (300 на ночь или 150Х2)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</w:p>
        </w:tc>
      </w:tr>
    </w:tbl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Применение Н2-гистаминовых блокаторов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Язвенная болезнь 12-перстной кишки в фазе обострения и противорецидивное лечение, около 10% больных рефрактерно к блокаторам, противорецидивная терапия 1 раз на ночь уменьшает рецидивы в 2 раза, противорецидивное длительное лечение 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большинстве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случаев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предупреждает рецидивы и только в 10% язвы рецидивируют.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Язва желудка принцип тот же, но они более резистентны и процент рецидивов 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раз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процент заживления ниже,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чем при язве 12-перстной кишки.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Болезнь Цолингера-Элисона - применяются широко но эффект недос-таточный здесь предпочтительны блокаторы протонной помпы.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Рефлюкс-эзофагит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эффект не очень хороший и более жёсткие дози-ровки.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Профилактика стрессорных язв.</w:t>
      </w:r>
    </w:p>
    <w:p w:rsidR="006424F4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Кровотечение из верхних отделов ЖКТ и др.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Побочные эффекты: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При резкой отмене после длительного лечения может быть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крово-течение и рецидив язвы,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так как увеличивается количество гистаминовых рецепторов и мощная секреция.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Побочных эффектов не более 2% - кожная сыпь, бессонница, импо-тенция, депресия, взаимодействие с цитохромами, у пожилых могут прони-кать через ГЭБ и вызывать нежелательные эффекты.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Лекарства взаимодействующие с цитохромами 450: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бетаблокаторы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ангиотензивные (нифедипин)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седативные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противосудорожные (диазепам)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антикоагулянты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антиастматические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гипогликемические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анальгетики</w:t>
      </w:r>
    </w:p>
    <w:p w:rsidR="006424F4" w:rsidRPr="004D7190" w:rsidRDefault="006424F4" w:rsidP="006424F4">
      <w:pPr>
        <w:spacing w:before="120"/>
        <w:ind w:firstLine="0"/>
        <w:jc w:val="center"/>
        <w:rPr>
          <w:b/>
          <w:sz w:val="28"/>
          <w:szCs w:val="24"/>
        </w:rPr>
      </w:pPr>
      <w:r w:rsidRPr="004D7190">
        <w:rPr>
          <w:b/>
          <w:sz w:val="28"/>
          <w:szCs w:val="24"/>
        </w:rPr>
        <w:t>Блокаторы протонной помпы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Протонная помпа при своей работе выделяет ион водорода 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просвет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же-лудка в обмен на ион калия.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Омепрозол -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сам он не действует это пролекарство,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он попадает в кислую среду и образуется сульфоновая кислота и затем амид сульфоновой кислоты и он образует через SH группы ковалентные связи с энзимами.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Фармакокинетические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581"/>
        <w:gridCol w:w="1991"/>
        <w:gridCol w:w="2857"/>
      </w:tblGrid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биодоступность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экскрекия с мочой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связ. в печени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¦период полувыведения</w:t>
            </w:r>
          </w:p>
        </w:tc>
      </w:tr>
      <w:tr w:rsidR="006424F4" w:rsidRPr="00C95BD9" w:rsidTr="00B11B4C">
        <w:trPr>
          <w:cantSplit/>
        </w:trPr>
        <w:tc>
          <w:tcPr>
            <w:tcW w:w="0" w:type="auto"/>
            <w:gridSpan w:val="4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ОМЕПРАЗОЛ</w:t>
            </w:r>
          </w:p>
        </w:tc>
      </w:tr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незначительно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95%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0,7 часа</w:t>
            </w:r>
          </w:p>
        </w:tc>
      </w:tr>
    </w:tbl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Препарата уже нет а он продолжает действовать.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Он стабилен в нейтральной среде и разрушается в кислой.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необратимый ингибитор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доза зависимое подавление секреции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продолжает действовать столько сколько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фермента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т.е. 4-5 дней пока вновь не образуется фермент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достаточная доза 20 мг Х 7 дней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назначать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 антацидами и во время еды - действует только в кислой среде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вызывает гипергастринемию при выраженном подавлении кислотности желудочного содержимого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7"/>
        <w:gridCol w:w="2227"/>
      </w:tblGrid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BD9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эффект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базальную секрецию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воздействие гистамина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воздействие гастрина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воздействие холиномиметиков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объём желудочной секреции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не изменяется</w:t>
            </w:r>
          </w:p>
        </w:tc>
      </w:tr>
      <w:tr w:rsidR="006424F4" w:rsidRPr="00C95BD9" w:rsidTr="00B11B4C">
        <w:trPr>
          <w:jc w:val="center"/>
        </w:trPr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другие ферменты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подавляет</w:t>
            </w:r>
          </w:p>
        </w:tc>
      </w:tr>
    </w:tbl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Показания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дуоденальная язва омепрозол 20 мг 4 недели эффективность90%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язва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желудка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омепрозол 40 мг в день до 8 недель эффективность 90%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противорецидивное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лечение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омепрозол 20 мг 3 раза в неделю эф-фективность = Н2 гистаминовым блокаторам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желудочно кишечный рефлюкс Побочные эффекты: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омепразол мало токсичен побочные эффекты на уровне плацебо - тош-нота, диарея, боли в животе, головная боль.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Лекарство взаимодействует с цитохромами 450.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ПИРЕНЗЕПИН, ГАСТРОЗЕПИН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Их место действия мускариновые рецеппторы, на нервные сплетения и это действие селективное на секреторную функцию,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но селективность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их явно недостаточна,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базальную секрецию снижают на 50%, стимулированную ещё менее.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АНТАЦИДНЫЕ СРЕДСТВА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 80-х годах они пережили ренесанс и были средством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монотерапии, но сейчас увлечение спало, однако эти средства используют наряду с ан-тисекреторными.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Требования: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Быстрое взаимодействие с HCl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Осреднение желудочного содержимого в заданном диапазоне РН 3-6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Достаточная буферная мощность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 иметь побочных действий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Иметь приятный или нейтральный вкус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 состав входит бикарбонат натрия, Са, Mg, Al (окись магния, гидроокись магния и гидроокись аллюминия).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Применяются не в отдельности,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 комбинации - викалин, викаир, альмагель, фосфалюгель.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Оценка эффективности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Натрия гидрокарбонат</w:t>
      </w:r>
      <w:r>
        <w:rPr>
          <w:sz w:val="24"/>
          <w:szCs w:val="24"/>
        </w:rPr>
        <w:t xml:space="preserve">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магний</w:t>
      </w:r>
      <w:r>
        <w:rPr>
          <w:sz w:val="24"/>
          <w:szCs w:val="24"/>
        </w:rPr>
        <w:t xml:space="preserve">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кальций</w:t>
      </w:r>
      <w:r>
        <w:rPr>
          <w:sz w:val="24"/>
          <w:szCs w:val="24"/>
        </w:rPr>
        <w:t xml:space="preserve">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альмагель</w:t>
      </w:r>
      <w:r>
        <w:rPr>
          <w:sz w:val="24"/>
          <w:szCs w:val="24"/>
        </w:rPr>
        <w:t xml:space="preserve">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фосфалюгель</w:t>
      </w:r>
      <w:r>
        <w:rPr>
          <w:sz w:val="24"/>
          <w:szCs w:val="24"/>
        </w:rPr>
        <w:t xml:space="preserve"> 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Маалокс и другие препараты более мощные их нейтрализующая способ-ность 20-30 милиэквивалент на одну дозу.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Реакции нейтрализации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Al(OH)3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+ HCl --- AlCl1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  <w:lang w:val="en-US"/>
        </w:rPr>
      </w:pPr>
      <w:r w:rsidRPr="00C95BD9">
        <w:rPr>
          <w:sz w:val="24"/>
          <w:szCs w:val="24"/>
          <w:lang w:val="en-US"/>
        </w:rPr>
        <w:t>CaCO3 + 2HCl --- CaCl2 Fl2 + Cl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  <w:lang w:val="en-US"/>
        </w:rPr>
      </w:pPr>
      <w:r w:rsidRPr="00C95BD9">
        <w:rPr>
          <w:sz w:val="24"/>
          <w:szCs w:val="24"/>
          <w:lang w:val="en-US"/>
        </w:rPr>
        <w:t>NaHCO3 + HCL --- NaCl + H2O + CO2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Mg(OH) + 2HCl --- VgCl2 + H2O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Эффекты вызываемые антацидами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Нейтрализация HCl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Адсорбция пепсина и жёлчных кислот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Обволакивающий эффект?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Увеличение синтеза простагландинов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Усиление секреции слизи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Период полуэлиминации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антацидов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20 минут и более 30 минут они не действуют. Для эффективного использования назначать нато-щак и назначать с антисекреторными средствами и сочетать с приёмом пи-щи и если назначать через час после еды то эффект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удлиняется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2-3 часа. 50 мэкв/час (1200 мэкв/сек)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Откоректированная доза 144 мэкв/час через 1 час 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часа после еды и эффект в течение 4 часов, реже 280 мэкв/час.</w:t>
      </w:r>
    </w:p>
    <w:p w:rsidR="006424F4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400 мг в сутки по 100 мк через 2 часа после еды 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ночь,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при монотерапии отмечается достоверный эффект.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Побочные эффекты - наруше-ние моторики ЖКТ.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Средства борьбы с Heliobacter pilori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Свойства бактерии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морфология - грамотрицательная S-образная бактерия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локализация - тропность к эпителию антрального отдела желудка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биохимические особенности - продуцирует уреазу фермент нарушающий продукцию муцина и повреждающий слизистую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патологическая роль - вызывает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эпидемиология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Ирадикация ускоряет заживление язв,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снижает частоту рецидивов до 85%.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Агрессия гелиобактера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стимулирует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защитные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желудка, простагландин Е2 является эндогенным защитным фактором и высвобождается вответ на агрессию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... в больших дозах подавляет образование слизи,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а в малых дозах стимулирует слизеобразование и выработку бикарбонатов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усиление секреции слизи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усиление секреции бикарбоната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усиление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улучшение микроциркуляции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Цитопротективный эффект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таковой в результате действия простагландинов не наблюдается,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но здесь нужно говорить о гистопротективном действии т. е. о защите целостности ткани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Мезопростол(цитотен) аналог простагландина Е,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обладает гистопро-тективным действием,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но революции эти препараты не сделали.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Их можно сочетать при лечении нестероидными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противовоспалительными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средствами для предотвращения их негативного действия на желудок, т.е. для профи-лактики язвеобразования, при приёме аспирина и т.д.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Картеноксолон (бигастрон, дуогастрон) 150-200 мг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увеличивает активность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качественно изменяет гликопротеидный состав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другие механизмы действия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Плёнкообразующие препараты - денол (вентрисол)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кислой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среде образуют коллоидный раствор,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который в кислой среде желудка реагирует с продуктами распада тканей в месте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изъязвле-ния, образуя защитный слой нерастворимый под действием соляной кислоты и пепсина, а также пищи.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Адсорбируют пепсин и жёлчные кислоты.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Повышают уровень простагландинов.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Действуют на Helicobacter pylori бактерицидно.</w:t>
      </w:r>
    </w:p>
    <w:p w:rsidR="006424F4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Стимулируют слизеобразование.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Сукральфат полисахарид действует в кислой среде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Образует защитную очень плотную плёнку.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Адсорбирует пепсин и жёлчные кислоты.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Увеличивает количество простагландинов в слизистой.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Применение </w:t>
      </w:r>
      <w:smartTag w:uri="urn:schemas-microsoft-com:office:smarttags" w:element="metricconverter">
        <w:smartTagPr>
          <w:attr w:name="ProductID" w:val="4 г"/>
        </w:smartTagPr>
        <w:r w:rsidRPr="00C95BD9">
          <w:rPr>
            <w:sz w:val="24"/>
            <w:szCs w:val="24"/>
          </w:rPr>
          <w:t>4 г</w:t>
        </w:r>
      </w:smartTag>
      <w:r w:rsidRPr="00C95BD9">
        <w:rPr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1 г"/>
        </w:smartTagPr>
        <w:r w:rsidRPr="00C95BD9">
          <w:rPr>
            <w:sz w:val="24"/>
            <w:szCs w:val="24"/>
          </w:rPr>
          <w:t>1 г</w:t>
        </w:r>
      </w:smartTag>
      <w:r w:rsidRPr="00C95BD9">
        <w:rPr>
          <w:sz w:val="24"/>
          <w:szCs w:val="24"/>
        </w:rPr>
        <w:t xml:space="preserve"> до еды и на ночь он работает в кислой сре-де. Противорецидивное лечение 2 раза в день 1г днём до еды </w:t>
      </w:r>
      <w:smartTag w:uri="urn:schemas-microsoft-com:office:smarttags" w:element="metricconverter">
        <w:smartTagPr>
          <w:attr w:name="ProductID" w:val="1 г"/>
        </w:smartTagPr>
        <w:r w:rsidRPr="00C95BD9">
          <w:rPr>
            <w:sz w:val="24"/>
            <w:szCs w:val="24"/>
          </w:rPr>
          <w:t>1 г</w:t>
        </w:r>
      </w:smartTag>
      <w:r w:rsidRPr="00C95BD9">
        <w:rPr>
          <w:sz w:val="24"/>
          <w:szCs w:val="24"/>
        </w:rPr>
        <w:t xml:space="preserve"> на ночь.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Тройная комбинация с препаратом висмута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2608"/>
        <w:gridCol w:w="2279"/>
      </w:tblGrid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Комбинация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Длительность курса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Эффектиность</w:t>
            </w:r>
          </w:p>
        </w:tc>
      </w:tr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висмут + метранидазол+тетрациклин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86-90%</w:t>
            </w:r>
          </w:p>
        </w:tc>
      </w:tr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висмут + метранидазол+тетрациклин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88-90%</w:t>
            </w:r>
          </w:p>
        </w:tc>
      </w:tr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висмут + метранидазол +</w:t>
            </w:r>
            <w:r>
              <w:rPr>
                <w:sz w:val="24"/>
                <w:szCs w:val="24"/>
              </w:rPr>
              <w:t xml:space="preserve"> </w:t>
            </w:r>
            <w:r w:rsidRPr="00C95BD9">
              <w:rPr>
                <w:sz w:val="24"/>
                <w:szCs w:val="24"/>
              </w:rPr>
              <w:t>тетрациклин + омепразол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94-98%</w:t>
            </w:r>
          </w:p>
        </w:tc>
      </w:tr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висмут + метранидазол +</w:t>
            </w:r>
            <w:r>
              <w:rPr>
                <w:sz w:val="24"/>
                <w:szCs w:val="24"/>
              </w:rPr>
              <w:t xml:space="preserve"> </w:t>
            </w:r>
            <w:r w:rsidRPr="00C95BD9">
              <w:rPr>
                <w:sz w:val="24"/>
                <w:szCs w:val="24"/>
              </w:rPr>
              <w:t>амоксициклин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75-81%</w:t>
            </w:r>
          </w:p>
        </w:tc>
      </w:tr>
      <w:tr w:rsidR="006424F4" w:rsidRPr="00C95BD9" w:rsidTr="00B11B4C"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висмут + метранидазол +</w:t>
            </w:r>
            <w:r>
              <w:rPr>
                <w:sz w:val="24"/>
                <w:szCs w:val="24"/>
              </w:rPr>
              <w:t xml:space="preserve"> </w:t>
            </w:r>
            <w:r w:rsidRPr="00C95BD9">
              <w:rPr>
                <w:sz w:val="24"/>
                <w:szCs w:val="24"/>
              </w:rPr>
              <w:t>амоксициклин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2 недели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24F4" w:rsidRPr="00C95BD9" w:rsidRDefault="006424F4" w:rsidP="00B11B4C">
            <w:pPr>
              <w:spacing w:before="120"/>
              <w:ind w:firstLine="567"/>
              <w:rPr>
                <w:sz w:val="24"/>
                <w:szCs w:val="24"/>
              </w:rPr>
            </w:pPr>
            <w:r w:rsidRPr="00C95BD9">
              <w:rPr>
                <w:sz w:val="24"/>
                <w:szCs w:val="24"/>
              </w:rPr>
              <w:t>70%</w:t>
            </w:r>
          </w:p>
        </w:tc>
      </w:tr>
    </w:tbl>
    <w:p w:rsidR="006424F4" w:rsidRDefault="006424F4" w:rsidP="006424F4">
      <w:pPr>
        <w:spacing w:before="120"/>
        <w:ind w:firstLine="567"/>
        <w:rPr>
          <w:sz w:val="24"/>
          <w:szCs w:val="24"/>
        </w:rPr>
      </w:pP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омепразол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20 мг 2 раза в день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метранидазол 500 мг 2 раза в день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амоксициклин </w:t>
      </w:r>
      <w:smartTag w:uri="urn:schemas-microsoft-com:office:smarttags" w:element="metricconverter">
        <w:smartTagPr>
          <w:attr w:name="ProductID" w:val="1 г"/>
        </w:smartTagPr>
        <w:r w:rsidRPr="00C95BD9">
          <w:rPr>
            <w:sz w:val="24"/>
            <w:szCs w:val="24"/>
          </w:rPr>
          <w:t>1 г</w:t>
        </w:r>
      </w:smartTag>
      <w:r w:rsidRPr="00C95BD9">
        <w:rPr>
          <w:sz w:val="24"/>
          <w:szCs w:val="24"/>
        </w:rPr>
        <w:t xml:space="preserve"> 2 раза в день</w:t>
      </w:r>
    </w:p>
    <w:p w:rsidR="006424F4" w:rsidRPr="00C95BD9" w:rsidRDefault="006424F4" w:rsidP="006424F4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тетрациклин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4F4"/>
    <w:rsid w:val="004D7190"/>
    <w:rsid w:val="006424F4"/>
    <w:rsid w:val="00811DD4"/>
    <w:rsid w:val="008366DB"/>
    <w:rsid w:val="00B11B4C"/>
    <w:rsid w:val="00C95BD9"/>
    <w:rsid w:val="00DE56A5"/>
    <w:rsid w:val="00E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49E38-3CBD-4C32-93D3-47FCF767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F4"/>
    <w:pPr>
      <w:spacing w:after="0" w:line="240" w:lineRule="auto"/>
      <w:ind w:firstLine="4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24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</Words>
  <Characters>10466</Characters>
  <Application>Microsoft Office Word</Application>
  <DocSecurity>0</DocSecurity>
  <Lines>87</Lines>
  <Paragraphs>24</Paragraphs>
  <ScaleCrop>false</ScaleCrop>
  <Company>Home</Company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Фармакотерапия язвенной болезни</dc:title>
  <dc:subject/>
  <dc:creator>User</dc:creator>
  <cp:keywords/>
  <dc:description/>
  <cp:lastModifiedBy>admin</cp:lastModifiedBy>
  <cp:revision>2</cp:revision>
  <dcterms:created xsi:type="dcterms:W3CDTF">2014-02-20T00:04:00Z</dcterms:created>
  <dcterms:modified xsi:type="dcterms:W3CDTF">2014-02-20T00:04:00Z</dcterms:modified>
</cp:coreProperties>
</file>