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</w:t>
      </w:r>
    </w:p>
    <w:p w:rsidR="00957595" w:rsidRPr="00957595" w:rsidRDefault="00957595" w:rsidP="00957595">
      <w:pPr>
        <w:rPr>
          <w:rFonts w:ascii="Courier New" w:hAnsi="Courier New" w:cs="Courier New"/>
        </w:rPr>
      </w:pP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Вопрос о соотношении  искусства и философии  сложен  не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только потому,что он сложен по своему смыслу,но еще и потому,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что это соотношение исторически менялось. Для эпохи Возрожде-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ния не было ничего  эпатирующего в том,что Леонардо да Винчи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называл живопись "истинной философией",поскольку живопись,по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его словам,самостоятельно обнимает первую истину.Аналогичная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миссия признавалась за поэзией и за архитектурой.Искусство в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эпоху Возрождения вмещало в себя весь состав фундаментальных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мыслей о мире,и поэтому оно шло рука об руку с философией.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Обособление эстетики,с одной стороны,и эмансипация фило-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софии от теологии - с другой,привели к необходимости установ-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ления более четкого соотношения между этими формами духовной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деятельности, так же как это происходило и в сфере  соотноше-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ния  исскуства и науки. Для ХЎХ века на первый  план выдвину-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лась проблема иерархического  строения  здания  гуманитарных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наук. Так,Шеллинг и романтизм вообще,ставя искусство (особен-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но музыку) выше  науки, провозглашали  его  главенство и над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философией, а Гегель, наоборот, при всей признаваемой им зна-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чимости эстетического  венчал здание самопознания абсолютной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идеи его высшей формой - философией.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Однако с кризисом рационализма изменился и тот смысл,ко-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торый привносился западной философией в вопрос о соотношении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искусства и философии. Стремление отчетливо развести эти фор-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мы и установить между ними иерархическую  субординацию смени-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лось как бы возвратившейся  исторической тенденцией к их сов-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мещению или даже  почти  отождествлению. Однако в отличие от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ушедших  исторических эпох это очередное сближение исскуства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и философии происходило уже на иных основаниях.Уже не поэзия,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не живопись и не музыка, а художественная проза признавалась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естественной  сферой  этого  содружества, и уже не искусство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уподоблялось  философии, что предполагает где-то в своей глу-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бине большую значимость философии, но философия стала уподоб-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ляться художественной прозе,что,напротив, предполагает исход-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ное  превосходство  искусства (продолжение линии романтиков).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Сначала А.Шопенгауэр и Ф.Ницше , затем Г.Риккерт и А.Бергсон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объединили  философию и искусство на том  основании, что они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одинаково далеко отстоят от практики и что  то и другое есть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целостное  "созерцающее" постижение  жизни, использующее  не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столько логику понятий, сколько иррациональную интуицию. Пло-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дом этого  совмещения стал новый жанр литературы - "интеллек-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туальная романистика" (Т.Манн и другие). Естественно, что та-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кое сближение осуществлялось только в рамках тех направлений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философии, которые  строились  на  тезисе о бессилии  логико-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понятийных познавательных средств и потому неизбежно  должны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были ориентироваться на "сверхпонятийные" - художественные 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способы постижения истины.Таково было, например, направление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экзистенциализма, в русле которого творили А.Камю, Г.Марсель,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и Ж.П.Сартр; их философские сочинения были насквозь художест-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венны, а художественные - насквозь философичны.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Вопрос о соотношении искусства и философии  действитель-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но является очень сложным и многоплановым. Между этими двумя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видами духовной деятельности  человека, несомненно, есть глу-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бокое родство,но нет полного внутреннего тождества.Философия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и искусство, как говорил М.М.Бахтин,"нераздельны,но и неслия-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нны". Совместно  противостоя на современном  этапе  развития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культуры  науке благодаря отсутствию у них конкретного объек-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та познания, эти формы духовной  деятельности все же противо-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поставимы с точки зрения своих познавательных средств, конеч-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ной  цели и своего  языка. Философия  в  этом смысле ближе к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науке - она тяготеет к логико-понятийному  аппарату, к систе-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матичности, к тому, чтобы  высветить свои выводы в рациональ-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но-воспроизводимых формах рассуждения. Исскуство же в принци-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пе ориентировано на образно-символические формы  познания  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выражения, которые  не  предполагают  своей  рассудочной вос-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производимости. Раскрыть и прокоментировать смысл образа или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символа можно только с помощью другого (изоморфного) символа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или образа. Растворить  смысл  образа в понятиях  невозможно,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как невозможно и лишить его индивидуально-личностной окраски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путем обобщающей абстракции. Возможна лишь  относительная ра-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ционализация смысла образа или символа, но при этом сразу же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изменится и познавательная  парадигма : из  сферы  искусства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данный смысл, подвергшийся рационализации, сразу же перейдет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 область науки и философии.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Исскуство и философия, таким образом - это взаимозависи-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мые, но различные формы общественного  сознания, которые, не-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смотря на всю близость (но не тождественность) своих содержа-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тельных областей, на свою равную направленность на предельно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общие вопросы духа и бытия, отличаются методом познания и вы-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ражения. Философия, в сущности, может  быть  (хотя  это и не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всегда так) растворена в понятиях и подана в безличной форме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(хотя бы в педагогических  целях), искусство же не поддается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такому - педагогическому - растворению и обезличиванию.Здесь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схвачены как бы разные модусы человеческого сознания,его раз-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ные состояния и разные по форме виды деятельности. Это много-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различие  духовных  состояний - одно из самых ценных свойств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человеческого сознания.Унификация смыслов,их сведение к одно-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му знаменателю обедняет как сами смыслы,так и самого унифика-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тора.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Сказанное, конечно, не значит, что художественная проза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не должна "философствовать", а философия должна  оперировать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только сухими  рассудочными схемами. Любое сближение противо-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положностей рождает новое, третье, качество, не аннулируя ис-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ходную  пару. Так, "интеллектуальная  романистика", обогатив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европейскую культуру именами Т.Манна и Ж.П.Сартра, отнюдь не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"отменила" тем  самым "внероманную" философию  и "внефилософ-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скую" прозу.Культура живет в своих самых разных формах и раз-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новидностях, и она только  выигрывает в этом богатстве от пе-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риодически  возникающих  скрещений. Искусство и философия по-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разному - в этом и состоит  их  ценность - удовлетворяют выс-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шие потребности духа.Чем свободней и многоразличней духовная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жизнь общества, тем  естественней и органичней оно развивает-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ся.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      </w:t>
      </w:r>
    </w:p>
    <w:p w:rsidR="00957595" w:rsidRPr="00957595" w:rsidRDefault="00957595" w:rsidP="00957595">
      <w:pPr>
        <w:rPr>
          <w:rFonts w:ascii="Courier New" w:hAnsi="Courier New" w:cs="Courier New"/>
        </w:rPr>
      </w:pP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В общем плане проблема  соотношения целого и его частей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традиционно предполагала решение таких вопросов, как :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1).Является ли целое суммой частей или оно есть нечто качест-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венно иное.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2).Что чему предшествует - часть целому или целое части.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3).Какова  связь между целым и его частями, а также между са-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мими этими частями внутри целого - имеет ли эта связь при-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чинный характер.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4).Познается ли целое  через  части  или же части могут быть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познаны  лишь на основе  знания о включающим  их  в  себя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целом.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Вплоть до повсеместного  распостранения  системного под-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хода все эти главные вопросы решались либо механически-сумма-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тивно, либо идеалистически-интегративно.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Попытаемся  ответить  на  четыре поставленных вопроса с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диалектико-материалистических позиций.Вопрос первый : как со-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относятся  целое и его части? Целое представляет собой такое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единство своих частей, которое обладает новыми качественными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свойствами, никак не выводимыми  из  составляющих его частей.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Возьмем молекулу воды. Это пример сравнительно простой систе-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мы. Сам по себе водород, два атома которого образуют эту сис-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тему, горит, а кислород, один атом которого входит в нее,под-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держивает  горение. Система же, образуемая из этих элементов,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вызвала к жизни совсем иное, именно  интегративное  свойство: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вода гасит огонь. Атомы всех химических элементов,образуя мо-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лекулы и входя в такие системы,как органы и другие структуры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организма человека, обретают новые интегративные, то есть за-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висящие от объемлющего их целого, свойства,которые поднимают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структурную организацию материи на иной уровень.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Еще  Сократ заметил, что лицо  связывает в единое целое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свои части : губы, рот, нос, глаза, уши, подбородок, щеки. 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как бы ни различались по виду и по функциям все части лица,и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как  бы  ни были сходны, сами  по  себе они не образуют лица.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Лицо есть нечто единое, целое. Оно неразделимо и несводимо к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тем частям, из которых состоит,без потери своей качественной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определенности как именно лица. Оно объединяет части, охваты-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вает их все и образует  уникальное  целое, обладающее новыми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интегративными свойствами. В двуполых биологических видах ни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одна отдельная особь не может дать потомства без участия осо-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би другого  пола, и это не простая  сумма ранее разрозненных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свойств,а следствие их интегративного,целостного объединения.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Итак, целое - это такая сущность, которая не сводится к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простой сумме составляющих ее частей.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Как  же  соотносятся качества целого и частей? Целое ус-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тойчивей своих частей. По отношению к ним оно выступает в ви-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де своего рода "каркаса",который обладает большой относитель-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ной устойчивостью. Это похоже на костер : дрова подкладывают-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ся, сгорают и улетучиваются, а пламя в целом остается.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Однако и целое не вечно : будучи  выражением момента от-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носительной устойчивости бытия, оно не является вместе с тем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абсолютно  неизменной  сущностью. Принцип развития как раз 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заключает в себе идею качественных сдвигов в области устойчи-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вых целостных структур, в то время как текучесть частей цело-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го, их  материальная  неустойчивость и постоянное  изменение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своего вещественного состава не являются атрибутами развития,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но только - показателями постоянно происходящих в природе из-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менений.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Из выше сказанного уже ясно, что  постановка  вопроса о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том, что предшествует: часть - целому или целое - части (воп-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рос второй), метафизична в своей основе, и это  отмечал  уже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Гегель. О предшествовании  речь  может  идти только в случае,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если целое понимается идеалистически : как нечто предшествую-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щее возникновению материи вообще в качестве  ее  источника 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(или) прообраза. В случае же, если  категории части и целого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имеют равноправное онтологическое толкование как атрибуты са-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мого бытия, то ни части (в качестве именно частей данного це-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лого) не существуют до и без целого, ни целое не  существует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до и вне своих частей. Таким образом, категории целого и час-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ти 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с другом, причем  это  соотношение носит характер </w:t>
      </w:r>
    </w:p>
    <w:p w:rsidR="00957595" w:rsidRPr="00957595" w:rsidRDefault="00957595" w:rsidP="00957595">
      <w:pPr>
        <w:rPr>
          <w:rFonts w:ascii="Courier New" w:hAnsi="Courier New" w:cs="Courier New"/>
        </w:rPr>
      </w:pP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тей, так и самого целого.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Из такой соотносительной природы категорий части и цело-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го, подчеркивающей  их  одновременность, вытекает и ответ на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третий вопрос - о характере связи между целым и его  частями,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а также между частями внутри  самого целого. Известно, что в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системах действует принцип симметричной взаимозависимости,на-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зываемый в науке  принципом  функциональной корреляции (соот-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ветствия). Ни одна часть не может измениться без того, чтобы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не изменились другие части, и это изменение носит синхронный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характер. Действующая в системном целом  обратная связь обес-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печивает устойчивость целого в пределах данной  качественной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определенности. Наряду с корреляцией  в  системном целом дей-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ствует  также и субординационная  связь, отражающая  сложное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внутреннее  устройство  системы, где одни части по своей зна-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чимости  могут уступать другим и подчиняться им в общем деле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сплочения всех элементов в единое целое. Выражая  тип  связи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между сосуществующими в целом  явлениями, корреляция и субор-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динация отнюдь  не  отрицают детерминизма вообще, а вместе с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тем и генетического причинного детерминизма,который в данном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случае  выступает как опосредствованый иными системными прин-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ципами, в силу  чего  действие  может выражаться в форме кор-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релятивных зависимостей (вуалирующих причинную связь).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Наконец, ответим на четвертый  вопрос - о гносеологичес-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кой значимости  категорий  целого и части. Что через что поз-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нается:целое через свои части или части через целое? И здесь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своя диалектика: познание  частей  и  целого  осуществляется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одновременно. Выделяя части, мы сразу же познаем их  не  как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обособленные явления, взятые сами по себе,а как именно части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данного целого. С другой  стороны, познавая  целое, мы также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сразу же имеем в виду и его разделенность  на части. Без час-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тей нет целого, без  целого  нет частей. Целое есть </w:t>
      </w:r>
    </w:p>
    <w:p w:rsidR="00957595" w:rsidRPr="00957595" w:rsidRDefault="00957595" w:rsidP="00957595">
      <w:pPr>
        <w:rPr>
          <w:rFonts w:ascii="Courier New" w:hAnsi="Courier New" w:cs="Courier New"/>
        </w:rPr>
      </w:pP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выделяем в нем соответствующие части и выясняем  характер их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связи.Однако недостаточно изучить части без их связи с целым: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знающий только части еще не знает целого. Так,отдельный кадр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в кино можно понять по-настоящему, лишь как элемент всей кар-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тины в целом. С другой стороны, обилие  частностей может зас-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лонить целое. Это характерная черта эмпиризма.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Вопрос о гносеологической значимости категорий  части и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целого наиболее  важен в методологическом  отношении, ибо он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позволяет адекватно осмыслить эвристическую  значимость прин-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ципа редукции (сведения сложного к более простому) с тем,что-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бы избежать опасности редукционизма. Редукционизм  далеко не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однозначен, он имеет многообразные формы, однако во всех слу-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чаях следует видеть его ограниченность и необходимость  пере-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хода  к  интегративности (то есть к системному  подходу) как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способу  реконструкции "разрушенной" целостности. Принцип ре-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дукции имеет смысл только как  рабочий  инструмент  познания,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применяемый для достижения сознательно поставленных  промежу-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точных целей. Зрелый и изощренный ум схватывает события с са-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мого начала в целом, наблюдает  их  как бы сверху, улавливая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общую суть единого, а потом уже вникает в детали,с тем чтобы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осмыслить целое во всей его внутренне дифференцированной глу-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бине - сущностно.</w:t>
      </w:r>
    </w:p>
    <w:p w:rsidR="00957595" w:rsidRPr="00957595" w:rsidRDefault="00957595" w:rsidP="00957595">
      <w:pPr>
        <w:rPr>
          <w:rFonts w:ascii="Courier New" w:hAnsi="Courier New" w:cs="Courier New"/>
        </w:rPr>
      </w:pPr>
    </w:p>
    <w:p w:rsidR="00957595" w:rsidRPr="00957595" w:rsidRDefault="00957595" w:rsidP="00957595">
      <w:pPr>
        <w:rPr>
          <w:rFonts w:ascii="Courier New" w:hAnsi="Courier New" w:cs="Courier New"/>
        </w:rPr>
      </w:pPr>
    </w:p>
    <w:p w:rsidR="00957595" w:rsidRPr="00957595" w:rsidRDefault="00957595" w:rsidP="00957595">
      <w:pPr>
        <w:rPr>
          <w:rFonts w:ascii="Courier New" w:hAnsi="Courier New" w:cs="Courier New"/>
        </w:rPr>
      </w:pP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               </w:t>
      </w:r>
    </w:p>
    <w:p w:rsidR="00957595" w:rsidRPr="00957595" w:rsidRDefault="00957595" w:rsidP="00957595">
      <w:pPr>
        <w:rPr>
          <w:rFonts w:ascii="Courier New" w:hAnsi="Courier New" w:cs="Courier New"/>
        </w:rPr>
      </w:pP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1.Спиркин А.Г. Основы философии.Учебное пособие.- Москва,1988</w:t>
      </w:r>
    </w:p>
    <w:p w:rsidR="00957595" w:rsidRPr="00957595" w:rsidRDefault="00957595" w:rsidP="00957595">
      <w:pPr>
        <w:rPr>
          <w:rFonts w:ascii="Courier New" w:hAnsi="Courier New" w:cs="Courier New"/>
        </w:rPr>
      </w:pP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2.Введение в философию.Учебник для высших заведений.- Москва,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1989</w:t>
      </w:r>
    </w:p>
    <w:p w:rsidR="00957595" w:rsidRPr="00957595" w:rsidRDefault="00957595" w:rsidP="00957595">
      <w:pPr>
        <w:rPr>
          <w:rFonts w:ascii="Courier New" w:hAnsi="Courier New" w:cs="Courier New"/>
        </w:rPr>
      </w:pP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>3.Философия, 100 экзаменационных ответов. Экзаменационный</w:t>
      </w:r>
    </w:p>
    <w:p w:rsidR="00957595" w:rsidRPr="00957595" w:rsidRDefault="00957595" w:rsidP="00957595">
      <w:pPr>
        <w:rPr>
          <w:rFonts w:ascii="Courier New" w:hAnsi="Courier New" w:cs="Courier New"/>
        </w:rPr>
      </w:pPr>
      <w:r w:rsidRPr="00957595">
        <w:rPr>
          <w:rFonts w:ascii="Courier New" w:hAnsi="Courier New" w:cs="Courier New"/>
        </w:rPr>
        <w:t xml:space="preserve">  экспресс-справочник.- Ростов-на-Дону, "Март",1999</w:t>
      </w:r>
      <w:bookmarkStart w:id="0" w:name="_GoBack"/>
      <w:bookmarkEnd w:id="0"/>
    </w:p>
    <w:sectPr w:rsidR="00957595" w:rsidRPr="0095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595"/>
    <w:rsid w:val="002357A4"/>
    <w:rsid w:val="006A311B"/>
    <w:rsid w:val="00957595"/>
    <w:rsid w:val="00F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5C0128-2E24-4E68-B65F-87D41D45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Углеметбанк, г. Челябинск</Company>
  <LinksUpToDate>false</LinksUpToDate>
  <CharactersWithSpaces>13478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Губанов</dc:creator>
  <cp:keywords/>
  <dc:description/>
  <cp:lastModifiedBy>admin</cp:lastModifiedBy>
  <cp:revision>2</cp:revision>
  <dcterms:created xsi:type="dcterms:W3CDTF">2014-02-17T23:11:00Z</dcterms:created>
  <dcterms:modified xsi:type="dcterms:W3CDTF">2014-02-17T23:11:00Z</dcterms:modified>
</cp:coreProperties>
</file>