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E56" w:rsidRDefault="00D66E56">
      <w:pPr>
        <w:rPr>
          <w:b/>
          <w:bCs/>
          <w:sz w:val="28"/>
        </w:rPr>
      </w:pPr>
    </w:p>
    <w:p w:rsidR="00D66E56" w:rsidRDefault="00D66E56">
      <w:pPr>
        <w:pStyle w:val="a8"/>
      </w:pPr>
      <w:r>
        <w:t>ЦЕНТРОСОЮЗ РОССИИ</w:t>
      </w:r>
    </w:p>
    <w:p w:rsidR="00D66E56" w:rsidRDefault="00D66E56">
      <w:pPr>
        <w:jc w:val="center"/>
        <w:rPr>
          <w:sz w:val="28"/>
        </w:rPr>
      </w:pPr>
      <w:r>
        <w:rPr>
          <w:sz w:val="28"/>
        </w:rPr>
        <w:t>САРАНСКИЙ КООПЕРАТИВНЫЙ ИНСТИТУТ</w:t>
      </w:r>
    </w:p>
    <w:p w:rsidR="00D66E56" w:rsidRDefault="00D66E56">
      <w:pPr>
        <w:pStyle w:val="5"/>
        <w:rPr>
          <w:sz w:val="28"/>
        </w:rPr>
      </w:pPr>
      <w:r>
        <w:rPr>
          <w:sz w:val="28"/>
        </w:rPr>
        <w:t>МОСКОВСКОГО УНИВЕРСИТЕТА ПОТРЕБИТЕЛЬСКОЙ КООПЕРАЦИИ</w:t>
      </w:r>
    </w:p>
    <w:p w:rsidR="00D66E56" w:rsidRDefault="00D66E56">
      <w:pPr>
        <w:jc w:val="center"/>
        <w:rPr>
          <w:sz w:val="28"/>
        </w:rPr>
      </w:pPr>
    </w:p>
    <w:p w:rsidR="00D66E56" w:rsidRDefault="00D66E56">
      <w:pPr>
        <w:jc w:val="center"/>
        <w:rPr>
          <w:sz w:val="24"/>
        </w:rPr>
      </w:pPr>
    </w:p>
    <w:p w:rsidR="00D66E56" w:rsidRDefault="00D66E56">
      <w:pPr>
        <w:jc w:val="center"/>
        <w:rPr>
          <w:sz w:val="24"/>
        </w:rPr>
      </w:pPr>
    </w:p>
    <w:p w:rsidR="00D66E56" w:rsidRDefault="00D66E56" w:rsidP="00E17B84">
      <w:pPr>
        <w:rPr>
          <w:sz w:val="24"/>
        </w:rPr>
      </w:pPr>
    </w:p>
    <w:p w:rsidR="00D66E56" w:rsidRDefault="00D66E56">
      <w:pPr>
        <w:jc w:val="center"/>
        <w:rPr>
          <w:sz w:val="24"/>
        </w:rPr>
      </w:pPr>
    </w:p>
    <w:p w:rsidR="00D66E56" w:rsidRDefault="00D66E56">
      <w:pPr>
        <w:jc w:val="center"/>
        <w:rPr>
          <w:sz w:val="24"/>
        </w:rPr>
      </w:pPr>
    </w:p>
    <w:p w:rsidR="00D66E56" w:rsidRDefault="00D66E56">
      <w:pPr>
        <w:jc w:val="center"/>
        <w:rPr>
          <w:sz w:val="24"/>
        </w:rPr>
      </w:pPr>
    </w:p>
    <w:p w:rsidR="00D66E56" w:rsidRDefault="00D66E56">
      <w:pPr>
        <w:jc w:val="center"/>
        <w:rPr>
          <w:sz w:val="28"/>
        </w:rPr>
      </w:pPr>
      <w:r>
        <w:rPr>
          <w:sz w:val="28"/>
        </w:rPr>
        <w:t xml:space="preserve">Кафедра </w:t>
      </w:r>
      <w:r w:rsidR="00F50473">
        <w:rPr>
          <w:sz w:val="28"/>
        </w:rPr>
        <w:t>валютно-кредитных и финансовых отношений</w:t>
      </w:r>
    </w:p>
    <w:p w:rsidR="00D66E56" w:rsidRDefault="00D66E56">
      <w:pPr>
        <w:jc w:val="center"/>
        <w:rPr>
          <w:sz w:val="28"/>
        </w:rPr>
      </w:pPr>
    </w:p>
    <w:p w:rsidR="00D66E56" w:rsidRDefault="00D66E56">
      <w:pPr>
        <w:jc w:val="center"/>
        <w:rPr>
          <w:sz w:val="24"/>
        </w:rPr>
      </w:pPr>
    </w:p>
    <w:p w:rsidR="00D66E56" w:rsidRDefault="00D66E56">
      <w:pPr>
        <w:jc w:val="center"/>
        <w:rPr>
          <w:sz w:val="24"/>
        </w:rPr>
      </w:pPr>
    </w:p>
    <w:p w:rsidR="00E17B84" w:rsidRPr="00DC5D43" w:rsidRDefault="00DC5D43" w:rsidP="00E17B84">
      <w:pPr>
        <w:pStyle w:val="2"/>
        <w:jc w:val="center"/>
        <w:rPr>
          <w:sz w:val="110"/>
        </w:rPr>
      </w:pPr>
      <w:r>
        <w:rPr>
          <w:sz w:val="110"/>
        </w:rPr>
        <w:t xml:space="preserve">Доклад </w:t>
      </w:r>
    </w:p>
    <w:p w:rsidR="00D66E56" w:rsidRPr="00E17B84" w:rsidRDefault="00D66E56" w:rsidP="00E17B84">
      <w:pPr>
        <w:pStyle w:val="2"/>
        <w:jc w:val="center"/>
        <w:rPr>
          <w:b w:val="0"/>
          <w:sz w:val="110"/>
        </w:rPr>
      </w:pPr>
      <w:r w:rsidRPr="00E17B84">
        <w:rPr>
          <w:b w:val="0"/>
        </w:rPr>
        <w:t>По дисциплине: «Финансы».</w:t>
      </w:r>
    </w:p>
    <w:p w:rsidR="00D66E56" w:rsidRPr="00E17B84" w:rsidRDefault="00D66E56">
      <w:pPr>
        <w:ind w:right="-37" w:firstLine="426"/>
        <w:jc w:val="center"/>
        <w:rPr>
          <w:sz w:val="28"/>
          <w:szCs w:val="28"/>
        </w:rPr>
      </w:pPr>
      <w:r w:rsidRPr="00E17B84">
        <w:rPr>
          <w:sz w:val="28"/>
          <w:szCs w:val="28"/>
        </w:rPr>
        <w:t>На тему: «Финансовая система Великобритании».</w:t>
      </w:r>
    </w:p>
    <w:p w:rsidR="00D66E56" w:rsidRDefault="00D66E56">
      <w:pPr>
        <w:jc w:val="center"/>
        <w:rPr>
          <w:sz w:val="24"/>
        </w:rPr>
      </w:pPr>
    </w:p>
    <w:p w:rsidR="00D66E56" w:rsidRDefault="00D66E56">
      <w:pPr>
        <w:jc w:val="center"/>
        <w:rPr>
          <w:sz w:val="24"/>
        </w:rPr>
      </w:pPr>
    </w:p>
    <w:p w:rsidR="00D66E56" w:rsidRDefault="00D66E56">
      <w:pPr>
        <w:jc w:val="center"/>
        <w:rPr>
          <w:sz w:val="24"/>
        </w:rPr>
      </w:pPr>
    </w:p>
    <w:p w:rsidR="00D66E56" w:rsidRDefault="00D66E56">
      <w:pPr>
        <w:jc w:val="center"/>
        <w:rPr>
          <w:sz w:val="24"/>
        </w:rPr>
      </w:pPr>
    </w:p>
    <w:p w:rsidR="00D66E56" w:rsidRDefault="00D66E56">
      <w:pPr>
        <w:jc w:val="center"/>
        <w:rPr>
          <w:sz w:val="24"/>
        </w:rPr>
      </w:pPr>
    </w:p>
    <w:p w:rsidR="00D66E56" w:rsidRDefault="00D66E56">
      <w:pPr>
        <w:jc w:val="center"/>
        <w:rPr>
          <w:sz w:val="24"/>
        </w:rPr>
      </w:pPr>
    </w:p>
    <w:p w:rsidR="00D66E56" w:rsidRDefault="00D66E56">
      <w:pPr>
        <w:jc w:val="center"/>
        <w:rPr>
          <w:sz w:val="24"/>
        </w:rPr>
      </w:pPr>
      <w:r>
        <w:rPr>
          <w:sz w:val="24"/>
        </w:rPr>
        <w:t xml:space="preserve">  </w:t>
      </w:r>
    </w:p>
    <w:p w:rsidR="00D66E56" w:rsidRDefault="00D66E56">
      <w:pPr>
        <w:jc w:val="center"/>
        <w:rPr>
          <w:sz w:val="24"/>
        </w:rPr>
      </w:pPr>
    </w:p>
    <w:p w:rsidR="00D66E56" w:rsidRPr="00E17B84" w:rsidRDefault="00D66E56">
      <w:pPr>
        <w:jc w:val="center"/>
        <w:rPr>
          <w:sz w:val="28"/>
          <w:szCs w:val="28"/>
        </w:rPr>
      </w:pPr>
    </w:p>
    <w:p w:rsidR="00D66E56" w:rsidRPr="00E17B84" w:rsidRDefault="00D66E56">
      <w:pPr>
        <w:pStyle w:val="3"/>
        <w:jc w:val="right"/>
        <w:rPr>
          <w:szCs w:val="28"/>
        </w:rPr>
      </w:pPr>
      <w:r w:rsidRPr="00E17B84">
        <w:rPr>
          <w:szCs w:val="28"/>
        </w:rPr>
        <w:t xml:space="preserve">Выполнил: студент гр. БА-21 </w:t>
      </w:r>
    </w:p>
    <w:p w:rsidR="00D66E56" w:rsidRPr="00E17B84" w:rsidRDefault="00D66E56">
      <w:pPr>
        <w:jc w:val="right"/>
        <w:rPr>
          <w:sz w:val="28"/>
          <w:szCs w:val="28"/>
        </w:rPr>
      </w:pPr>
      <w:r w:rsidRPr="00E17B84">
        <w:rPr>
          <w:sz w:val="28"/>
          <w:szCs w:val="28"/>
        </w:rPr>
        <w:t>Марычев А.В.</w:t>
      </w:r>
    </w:p>
    <w:p w:rsidR="00D66E56" w:rsidRPr="00E17B84" w:rsidRDefault="00D66E56">
      <w:pPr>
        <w:jc w:val="right"/>
        <w:rPr>
          <w:sz w:val="28"/>
          <w:szCs w:val="28"/>
        </w:rPr>
      </w:pPr>
      <w:r w:rsidRPr="00E17B84">
        <w:rPr>
          <w:sz w:val="28"/>
          <w:szCs w:val="28"/>
        </w:rPr>
        <w:t xml:space="preserve">Проверила: </w:t>
      </w:r>
    </w:p>
    <w:p w:rsidR="00D66E56" w:rsidRPr="00E17B84" w:rsidRDefault="00D66E56">
      <w:pPr>
        <w:jc w:val="right"/>
        <w:rPr>
          <w:sz w:val="28"/>
          <w:szCs w:val="28"/>
        </w:rPr>
      </w:pPr>
      <w:r w:rsidRPr="00E17B84">
        <w:rPr>
          <w:sz w:val="28"/>
          <w:szCs w:val="28"/>
        </w:rPr>
        <w:t>Первова Т.А.</w:t>
      </w:r>
    </w:p>
    <w:p w:rsidR="00D66E56" w:rsidRDefault="00D66E56">
      <w:pPr>
        <w:jc w:val="right"/>
        <w:rPr>
          <w:sz w:val="24"/>
        </w:rPr>
      </w:pPr>
    </w:p>
    <w:p w:rsidR="00E17B84" w:rsidRDefault="00E17B84">
      <w:pPr>
        <w:pStyle w:val="3"/>
      </w:pPr>
    </w:p>
    <w:p w:rsidR="00E17B84" w:rsidRDefault="00E17B84">
      <w:pPr>
        <w:pStyle w:val="3"/>
      </w:pPr>
    </w:p>
    <w:p w:rsidR="00E17B84" w:rsidRDefault="00E17B84">
      <w:pPr>
        <w:pStyle w:val="3"/>
      </w:pPr>
    </w:p>
    <w:p w:rsidR="00E17B84" w:rsidRDefault="00E17B84">
      <w:pPr>
        <w:pStyle w:val="3"/>
      </w:pPr>
    </w:p>
    <w:p w:rsidR="00E17B84" w:rsidRDefault="00E17B84">
      <w:pPr>
        <w:pStyle w:val="3"/>
      </w:pPr>
    </w:p>
    <w:p w:rsidR="00E17B84" w:rsidRDefault="00E17B84">
      <w:pPr>
        <w:pStyle w:val="3"/>
      </w:pPr>
    </w:p>
    <w:p w:rsidR="00D66E56" w:rsidRDefault="00D66E56">
      <w:pPr>
        <w:pStyle w:val="3"/>
      </w:pPr>
      <w:r>
        <w:t>САРАНСК 2004</w:t>
      </w:r>
    </w:p>
    <w:p w:rsidR="00D66E56" w:rsidRDefault="00D66E56">
      <w:pPr>
        <w:pStyle w:val="1"/>
      </w:pPr>
    </w:p>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Pr>
        <w:pStyle w:val="1"/>
      </w:pPr>
      <w:r>
        <w:t>Введение_____________________________________________________________3</w:t>
      </w:r>
    </w:p>
    <w:p w:rsidR="00D66E56" w:rsidRDefault="00D66E56">
      <w:pPr>
        <w:tabs>
          <w:tab w:val="left" w:pos="0"/>
        </w:tabs>
        <w:spacing w:before="640" w:line="220" w:lineRule="auto"/>
        <w:ind w:right="-58" w:firstLine="426"/>
        <w:jc w:val="both"/>
        <w:rPr>
          <w:b/>
          <w:bCs/>
          <w:sz w:val="28"/>
        </w:rPr>
      </w:pPr>
    </w:p>
    <w:p w:rsidR="00D66E56" w:rsidRDefault="00D66E56">
      <w:pPr>
        <w:rPr>
          <w:b/>
          <w:bCs/>
          <w:sz w:val="28"/>
        </w:rPr>
      </w:pPr>
      <w:r>
        <w:rPr>
          <w:b/>
          <w:bCs/>
          <w:sz w:val="28"/>
        </w:rPr>
        <w:t>Финансовая система Великобритании.__________________________________4</w:t>
      </w:r>
    </w:p>
    <w:p w:rsidR="00D66E56" w:rsidRDefault="00D66E56">
      <w:pPr>
        <w:rPr>
          <w:b/>
          <w:bCs/>
          <w:sz w:val="28"/>
        </w:rPr>
      </w:pPr>
    </w:p>
    <w:p w:rsidR="00D66E56" w:rsidRDefault="00D66E56">
      <w:pPr>
        <w:rPr>
          <w:b/>
          <w:bCs/>
          <w:sz w:val="28"/>
        </w:rPr>
      </w:pPr>
    </w:p>
    <w:p w:rsidR="00D66E56" w:rsidRDefault="00D66E56">
      <w:pPr>
        <w:rPr>
          <w:b/>
          <w:bCs/>
          <w:sz w:val="28"/>
        </w:rPr>
      </w:pPr>
    </w:p>
    <w:p w:rsidR="00D66E56" w:rsidRDefault="00E17B84" w:rsidP="00E17B84">
      <w:pPr>
        <w:pStyle w:val="a6"/>
        <w:ind w:firstLine="0"/>
        <w:rPr>
          <w:b/>
          <w:bCs/>
        </w:rPr>
      </w:pPr>
      <w:r>
        <w:rPr>
          <w:b/>
          <w:bCs/>
        </w:rPr>
        <w:t>Изменения и развитие финансовой система Великобритании_____</w:t>
      </w:r>
      <w:r w:rsidR="00D66E56">
        <w:rPr>
          <w:b/>
          <w:bCs/>
        </w:rPr>
        <w:t>__</w:t>
      </w:r>
      <w:r>
        <w:rPr>
          <w:b/>
          <w:bCs/>
        </w:rPr>
        <w:t>_____</w:t>
      </w:r>
      <w:r w:rsidR="00D66E56">
        <w:rPr>
          <w:b/>
          <w:bCs/>
        </w:rPr>
        <w:t>___7</w:t>
      </w:r>
    </w:p>
    <w:p w:rsidR="00D66E56" w:rsidRDefault="00D66E56">
      <w:pPr>
        <w:pStyle w:val="1"/>
      </w:pPr>
    </w:p>
    <w:p w:rsidR="00D66E56" w:rsidRDefault="00D66E56">
      <w:pPr>
        <w:pStyle w:val="1"/>
      </w:pPr>
    </w:p>
    <w:p w:rsidR="00D66E56" w:rsidRDefault="00D66E56">
      <w:pPr>
        <w:pStyle w:val="1"/>
      </w:pPr>
    </w:p>
    <w:p w:rsidR="00D66E56" w:rsidRDefault="00D66E56">
      <w:pPr>
        <w:pStyle w:val="1"/>
      </w:pPr>
    </w:p>
    <w:p w:rsidR="00D66E56" w:rsidRDefault="00D66E56">
      <w:pPr>
        <w:pStyle w:val="1"/>
      </w:pPr>
    </w:p>
    <w:p w:rsidR="00D66E56" w:rsidRDefault="00D66E56">
      <w:pPr>
        <w:pStyle w:val="1"/>
      </w:pPr>
    </w:p>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 w:rsidR="00D66E56" w:rsidRDefault="00D66E56">
      <w:pPr>
        <w:pStyle w:val="1"/>
      </w:pPr>
      <w:r>
        <w:t>Введение</w:t>
      </w:r>
    </w:p>
    <w:p w:rsidR="00D66E56" w:rsidRDefault="00D66E56">
      <w:pPr>
        <w:pStyle w:val="a3"/>
        <w:ind w:firstLine="426"/>
      </w:pPr>
      <w:r>
        <w:t>Финансовая система – это совокупность взаимосвязанных и взаимодействующих частей, звеньев и элементов непосредственно участвующих в финансовой деятельности  и способствующих её осуществлению. Состоит из финансовых институтов  (организации, учреждения осуществляющие и регулирующие финансовую деятельности, министерство финансов, казначейство, центральный банк, налоговая инспекция, фондовые  и валютные биржи)  и финансовых инструментов, создающих необходимые условия протекания финансовых процессов. Финансовая система оперирует разнообразными денежными средствами, включающие все виды денежных агрегатов – количество денег, безналичные формы денег (деньги на счетах аккредитивов, денежные сертификаты), ценные бумаги в виде акций, векселей, опционов.</w:t>
      </w:r>
    </w:p>
    <w:p w:rsidR="00D66E56" w:rsidRDefault="00D66E56">
      <w:pPr>
        <w:tabs>
          <w:tab w:val="left" w:pos="0"/>
        </w:tabs>
        <w:spacing w:before="640" w:line="220" w:lineRule="auto"/>
        <w:ind w:right="-58" w:firstLine="426"/>
        <w:jc w:val="both"/>
        <w:rPr>
          <w:sz w:val="28"/>
        </w:rPr>
      </w:pPr>
    </w:p>
    <w:p w:rsidR="00D66E56" w:rsidRDefault="00D66E56">
      <w:pPr>
        <w:tabs>
          <w:tab w:val="left" w:pos="0"/>
        </w:tabs>
        <w:spacing w:before="640" w:line="220" w:lineRule="auto"/>
        <w:ind w:right="-58" w:firstLine="426"/>
        <w:jc w:val="both"/>
        <w:rPr>
          <w:sz w:val="28"/>
        </w:rPr>
      </w:pPr>
    </w:p>
    <w:p w:rsidR="00D66E56" w:rsidRDefault="00D66E56">
      <w:pPr>
        <w:tabs>
          <w:tab w:val="left" w:pos="0"/>
        </w:tabs>
        <w:spacing w:before="640" w:line="220" w:lineRule="auto"/>
        <w:ind w:right="-58" w:firstLine="426"/>
        <w:jc w:val="both"/>
        <w:rPr>
          <w:sz w:val="28"/>
        </w:rPr>
      </w:pPr>
    </w:p>
    <w:p w:rsidR="00D66E56" w:rsidRDefault="00D66E56">
      <w:pPr>
        <w:tabs>
          <w:tab w:val="left" w:pos="0"/>
        </w:tabs>
        <w:spacing w:before="640" w:line="220" w:lineRule="auto"/>
        <w:ind w:right="-58" w:firstLine="426"/>
        <w:jc w:val="both"/>
        <w:rPr>
          <w:sz w:val="28"/>
        </w:rPr>
      </w:pPr>
    </w:p>
    <w:p w:rsidR="00D66E56" w:rsidRDefault="00D66E56">
      <w:pPr>
        <w:tabs>
          <w:tab w:val="left" w:pos="0"/>
        </w:tabs>
        <w:spacing w:before="640" w:line="220" w:lineRule="auto"/>
        <w:ind w:right="-58" w:firstLine="426"/>
        <w:jc w:val="both"/>
        <w:rPr>
          <w:sz w:val="28"/>
        </w:rPr>
      </w:pPr>
    </w:p>
    <w:p w:rsidR="00D66E56" w:rsidRDefault="00D66E56">
      <w:pPr>
        <w:tabs>
          <w:tab w:val="left" w:pos="0"/>
        </w:tabs>
        <w:spacing w:before="640" w:line="220" w:lineRule="auto"/>
        <w:ind w:right="-58" w:firstLine="426"/>
        <w:jc w:val="both"/>
        <w:rPr>
          <w:sz w:val="28"/>
        </w:rPr>
      </w:pPr>
    </w:p>
    <w:p w:rsidR="00D66E56" w:rsidRDefault="00D66E56">
      <w:pPr>
        <w:tabs>
          <w:tab w:val="left" w:pos="0"/>
        </w:tabs>
        <w:spacing w:before="640" w:line="220" w:lineRule="auto"/>
        <w:ind w:right="-58" w:firstLine="426"/>
        <w:jc w:val="both"/>
        <w:rPr>
          <w:sz w:val="28"/>
        </w:rPr>
      </w:pPr>
    </w:p>
    <w:p w:rsidR="00D66E56" w:rsidRDefault="00D66E56">
      <w:pPr>
        <w:tabs>
          <w:tab w:val="left" w:pos="0"/>
        </w:tabs>
        <w:spacing w:before="640" w:line="220" w:lineRule="auto"/>
        <w:ind w:right="-58" w:firstLine="426"/>
        <w:jc w:val="both"/>
        <w:rPr>
          <w:sz w:val="28"/>
        </w:rPr>
      </w:pPr>
    </w:p>
    <w:p w:rsidR="00D66E56" w:rsidRDefault="00D66E56">
      <w:pPr>
        <w:tabs>
          <w:tab w:val="left" w:pos="0"/>
        </w:tabs>
        <w:spacing w:before="640" w:line="220" w:lineRule="auto"/>
        <w:ind w:right="-58" w:firstLine="426"/>
        <w:jc w:val="both"/>
        <w:rPr>
          <w:sz w:val="28"/>
          <w:lang w:val="en-US"/>
        </w:rPr>
      </w:pPr>
    </w:p>
    <w:p w:rsidR="00D66E56" w:rsidRDefault="00D66E56">
      <w:pPr>
        <w:tabs>
          <w:tab w:val="left" w:pos="0"/>
        </w:tabs>
        <w:spacing w:before="640" w:line="220" w:lineRule="auto"/>
        <w:ind w:right="-58" w:firstLine="426"/>
        <w:jc w:val="both"/>
        <w:rPr>
          <w:sz w:val="28"/>
          <w:lang w:val="en-US"/>
        </w:rPr>
      </w:pPr>
    </w:p>
    <w:p w:rsidR="00D66E56" w:rsidRDefault="00D66E56">
      <w:pPr>
        <w:tabs>
          <w:tab w:val="left" w:pos="0"/>
        </w:tabs>
        <w:spacing w:before="640" w:line="220" w:lineRule="auto"/>
        <w:ind w:right="-58" w:firstLine="426"/>
        <w:jc w:val="both"/>
        <w:rPr>
          <w:b/>
          <w:bCs/>
          <w:sz w:val="28"/>
          <w:lang w:val="en-US"/>
        </w:rPr>
      </w:pPr>
    </w:p>
    <w:p w:rsidR="00D66E56" w:rsidRDefault="00D66E56">
      <w:pPr>
        <w:rPr>
          <w:b/>
          <w:bCs/>
          <w:sz w:val="28"/>
        </w:rPr>
      </w:pPr>
    </w:p>
    <w:p w:rsidR="00D66E56" w:rsidRDefault="00D66E56">
      <w:pPr>
        <w:rPr>
          <w:b/>
          <w:bCs/>
          <w:sz w:val="28"/>
        </w:rPr>
      </w:pPr>
      <w:r>
        <w:rPr>
          <w:b/>
          <w:bCs/>
          <w:sz w:val="28"/>
        </w:rPr>
        <w:t>Финансовая система Великобритании.</w:t>
      </w:r>
    </w:p>
    <w:p w:rsidR="00D66E56" w:rsidRDefault="00D66E56">
      <w:pPr>
        <w:rPr>
          <w:sz w:val="28"/>
        </w:rPr>
      </w:pPr>
      <w:r>
        <w:rPr>
          <w:sz w:val="28"/>
        </w:rPr>
        <w:t xml:space="preserve">Финансовая система Великобритании включает в себя 4 традиционных звена: государственный бюджет, местные бюджеты,  специальные внебюджетные фонды, финансовые государственных предприятий.  </w:t>
      </w:r>
    </w:p>
    <w:p w:rsidR="00D66E56" w:rsidRDefault="00D66E56">
      <w:pPr>
        <w:rPr>
          <w:sz w:val="28"/>
        </w:rPr>
      </w:pPr>
      <w:r>
        <w:rPr>
          <w:sz w:val="28"/>
        </w:rPr>
        <w:t xml:space="preserve">Государственный бюджет страны состоит из двух частей: </w:t>
      </w:r>
    </w:p>
    <w:p w:rsidR="00D66E56" w:rsidRDefault="00D66E56">
      <w:pPr>
        <w:rPr>
          <w:sz w:val="28"/>
        </w:rPr>
      </w:pPr>
      <w:r>
        <w:rPr>
          <w:sz w:val="28"/>
        </w:rPr>
        <w:t>консолидированного фонда, который включает текущие поступления средств и их расходование;</w:t>
      </w:r>
    </w:p>
    <w:p w:rsidR="00D66E56" w:rsidRDefault="00D66E56">
      <w:pPr>
        <w:rPr>
          <w:sz w:val="28"/>
        </w:rPr>
      </w:pPr>
      <w:r>
        <w:rPr>
          <w:sz w:val="28"/>
        </w:rPr>
        <w:t>национального  фонда займов, куда входят доходы и расходы государства,  связанные с движением капитала.</w:t>
      </w:r>
    </w:p>
    <w:p w:rsidR="00D66E56" w:rsidRDefault="00D66E56">
      <w:pPr>
        <w:rPr>
          <w:sz w:val="28"/>
        </w:rPr>
      </w:pPr>
      <w:r>
        <w:rPr>
          <w:sz w:val="28"/>
        </w:rPr>
        <w:t>Основная часть расходов финансируется из консолидированного фонда (98%), который формируется преимущественно налоговыми поступлениями (95%). К неналоговым поступлениям относят доходы от продажи государственной собственности, административные взыскания и др.</w:t>
      </w:r>
    </w:p>
    <w:p w:rsidR="00D66E56" w:rsidRDefault="00D66E56">
      <w:pPr>
        <w:rPr>
          <w:sz w:val="28"/>
        </w:rPr>
      </w:pPr>
      <w:r>
        <w:rPr>
          <w:sz w:val="28"/>
        </w:rPr>
        <w:t>Расходы консолидированного фонда  можно подразделить по функциональному назначению (табл. 1)</w:t>
      </w:r>
    </w:p>
    <w:p w:rsidR="00D66E56" w:rsidRDefault="00D66E56">
      <w:pPr>
        <w:rPr>
          <w:sz w:val="28"/>
        </w:rPr>
      </w:pPr>
      <w:r>
        <w:rPr>
          <w:sz w:val="28"/>
        </w:rPr>
        <w:t>Таблица1</w:t>
      </w:r>
    </w:p>
    <w:p w:rsidR="00D66E56" w:rsidRDefault="00D66E56">
      <w:pPr>
        <w:rPr>
          <w:sz w:val="28"/>
        </w:rPr>
      </w:pPr>
      <w:r>
        <w:rPr>
          <w:sz w:val="28"/>
        </w:rPr>
        <w:t>Расходы консолидированного фонда государственного бюджета Великобритании</w:t>
      </w:r>
    </w:p>
    <w:tbl>
      <w:tblPr>
        <w:tblW w:w="9160" w:type="dxa"/>
        <w:tblCellMar>
          <w:left w:w="0" w:type="dxa"/>
          <w:right w:w="0" w:type="dxa"/>
        </w:tblCellMar>
        <w:tblLook w:val="0000" w:firstRow="0" w:lastRow="0" w:firstColumn="0" w:lastColumn="0" w:noHBand="0" w:noVBand="0"/>
      </w:tblPr>
      <w:tblGrid>
        <w:gridCol w:w="2634"/>
        <w:gridCol w:w="761"/>
        <w:gridCol w:w="761"/>
        <w:gridCol w:w="761"/>
        <w:gridCol w:w="761"/>
        <w:gridCol w:w="761"/>
        <w:gridCol w:w="761"/>
        <w:gridCol w:w="761"/>
        <w:gridCol w:w="761"/>
        <w:gridCol w:w="761"/>
        <w:gridCol w:w="761"/>
      </w:tblGrid>
      <w:tr w:rsidR="00D66E56">
        <w:trPr>
          <w:trHeight w:val="255"/>
        </w:trPr>
        <w:tc>
          <w:tcPr>
            <w:tcW w:w="13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rFonts w:hint="eastAsia"/>
                <w:sz w:val="28"/>
              </w:rPr>
              <w:t>расходы</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1990</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1991</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1992</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1993</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1994</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1995</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1996</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1997</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1998</w:t>
            </w:r>
          </w:p>
        </w:tc>
        <w:tc>
          <w:tcPr>
            <w:tcW w:w="7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1999</w:t>
            </w:r>
          </w:p>
        </w:tc>
      </w:tr>
      <w:tr w:rsidR="00D66E56">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D66E56" w:rsidRDefault="00D66E56">
            <w:pPr>
              <w:rPr>
                <w:sz w:val="28"/>
              </w:rPr>
            </w:pPr>
            <w:r>
              <w:rPr>
                <w:rFonts w:hint="eastAsia"/>
                <w:sz w:val="28"/>
              </w:rPr>
              <w:t>Всего</w:t>
            </w:r>
            <w:r>
              <w:rPr>
                <w:sz w:val="28"/>
              </w:rPr>
              <w:t xml:space="preserve"> </w:t>
            </w:r>
          </w:p>
        </w:tc>
        <w:tc>
          <w:tcPr>
            <w:tcW w:w="0" w:type="auto"/>
            <w:tcBorders>
              <w:top w:val="nil"/>
              <w:left w:val="nil"/>
              <w:bottom w:val="nil"/>
              <w:right w:val="nil"/>
            </w:tcBorders>
            <w:noWrap/>
            <w:tcMar>
              <w:top w:w="20" w:type="dxa"/>
              <w:left w:w="20" w:type="dxa"/>
              <w:bottom w:w="0" w:type="dxa"/>
              <w:right w:w="20" w:type="dxa"/>
            </w:tcMar>
            <w:vAlign w:val="bottom"/>
          </w:tcPr>
          <w:p w:rsidR="00D66E56" w:rsidRDefault="00D66E56">
            <w:pPr>
              <w:rPr>
                <w:sz w:val="28"/>
              </w:rPr>
            </w:pPr>
            <w:r>
              <w:rPr>
                <w:sz w:val="28"/>
              </w:rPr>
              <w:t>208</w:t>
            </w:r>
          </w:p>
        </w:tc>
        <w:tc>
          <w:tcPr>
            <w:tcW w:w="0" w:type="auto"/>
            <w:tcBorders>
              <w:top w:val="nil"/>
              <w:left w:val="nil"/>
              <w:bottom w:val="nil"/>
              <w:right w:val="nil"/>
            </w:tcBorders>
            <w:noWrap/>
            <w:tcMar>
              <w:top w:w="20" w:type="dxa"/>
              <w:left w:w="20" w:type="dxa"/>
              <w:bottom w:w="0" w:type="dxa"/>
              <w:right w:w="20" w:type="dxa"/>
            </w:tcMar>
            <w:vAlign w:val="bottom"/>
          </w:tcPr>
          <w:p w:rsidR="00D66E56" w:rsidRDefault="00D66E56">
            <w:pPr>
              <w:rPr>
                <w:sz w:val="28"/>
              </w:rPr>
            </w:pPr>
            <w:r>
              <w:rPr>
                <w:sz w:val="28"/>
              </w:rPr>
              <w:t>234</w:t>
            </w:r>
          </w:p>
        </w:tc>
        <w:tc>
          <w:tcPr>
            <w:tcW w:w="0" w:type="auto"/>
            <w:tcBorders>
              <w:top w:val="nil"/>
              <w:left w:val="nil"/>
              <w:bottom w:val="nil"/>
              <w:right w:val="nil"/>
            </w:tcBorders>
            <w:noWrap/>
            <w:tcMar>
              <w:top w:w="20" w:type="dxa"/>
              <w:left w:w="20" w:type="dxa"/>
              <w:bottom w:w="0" w:type="dxa"/>
              <w:right w:w="20" w:type="dxa"/>
            </w:tcMar>
            <w:vAlign w:val="bottom"/>
          </w:tcPr>
          <w:p w:rsidR="00D66E56" w:rsidRDefault="00D66E56">
            <w:pPr>
              <w:rPr>
                <w:sz w:val="28"/>
              </w:rPr>
            </w:pPr>
            <w:r>
              <w:rPr>
                <w:sz w:val="28"/>
              </w:rPr>
              <w:t>261</w:t>
            </w:r>
          </w:p>
        </w:tc>
        <w:tc>
          <w:tcPr>
            <w:tcW w:w="0" w:type="auto"/>
            <w:tcBorders>
              <w:top w:val="nil"/>
              <w:left w:val="nil"/>
              <w:bottom w:val="nil"/>
              <w:right w:val="nil"/>
            </w:tcBorders>
            <w:noWrap/>
            <w:tcMar>
              <w:top w:w="20" w:type="dxa"/>
              <w:left w:w="20" w:type="dxa"/>
              <w:bottom w:w="0" w:type="dxa"/>
              <w:right w:w="20" w:type="dxa"/>
            </w:tcMar>
            <w:vAlign w:val="bottom"/>
          </w:tcPr>
          <w:p w:rsidR="00D66E56" w:rsidRDefault="00D66E56">
            <w:pPr>
              <w:rPr>
                <w:sz w:val="28"/>
              </w:rPr>
            </w:pPr>
            <w:r>
              <w:rPr>
                <w:sz w:val="28"/>
              </w:rPr>
              <w:t>272</w:t>
            </w:r>
          </w:p>
        </w:tc>
        <w:tc>
          <w:tcPr>
            <w:tcW w:w="0" w:type="auto"/>
            <w:tcBorders>
              <w:top w:val="nil"/>
              <w:left w:val="nil"/>
              <w:bottom w:val="nil"/>
              <w:right w:val="nil"/>
            </w:tcBorders>
            <w:noWrap/>
            <w:tcMar>
              <w:top w:w="20" w:type="dxa"/>
              <w:left w:w="20" w:type="dxa"/>
              <w:bottom w:w="0" w:type="dxa"/>
              <w:right w:w="20" w:type="dxa"/>
            </w:tcMar>
            <w:vAlign w:val="bottom"/>
          </w:tcPr>
          <w:p w:rsidR="00D66E56" w:rsidRDefault="00D66E56">
            <w:pPr>
              <w:rPr>
                <w:sz w:val="28"/>
              </w:rPr>
            </w:pPr>
            <w:r>
              <w:rPr>
                <w:sz w:val="28"/>
              </w:rPr>
              <w:t>284</w:t>
            </w:r>
          </w:p>
        </w:tc>
        <w:tc>
          <w:tcPr>
            <w:tcW w:w="0" w:type="auto"/>
            <w:tcBorders>
              <w:top w:val="nil"/>
              <w:left w:val="nil"/>
              <w:bottom w:val="nil"/>
              <w:right w:val="nil"/>
            </w:tcBorders>
            <w:noWrap/>
            <w:tcMar>
              <w:top w:w="20" w:type="dxa"/>
              <w:left w:w="20" w:type="dxa"/>
              <w:bottom w:w="0" w:type="dxa"/>
              <w:right w:w="20" w:type="dxa"/>
            </w:tcMar>
            <w:vAlign w:val="bottom"/>
          </w:tcPr>
          <w:p w:rsidR="00D66E56" w:rsidRDefault="00D66E56">
            <w:pPr>
              <w:rPr>
                <w:sz w:val="28"/>
              </w:rPr>
            </w:pPr>
            <w:r>
              <w:rPr>
                <w:sz w:val="28"/>
              </w:rPr>
              <w:t>295</w:t>
            </w:r>
          </w:p>
        </w:tc>
        <w:tc>
          <w:tcPr>
            <w:tcW w:w="0" w:type="auto"/>
            <w:tcBorders>
              <w:top w:val="nil"/>
              <w:left w:val="nil"/>
              <w:bottom w:val="nil"/>
              <w:right w:val="nil"/>
            </w:tcBorders>
            <w:noWrap/>
            <w:tcMar>
              <w:top w:w="20" w:type="dxa"/>
              <w:left w:w="20" w:type="dxa"/>
              <w:bottom w:w="0" w:type="dxa"/>
              <w:right w:w="20" w:type="dxa"/>
            </w:tcMar>
            <w:vAlign w:val="bottom"/>
          </w:tcPr>
          <w:p w:rsidR="00D66E56" w:rsidRDefault="00D66E56">
            <w:pPr>
              <w:rPr>
                <w:sz w:val="28"/>
              </w:rPr>
            </w:pPr>
            <w:r>
              <w:rPr>
                <w:sz w:val="28"/>
              </w:rPr>
              <w:t>307</w:t>
            </w:r>
          </w:p>
        </w:tc>
        <w:tc>
          <w:tcPr>
            <w:tcW w:w="0" w:type="auto"/>
            <w:tcBorders>
              <w:top w:val="nil"/>
              <w:left w:val="nil"/>
              <w:bottom w:val="nil"/>
              <w:right w:val="nil"/>
            </w:tcBorders>
            <w:noWrap/>
            <w:tcMar>
              <w:top w:w="20" w:type="dxa"/>
              <w:left w:w="20" w:type="dxa"/>
              <w:bottom w:w="0" w:type="dxa"/>
              <w:right w:w="20" w:type="dxa"/>
            </w:tcMar>
            <w:vAlign w:val="bottom"/>
          </w:tcPr>
          <w:p w:rsidR="00D66E56" w:rsidRDefault="00D66E56">
            <w:pPr>
              <w:rPr>
                <w:sz w:val="28"/>
              </w:rPr>
            </w:pPr>
            <w:r>
              <w:rPr>
                <w:sz w:val="28"/>
              </w:rPr>
              <w:t>306</w:t>
            </w:r>
          </w:p>
        </w:tc>
        <w:tc>
          <w:tcPr>
            <w:tcW w:w="0" w:type="auto"/>
            <w:tcBorders>
              <w:top w:val="nil"/>
              <w:left w:val="nil"/>
              <w:bottom w:val="nil"/>
              <w:right w:val="nil"/>
            </w:tcBorders>
            <w:noWrap/>
            <w:tcMar>
              <w:top w:w="20" w:type="dxa"/>
              <w:left w:w="20" w:type="dxa"/>
              <w:bottom w:w="0" w:type="dxa"/>
              <w:right w:w="20" w:type="dxa"/>
            </w:tcMar>
            <w:vAlign w:val="bottom"/>
          </w:tcPr>
          <w:p w:rsidR="00D66E56" w:rsidRDefault="00D66E56">
            <w:pPr>
              <w:rPr>
                <w:sz w:val="28"/>
              </w:rPr>
            </w:pPr>
            <w:r>
              <w:rPr>
                <w:sz w:val="28"/>
              </w:rPr>
              <w:t>313</w:t>
            </w:r>
          </w:p>
        </w:tc>
        <w:tc>
          <w:tcPr>
            <w:tcW w:w="0" w:type="auto"/>
            <w:tcBorders>
              <w:top w:val="nil"/>
              <w:left w:val="nil"/>
              <w:bottom w:val="nil"/>
              <w:right w:val="nil"/>
            </w:tcBorders>
            <w:noWrap/>
            <w:tcMar>
              <w:top w:w="20" w:type="dxa"/>
              <w:left w:w="20" w:type="dxa"/>
              <w:bottom w:w="0" w:type="dxa"/>
              <w:right w:w="20" w:type="dxa"/>
            </w:tcMar>
            <w:vAlign w:val="bottom"/>
          </w:tcPr>
          <w:p w:rsidR="00D66E56" w:rsidRDefault="00D66E56">
            <w:pPr>
              <w:rPr>
                <w:sz w:val="28"/>
              </w:rPr>
            </w:pPr>
            <w:r>
              <w:rPr>
                <w:sz w:val="28"/>
              </w:rPr>
              <w:t>324</w:t>
            </w:r>
          </w:p>
        </w:tc>
      </w:tr>
      <w:tr w:rsidR="00D66E56">
        <w:trPr>
          <w:trHeight w:val="750"/>
        </w:trPr>
        <w:tc>
          <w:tcPr>
            <w:tcW w:w="1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66E56" w:rsidRDefault="00D66E56">
            <w:pPr>
              <w:rPr>
                <w:sz w:val="28"/>
              </w:rPr>
            </w:pPr>
            <w:r>
              <w:rPr>
                <w:rFonts w:hint="eastAsia"/>
                <w:sz w:val="28"/>
              </w:rPr>
              <w:t>социальная</w:t>
            </w:r>
            <w:r>
              <w:rPr>
                <w:sz w:val="28"/>
              </w:rPr>
              <w:t xml:space="preserve"> </w:t>
            </w:r>
            <w:r>
              <w:rPr>
                <w:rFonts w:hint="eastAsia"/>
                <w:sz w:val="28"/>
              </w:rPr>
              <w:t>защита</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66</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80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92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99</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102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107</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110</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112</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118</w:t>
            </w:r>
          </w:p>
        </w:tc>
      </w:tr>
      <w:tr w:rsidR="00D66E56">
        <w:trPr>
          <w:trHeight w:val="765"/>
        </w:trPr>
        <w:tc>
          <w:tcPr>
            <w:tcW w:w="13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66E56" w:rsidRDefault="00D66E56">
            <w:pPr>
              <w:rPr>
                <w:sz w:val="28"/>
              </w:rPr>
            </w:pPr>
            <w:r>
              <w:rPr>
                <w:rFonts w:hint="eastAsia"/>
                <w:sz w:val="28"/>
              </w:rPr>
              <w:t>зд</w:t>
            </w:r>
            <w:r>
              <w:rPr>
                <w:sz w:val="28"/>
              </w:rPr>
              <w:t>р</w:t>
            </w:r>
            <w:r>
              <w:rPr>
                <w:rFonts w:hint="eastAsia"/>
                <w:sz w:val="28"/>
              </w:rPr>
              <w:t>авоохранение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31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35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37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39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43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44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47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50</w:t>
            </w:r>
          </w:p>
        </w:tc>
      </w:tr>
      <w:tr w:rsidR="00D66E56">
        <w:trPr>
          <w:trHeight w:val="780"/>
        </w:trPr>
        <w:tc>
          <w:tcPr>
            <w:tcW w:w="13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66E56" w:rsidRDefault="00D66E56">
            <w:pPr>
              <w:rPr>
                <w:sz w:val="28"/>
              </w:rPr>
            </w:pPr>
            <w:r>
              <w:rPr>
                <w:rFonts w:hint="eastAsia"/>
                <w:sz w:val="28"/>
              </w:rPr>
              <w:t>оборона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23</w:t>
            </w:r>
          </w:p>
        </w:tc>
      </w:tr>
      <w:tr w:rsidR="00D66E56">
        <w:trPr>
          <w:trHeight w:val="765"/>
        </w:trPr>
        <w:tc>
          <w:tcPr>
            <w:tcW w:w="13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66E56" w:rsidRDefault="00D66E56">
            <w:pPr>
              <w:rPr>
                <w:sz w:val="28"/>
              </w:rPr>
            </w:pPr>
            <w:r>
              <w:rPr>
                <w:rFonts w:hint="eastAsia"/>
                <w:sz w:val="28"/>
              </w:rPr>
              <w:t>экономические</w:t>
            </w:r>
            <w:r>
              <w:rPr>
                <w:sz w:val="28"/>
              </w:rPr>
              <w:t xml:space="preserve"> </w:t>
            </w:r>
            <w:r>
              <w:rPr>
                <w:rFonts w:hint="eastAsia"/>
                <w:sz w:val="28"/>
              </w:rPr>
              <w:t>услуги</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14</w:t>
            </w:r>
          </w:p>
        </w:tc>
      </w:tr>
      <w:tr w:rsidR="00D66E56">
        <w:trPr>
          <w:trHeight w:val="765"/>
        </w:trPr>
        <w:tc>
          <w:tcPr>
            <w:tcW w:w="13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66E56" w:rsidRDefault="00D66E56">
            <w:pPr>
              <w:rPr>
                <w:sz w:val="28"/>
              </w:rPr>
            </w:pPr>
            <w:r>
              <w:rPr>
                <w:rFonts w:hint="eastAsia"/>
                <w:sz w:val="28"/>
              </w:rPr>
              <w:t>общегосударственные</w:t>
            </w:r>
            <w:r>
              <w:rPr>
                <w:sz w:val="28"/>
              </w:rPr>
              <w:t xml:space="preserve"> </w:t>
            </w:r>
            <w:r>
              <w:rPr>
                <w:rFonts w:hint="eastAsia"/>
                <w:sz w:val="28"/>
              </w:rPr>
              <w:t>услуги</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13</w:t>
            </w:r>
          </w:p>
        </w:tc>
      </w:tr>
      <w:tr w:rsidR="00D66E56">
        <w:trPr>
          <w:trHeight w:val="765"/>
        </w:trPr>
        <w:tc>
          <w:tcPr>
            <w:tcW w:w="13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66E56" w:rsidRDefault="00D66E56">
            <w:pPr>
              <w:rPr>
                <w:sz w:val="28"/>
              </w:rPr>
            </w:pPr>
            <w:r>
              <w:rPr>
                <w:rFonts w:hint="eastAsia"/>
                <w:sz w:val="28"/>
              </w:rPr>
              <w:t>охрана</w:t>
            </w:r>
            <w:r>
              <w:rPr>
                <w:sz w:val="28"/>
              </w:rPr>
              <w:t xml:space="preserve"> </w:t>
            </w:r>
            <w:r>
              <w:rPr>
                <w:rFonts w:hint="eastAsia"/>
                <w:sz w:val="28"/>
              </w:rPr>
              <w:t>правоп</w:t>
            </w:r>
            <w:r>
              <w:rPr>
                <w:sz w:val="28"/>
              </w:rPr>
              <w:t>о</w:t>
            </w:r>
            <w:r>
              <w:rPr>
                <w:rFonts w:hint="eastAsia"/>
                <w:sz w:val="28"/>
              </w:rPr>
              <w:t>рядка</w:t>
            </w:r>
            <w:r>
              <w:rPr>
                <w:sz w:val="28"/>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w:t>
            </w:r>
          </w:p>
        </w:tc>
      </w:tr>
      <w:tr w:rsidR="00D66E56">
        <w:trPr>
          <w:trHeight w:val="510"/>
        </w:trPr>
        <w:tc>
          <w:tcPr>
            <w:tcW w:w="13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66E56" w:rsidRDefault="00D66E56">
            <w:pPr>
              <w:rPr>
                <w:sz w:val="28"/>
              </w:rPr>
            </w:pPr>
            <w:r>
              <w:rPr>
                <w:rFonts w:hint="eastAsia"/>
                <w:sz w:val="28"/>
              </w:rPr>
              <w:t>коммунальные</w:t>
            </w:r>
            <w:r>
              <w:rPr>
                <w:sz w:val="28"/>
              </w:rPr>
              <w:t xml:space="preserve"> </w:t>
            </w:r>
            <w:r>
              <w:rPr>
                <w:rFonts w:hint="eastAsia"/>
                <w:sz w:val="28"/>
              </w:rPr>
              <w:t>услуги</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7</w:t>
            </w:r>
          </w:p>
        </w:tc>
      </w:tr>
      <w:tr w:rsidR="00D66E56">
        <w:trPr>
          <w:trHeight w:val="765"/>
        </w:trPr>
        <w:tc>
          <w:tcPr>
            <w:tcW w:w="13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66E56" w:rsidRDefault="00D66E56">
            <w:pPr>
              <w:rPr>
                <w:sz w:val="28"/>
              </w:rPr>
            </w:pPr>
            <w:r>
              <w:rPr>
                <w:rFonts w:hint="eastAsia"/>
                <w:sz w:val="28"/>
              </w:rPr>
              <w:t>образование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12</w:t>
            </w:r>
          </w:p>
        </w:tc>
      </w:tr>
      <w:tr w:rsidR="00D66E56">
        <w:trPr>
          <w:trHeight w:val="765"/>
        </w:trPr>
        <w:tc>
          <w:tcPr>
            <w:tcW w:w="136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66E56" w:rsidRDefault="00D66E56">
            <w:pPr>
              <w:rPr>
                <w:sz w:val="28"/>
              </w:rPr>
            </w:pPr>
            <w:r>
              <w:rPr>
                <w:rFonts w:hint="eastAsia"/>
                <w:sz w:val="28"/>
              </w:rPr>
              <w:t>другие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53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59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65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69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73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80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87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D66E56" w:rsidRDefault="00D66E56">
            <w:pPr>
              <w:rPr>
                <w:sz w:val="28"/>
              </w:rPr>
            </w:pPr>
            <w:r>
              <w:rPr>
                <w:sz w:val="28"/>
              </w:rPr>
              <w:t>76</w:t>
            </w:r>
          </w:p>
        </w:tc>
      </w:tr>
    </w:tbl>
    <w:p w:rsidR="00D66E56" w:rsidRDefault="00D66E56">
      <w:pPr>
        <w:rPr>
          <w:sz w:val="28"/>
        </w:rPr>
      </w:pPr>
      <w:r>
        <w:rPr>
          <w:sz w:val="28"/>
        </w:rPr>
        <w:t xml:space="preserve">Приобретённой сферой расходов государственная бюджета Великобритании   в последнем десятилетии </w:t>
      </w:r>
      <w:r>
        <w:rPr>
          <w:sz w:val="28"/>
          <w:lang w:val="en-US"/>
        </w:rPr>
        <w:t>XX</w:t>
      </w:r>
      <w:r>
        <w:rPr>
          <w:sz w:val="28"/>
        </w:rPr>
        <w:t xml:space="preserve"> в. являясь социальная защита населения. В 1999 г. эта статья заняла 36% всех расходов бюджета. Особенностью Британии также является увеличение к концу десятилетия  удельного веса расходов на образования (с 2 % в 1990 до почти 4% в 1999г.). </w:t>
      </w:r>
    </w:p>
    <w:p w:rsidR="00D66E56" w:rsidRDefault="00D66E56">
      <w:pPr>
        <w:rPr>
          <w:sz w:val="28"/>
        </w:rPr>
      </w:pPr>
      <w:r>
        <w:rPr>
          <w:sz w:val="28"/>
        </w:rPr>
        <w:t>Доходная  часть национального фонда займов формируется за счёт процентов, поступающих от корпораций  и местных органов власти как оплата за кредит, части прибыли Банка Англии, средств некоторых специальных фондов. Расходная часть включает затраты на обслуживание государственного долга и некоторые другие.</w:t>
      </w:r>
    </w:p>
    <w:p w:rsidR="00D66E56" w:rsidRDefault="00D66E56">
      <w:pPr>
        <w:rPr>
          <w:sz w:val="28"/>
        </w:rPr>
      </w:pPr>
      <w:r>
        <w:rPr>
          <w:sz w:val="28"/>
        </w:rPr>
        <w:t>Доходы двух фондов  в 1999 г. составили 328278 млн.ф.ст. и превысили сумму их расходов на 295 млн ф.ст.,  что и составило профицит государственного бюджета. Бюджет 2000г. был исполнен  с самым большим  в истории страны профицитом  - 2,7% ВВП. Причиной профицита стало снижение затрат на пособия по безработице  благодаря сокращению числа безработных  (4,3% в 1999г. до3,7 в 2000г.). Кроме того, в апреле 2000г. правительство провело среди телекоммуникационных компании аукцион на предоставление услуг мобильной связи третьего поколения,  позволяющих владельцам мобильных телефонов получать видео-  и интернет- услуги. Получение от продажи лицензий средства превысили планируемые в бюджет поступления в 7 раз и достигли 22,5 млрд. ф.ст., что более 2%  ВВП страны. Профицит бюджета дал возможность пересмотреть  некоторые государственные программы 2001г. Изменения  в основном коснулись налоговой</w:t>
      </w:r>
      <w:r>
        <w:rPr>
          <w:sz w:val="28"/>
        </w:rPr>
        <w:tab/>
        <w:t>системы, а также увеличения расходов на образование. Бюджетный год,  в Великобритании начинается 1 апреля и заканчивается 31 марта.</w:t>
      </w:r>
    </w:p>
    <w:p w:rsidR="00D66E56" w:rsidRDefault="00D66E56">
      <w:pPr>
        <w:rPr>
          <w:sz w:val="28"/>
        </w:rPr>
      </w:pPr>
      <w:r>
        <w:rPr>
          <w:sz w:val="28"/>
        </w:rPr>
        <w:t>Местные органы власти в трёх частях Великобритании: Англии, Уэльсе и Шотландии – имеют различную структуру. В Англии двухступенчатая система местных органов власти, включающие графства  и округа сельской местности  и городах.  В 1992г. в Уэльсе и Шотландии была введена одноступенчатая система местных органов управления.</w:t>
      </w:r>
    </w:p>
    <w:p w:rsidR="00D66E56" w:rsidRDefault="00D66E56">
      <w:pPr>
        <w:rPr>
          <w:sz w:val="28"/>
        </w:rPr>
      </w:pPr>
      <w:r>
        <w:rPr>
          <w:sz w:val="28"/>
        </w:rPr>
        <w:t>После Второй мировой войны в компетенцию органов местного самоуправления входило финансирование социальных услуг, транспорта, образование, жилищно-коммунальнлого  хозяйства. Позже их полномочия  были значительно сужены. Местные органы власти утратили право на строительство и приобретение жилья, приватизацию местного транспорта и коммунальных сетей, из-под их контроля выведены некоторые типы образовательных учреждений,  расходные обязательства муниципалитетов существенно сократились. В настоящее время из местных бюджетов финансируется всего 36% всех государственных расходов.</w:t>
      </w:r>
    </w:p>
    <w:p w:rsidR="00D66E56" w:rsidRDefault="00D66E56">
      <w:pPr>
        <w:rPr>
          <w:sz w:val="28"/>
        </w:rPr>
      </w:pPr>
      <w:r>
        <w:rPr>
          <w:sz w:val="28"/>
        </w:rPr>
        <w:t>Структура расходов местных органов власти следующая, %:</w:t>
      </w:r>
    </w:p>
    <w:p w:rsidR="00D66E56" w:rsidRDefault="00D66E56">
      <w:pPr>
        <w:rPr>
          <w:sz w:val="28"/>
        </w:rPr>
      </w:pPr>
      <w:r>
        <w:rPr>
          <w:sz w:val="28"/>
        </w:rPr>
        <w:t>социальная защита – 32</w:t>
      </w:r>
    </w:p>
    <w:p w:rsidR="00D66E56" w:rsidRDefault="00D66E56">
      <w:pPr>
        <w:rPr>
          <w:sz w:val="28"/>
        </w:rPr>
      </w:pPr>
      <w:r>
        <w:rPr>
          <w:sz w:val="28"/>
        </w:rPr>
        <w:t>образование – 28</w:t>
      </w:r>
    </w:p>
    <w:p w:rsidR="00D66E56" w:rsidRDefault="00D66E56">
      <w:pPr>
        <w:rPr>
          <w:sz w:val="28"/>
        </w:rPr>
      </w:pPr>
      <w:r>
        <w:rPr>
          <w:sz w:val="28"/>
        </w:rPr>
        <w:t>охрана правопорядка – 12</w:t>
      </w:r>
    </w:p>
    <w:p w:rsidR="00D66E56" w:rsidRDefault="00D66E56">
      <w:pPr>
        <w:rPr>
          <w:sz w:val="28"/>
        </w:rPr>
      </w:pPr>
      <w:r>
        <w:rPr>
          <w:sz w:val="28"/>
        </w:rPr>
        <w:t>коммунальные услуги – 5</w:t>
      </w:r>
    </w:p>
    <w:p w:rsidR="00D66E56" w:rsidRDefault="00D66E56">
      <w:pPr>
        <w:rPr>
          <w:sz w:val="28"/>
        </w:rPr>
      </w:pPr>
      <w:r>
        <w:rPr>
          <w:sz w:val="28"/>
        </w:rPr>
        <w:t>транспорт и коммуникации – 4</w:t>
      </w:r>
    </w:p>
    <w:p w:rsidR="00D66E56" w:rsidRDefault="00D66E56">
      <w:pPr>
        <w:rPr>
          <w:sz w:val="28"/>
        </w:rPr>
      </w:pPr>
      <w:r>
        <w:rPr>
          <w:sz w:val="28"/>
        </w:rPr>
        <w:t>другие – 19.</w:t>
      </w:r>
    </w:p>
    <w:p w:rsidR="00D66E56" w:rsidRDefault="00D66E56">
      <w:pPr>
        <w:rPr>
          <w:sz w:val="28"/>
        </w:rPr>
      </w:pPr>
      <w:r>
        <w:rPr>
          <w:sz w:val="28"/>
        </w:rPr>
        <w:t>Система межбюджетного  выравнивания Великобритании достаточно сложная и разная во всех составных  частях страны. В тог же время финансовая помощь основана на принципах, единых для всей страны. Существует два основных вида финансовой поддержки – блок-гранды (которые в Англии и Уэльсе называются грантами для увеличения доходов) и гранты на специальные цели. Гранты для увеличения бюджетных доходов выделяются ежегодно. Перед определением суммы финансовой помощи центральное правительство исходя из проекта центрального бюджета и прогноза макроэкономической ситуации устанавливает расходные нормативы для местных органов власти на планируемый год. Затем объект финансовой поддержки определяется как разница между суммой расходов бюджета муниципального пользования, рассчитанной на основе расходных нормативов, и суммой доходов местного бюджета от закреплённых за ним доходных источников. Если центральное правительство видит приоритетным финансирование какой-либо конкретной статьи местного бюджета, то средства выделяются в рамках гранта, т.е. они могут быть потрачены только на оговоренные цели.</w:t>
      </w:r>
    </w:p>
    <w:p w:rsidR="00D66E56" w:rsidRDefault="00D66E56">
      <w:pPr>
        <w:rPr>
          <w:sz w:val="28"/>
        </w:rPr>
      </w:pPr>
      <w:r>
        <w:rPr>
          <w:sz w:val="28"/>
        </w:rPr>
        <w:t>Третьим звеном финансовой системы являются специальные фонды. Их более 80. ведущее место занимает фонд национального страхования. Он создается за счёт взносов населения, государственных предприятий  и дотаций правительства. Аккумулированные  средства идут на выплату пенсий, пособий по безработице и болезни.</w:t>
      </w:r>
    </w:p>
    <w:p w:rsidR="00D66E56" w:rsidRDefault="00D66E56">
      <w:pPr>
        <w:rPr>
          <w:sz w:val="28"/>
        </w:rPr>
      </w:pPr>
      <w:r>
        <w:rPr>
          <w:sz w:val="28"/>
        </w:rPr>
        <w:t>Кроме фонда национального страхования, в финансовую систему Великобритании входят пенсионные фонды государственных предприятий, уравнительный валютный фонд, фонды гарантий экспортных кредитов. Эти фонды создаются за счёт средств и дотаций предприятий и осуществляют расходы в соответствии со своим функциональным назначением.</w:t>
      </w:r>
    </w:p>
    <w:p w:rsidR="00D66E56" w:rsidRDefault="00D66E56">
      <w:pPr>
        <w:rPr>
          <w:sz w:val="28"/>
        </w:rPr>
      </w:pPr>
      <w:r>
        <w:rPr>
          <w:sz w:val="28"/>
        </w:rPr>
        <w:t>Государственные предприятия  Великобритании делятся на 3 вида: государственные корпорации, смешанные предприятия  и ведомственные.  Государственные корпорации  в большинстве своём функционируют  в национализированных отраслях промышленности. Деятельность государственных предприятий Великобритании отвечает стратегическим интересам государства и не всегда основывается на рыночных механизмах, вследствие чего они, как правило, убыточны.</w:t>
      </w:r>
    </w:p>
    <w:p w:rsidR="00D66E56" w:rsidRDefault="00D66E56">
      <w:pPr>
        <w:rPr>
          <w:sz w:val="28"/>
        </w:rPr>
      </w:pPr>
      <w:r>
        <w:rPr>
          <w:sz w:val="28"/>
        </w:rPr>
        <w:t>Схема финансовой системы Великобритании представлена на рис.1</w:t>
      </w:r>
    </w:p>
    <w:p w:rsidR="00D66E56" w:rsidRDefault="00D66E56">
      <w:pPr>
        <w:jc w:val="center"/>
        <w:rPr>
          <w:b/>
          <w:bCs/>
          <w:sz w:val="28"/>
        </w:rPr>
      </w:pPr>
    </w:p>
    <w:p w:rsidR="00D66E56" w:rsidRDefault="00D66E56">
      <w:pPr>
        <w:jc w:val="center"/>
        <w:rPr>
          <w:b/>
          <w:bCs/>
          <w:sz w:val="28"/>
        </w:rPr>
      </w:pPr>
    </w:p>
    <w:p w:rsidR="00D66E56" w:rsidRDefault="001229AE">
      <w:pPr>
        <w:jc w:val="center"/>
        <w:rPr>
          <w:b/>
          <w:bCs/>
          <w:sz w:val="28"/>
        </w:rPr>
      </w:pPr>
      <w:r>
        <w:rPr>
          <w:b/>
          <w:bCs/>
          <w:noProof/>
        </w:rPr>
        <w:pict>
          <v:rect id="_x0000_s1026" style="position:absolute;left:0;text-align:left;margin-left:150.5pt;margin-top:3.3pt;width:198pt;height:54pt;z-index:-251660288"/>
        </w:pict>
      </w:r>
      <w:r w:rsidR="00D66E56">
        <w:rPr>
          <w:b/>
          <w:bCs/>
          <w:sz w:val="28"/>
        </w:rPr>
        <w:t>Государственный бюджет:</w:t>
      </w:r>
    </w:p>
    <w:p w:rsidR="00D66E56" w:rsidRDefault="00D66E56">
      <w:pPr>
        <w:pStyle w:val="3"/>
      </w:pPr>
      <w:r>
        <w:t>Консолидированный фонд;</w:t>
      </w:r>
    </w:p>
    <w:p w:rsidR="00D66E56" w:rsidRDefault="00D66E56">
      <w:pPr>
        <w:jc w:val="center"/>
        <w:rPr>
          <w:sz w:val="28"/>
        </w:rPr>
      </w:pPr>
      <w:r>
        <w:rPr>
          <w:sz w:val="28"/>
        </w:rPr>
        <w:t>Национальный фонд займов</w:t>
      </w:r>
    </w:p>
    <w:p w:rsidR="00D66E56" w:rsidRDefault="001229AE">
      <w:pPr>
        <w:tabs>
          <w:tab w:val="left" w:pos="0"/>
        </w:tabs>
        <w:spacing w:before="640" w:line="220" w:lineRule="auto"/>
        <w:ind w:right="-58" w:firstLine="426"/>
        <w:rPr>
          <w:b/>
          <w:bCs/>
          <w:sz w:val="28"/>
        </w:rPr>
      </w:pPr>
      <w:r>
        <w:rPr>
          <w:b/>
          <w:bCs/>
          <w:noProof/>
        </w:rPr>
        <w:pict>
          <v:rect id="_x0000_s1027" style="position:absolute;left:0;text-align:left;margin-left:150.5pt;margin-top:21.8pt;width:198pt;height:36pt;z-index:-251659264"/>
        </w:pict>
      </w:r>
      <w:r w:rsidR="00D66E56">
        <w:rPr>
          <w:b/>
          <w:bCs/>
          <w:sz w:val="28"/>
        </w:rPr>
        <w:t xml:space="preserve">                                        Бюджеты местных уровней</w:t>
      </w:r>
    </w:p>
    <w:p w:rsidR="00D66E56" w:rsidRDefault="001229AE">
      <w:pPr>
        <w:pStyle w:val="4"/>
      </w:pPr>
      <w:r>
        <w:rPr>
          <w:noProof/>
          <w:sz w:val="20"/>
        </w:rPr>
        <w:pict>
          <v:rect id="_x0000_s1030" style="position:absolute;left:0;text-align:left;margin-left:42.5pt;margin-top:29.05pt;width:396pt;height:81pt;z-index:-251658240"/>
        </w:pict>
      </w:r>
      <w:r w:rsidR="00D66E56">
        <w:t>Специальные фонды:</w:t>
      </w:r>
    </w:p>
    <w:p w:rsidR="00D66E56" w:rsidRDefault="00D66E56">
      <w:pPr>
        <w:jc w:val="center"/>
        <w:rPr>
          <w:sz w:val="28"/>
        </w:rPr>
      </w:pPr>
      <w:r>
        <w:rPr>
          <w:sz w:val="28"/>
        </w:rPr>
        <w:t xml:space="preserve">Фонд национального страхования;  пенсионные фонды; </w:t>
      </w:r>
    </w:p>
    <w:p w:rsidR="00D66E56" w:rsidRDefault="00D66E56">
      <w:pPr>
        <w:jc w:val="center"/>
        <w:rPr>
          <w:sz w:val="28"/>
        </w:rPr>
      </w:pPr>
      <w:r>
        <w:rPr>
          <w:sz w:val="28"/>
        </w:rPr>
        <w:t xml:space="preserve">Уравнительные валютные фонды; фонды гарантий </w:t>
      </w:r>
    </w:p>
    <w:p w:rsidR="00D66E56" w:rsidRDefault="00D66E56">
      <w:pPr>
        <w:jc w:val="center"/>
        <w:rPr>
          <w:sz w:val="28"/>
        </w:rPr>
      </w:pPr>
      <w:r>
        <w:rPr>
          <w:sz w:val="28"/>
        </w:rPr>
        <w:t>Экспортных кредитов</w:t>
      </w:r>
    </w:p>
    <w:p w:rsidR="00D66E56" w:rsidRDefault="00D66E56">
      <w:pPr>
        <w:jc w:val="center"/>
        <w:rPr>
          <w:sz w:val="28"/>
        </w:rPr>
      </w:pPr>
    </w:p>
    <w:p w:rsidR="00D66E56" w:rsidRDefault="00D66E56">
      <w:pPr>
        <w:jc w:val="center"/>
        <w:rPr>
          <w:sz w:val="28"/>
        </w:rPr>
      </w:pPr>
    </w:p>
    <w:p w:rsidR="00D66E56" w:rsidRDefault="001229AE">
      <w:pPr>
        <w:jc w:val="center"/>
        <w:rPr>
          <w:sz w:val="28"/>
        </w:rPr>
      </w:pPr>
      <w:r>
        <w:rPr>
          <w:b/>
          <w:bCs/>
          <w:noProof/>
        </w:rPr>
        <w:pict>
          <v:rect id="_x0000_s1031" style="position:absolute;left:0;text-align:left;margin-left:51.5pt;margin-top:.8pt;width:396pt;height:54pt;z-index:-251657216"/>
        </w:pict>
      </w:r>
      <w:r w:rsidR="00D66E56">
        <w:rPr>
          <w:b/>
          <w:bCs/>
          <w:sz w:val="28"/>
        </w:rPr>
        <w:t>Государственные предприятия</w:t>
      </w:r>
      <w:r w:rsidR="00D66E56">
        <w:rPr>
          <w:sz w:val="28"/>
        </w:rPr>
        <w:t>:</w:t>
      </w:r>
    </w:p>
    <w:p w:rsidR="00D66E56" w:rsidRDefault="00D66E56">
      <w:pPr>
        <w:jc w:val="center"/>
        <w:rPr>
          <w:sz w:val="28"/>
        </w:rPr>
      </w:pPr>
      <w:r>
        <w:rPr>
          <w:sz w:val="28"/>
        </w:rPr>
        <w:t>Государственные корпорации; смешанные предприятия;</w:t>
      </w:r>
    </w:p>
    <w:p w:rsidR="00D66E56" w:rsidRDefault="00D66E56">
      <w:pPr>
        <w:jc w:val="center"/>
        <w:rPr>
          <w:sz w:val="28"/>
        </w:rPr>
      </w:pPr>
      <w:r>
        <w:rPr>
          <w:sz w:val="28"/>
        </w:rPr>
        <w:t xml:space="preserve">Ведомственные предприятия </w:t>
      </w:r>
    </w:p>
    <w:p w:rsidR="00D66E56" w:rsidRDefault="00D66E56">
      <w:pPr>
        <w:tabs>
          <w:tab w:val="left" w:pos="0"/>
        </w:tabs>
        <w:spacing w:before="640" w:line="220" w:lineRule="auto"/>
        <w:ind w:right="-58" w:firstLine="426"/>
        <w:jc w:val="both"/>
        <w:rPr>
          <w:sz w:val="28"/>
        </w:rPr>
      </w:pPr>
    </w:p>
    <w:p w:rsidR="00D66E56" w:rsidRDefault="00D66E56">
      <w:pPr>
        <w:pStyle w:val="a6"/>
      </w:pPr>
      <w:r>
        <w:t xml:space="preserve"> </w:t>
      </w:r>
    </w:p>
    <w:p w:rsidR="00D66E56" w:rsidRPr="00E17B84" w:rsidRDefault="00E17B84">
      <w:pPr>
        <w:pStyle w:val="a6"/>
        <w:rPr>
          <w:b/>
          <w:bCs/>
        </w:rPr>
      </w:pPr>
      <w:r>
        <w:rPr>
          <w:b/>
          <w:bCs/>
        </w:rPr>
        <w:t>Изменения и развитие финансовой система Великобритании</w:t>
      </w:r>
    </w:p>
    <w:p w:rsidR="00D66E56" w:rsidRDefault="00D66E56">
      <w:pPr>
        <w:pStyle w:val="a6"/>
      </w:pPr>
      <w:r>
        <w:t>В 80-е годы произошли значительные изменения в структуре и регулировании финансовых институтов Великобритании. Они повлияли на систему банков, систему страхования, строительные общества, фондовую биржу, а также на рынок потребительских товаров. Некоторые раньше четко очерченные разграничения сфер деятельности стали более размытыми, например, если раньше кредиты на строительство дома были исключительной прерогативой строительных обществ, то теперь эти кредиты стали выдавать как банки, так и страховые компании. Произошли два связанных с этим изменения: трансформация филиалов строительных обществ в фактические банки со своим собственным запасом наличности и расширение сфер деятельности всех трех типов организаций на рынок недвижимости. Строительные общества также участвуют в какой-то мере в услугах по капиталовложению, страховании и земельных услугах.</w:t>
      </w:r>
    </w:p>
    <w:p w:rsidR="00D66E56" w:rsidRDefault="00D66E56">
      <w:pPr>
        <w:spacing w:line="220" w:lineRule="auto"/>
        <w:ind w:firstLine="426"/>
        <w:jc w:val="both"/>
        <w:rPr>
          <w:sz w:val="28"/>
        </w:rPr>
      </w:pPr>
      <w:r>
        <w:rPr>
          <w:sz w:val="28"/>
        </w:rPr>
        <w:t>Лондон продолжил расти как центр международных финансовых операций. Увеличились притоки капитала, а также обмен валюты и торговля ценными бумагами, таким образом, в Лондоне представлено большое количество иностранных банков - Увеличившаяся конкуренция и развитие техники ускорило процесс обмена и торговли - Фондовая биржа была реорганизована, и традиционная система брокеров и джобберов была отменена. В результате, образовался ряд компаний, которые стали промежуточным звеном между британскими и иностранными банками и бывшими брокерами и джобберами. В конце 80-х подоспели и законы, регулирующие деятельность этих новых финансовых организаций. Пришлось даже создать новые контролирующие органы, которые следили за выполнением буквы закона в этой сфере деятельности.</w:t>
      </w:r>
    </w:p>
    <w:p w:rsidR="00D66E56" w:rsidRDefault="00D66E56">
      <w:pPr>
        <w:spacing w:line="220" w:lineRule="auto"/>
        <w:ind w:firstLine="426"/>
        <w:jc w:val="both"/>
        <w:rPr>
          <w:sz w:val="28"/>
        </w:rPr>
      </w:pPr>
      <w:r>
        <w:rPr>
          <w:sz w:val="28"/>
        </w:rPr>
        <w:t>Все коммерческие банки находятся под присмотром Банка Англии, который имеет право выпускать банкноты в Англии и Уэльсе (банки Шотландии и Северной Ирландии обладают ограниченными правами выпускать деньги на их территориях). Банк Англии лицензирует банки, которые в основном работают с населением (как Сбербанк), инвестиционные, ипотечные и другие британские или иностранные банки. Разделительные линии в этом секторе/тоже стали менее различимы, притом, что банки, работающие с физическими лицами, разделились на ипотечные банки, страховые банки; банки по работе с ценными бумагами и т.д. Банк Англии также контролирует ставку рефинансирования, которая влияет на структуру и уровень процентных ставок. Он активно вмешивается на иностранные валютные рынки, охраняя стабильность фунта. Фунт стерлингов - одна из главных валют мира, а Лондон является одним из важнейших торговых центров мира.</w:t>
      </w:r>
    </w:p>
    <w:p w:rsidR="00D66E56" w:rsidRDefault="00D66E56">
      <w:pPr>
        <w:spacing w:line="220" w:lineRule="auto"/>
        <w:ind w:firstLine="426"/>
        <w:jc w:val="both"/>
        <w:rPr>
          <w:sz w:val="28"/>
        </w:rPr>
      </w:pPr>
      <w:r>
        <w:rPr>
          <w:sz w:val="28"/>
        </w:rPr>
        <w:t>Сбережения населения вкладываются в развитие экономики через сеть финансовых организаций. Примерами могут послужить страховые компании, пенсионные и инвестиционные фонды. Другие организации специализируются в отдельных областях финансирования; таким образом, финансовые организации обеспечивают деньги под залог недвижимости. Есть еще компании, которые финансируют лизинг оборудования и средне- и долгосрочные рынки капитала, которые также финансируют банки или фондовый рынок, включая рынок инновационных технологий.</w:t>
      </w:r>
    </w:p>
    <w:p w:rsidR="00D66E56" w:rsidRDefault="00D66E56">
      <w:pPr>
        <w:pStyle w:val="20"/>
      </w:pPr>
      <w:r>
        <w:t>В Великобритании существует несколько организованных финансовых рынков. Рынки ценных бумаг состоят из Международной фондовой биржи, которая работает с зарегистрированными ценными бумагами и акциями (включая государственные ценные бумаги и опционы), Рынок незарегистрированных ценных бумаг, для более мелких компаний, и Третий рынок, для небольших компаний, ценные бумаги которых не зарегистрированы. Действия на валютном рынке включают торговлю депозитными сертификатами, краткосрочными депозитами и др. Другие рынки имеют дело с Евро, обменом валюты, фьючерсами и др.</w:t>
      </w:r>
    </w:p>
    <w:p w:rsidR="00D66E56" w:rsidRDefault="00D66E56">
      <w:pPr>
        <w:ind w:firstLine="426"/>
        <w:jc w:val="both"/>
        <w:rPr>
          <w:sz w:val="28"/>
        </w:rPr>
      </w:pPr>
      <w:r>
        <w:rPr>
          <w:sz w:val="28"/>
        </w:rPr>
        <w:t>Доля невидимой торговли (гонорары и плата за финансовые услуги, проценты по вкладам, прибыли и дивиденды) постоянно увеличивается с одной трети до половины всех внешних доходов государства.</w:t>
      </w: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p>
    <w:p w:rsidR="00D66E56" w:rsidRDefault="00D66E56">
      <w:pPr>
        <w:ind w:firstLine="426"/>
        <w:jc w:val="both"/>
        <w:rPr>
          <w:sz w:val="28"/>
        </w:rPr>
      </w:pPr>
      <w:r>
        <w:rPr>
          <w:sz w:val="28"/>
        </w:rPr>
        <w:t>СПИСОК ИСПОЛЬЗУЕМОЙ ЛИТЕРАТУРЫ</w:t>
      </w:r>
    </w:p>
    <w:p w:rsidR="00D66E56" w:rsidRDefault="00D66E56">
      <w:pPr>
        <w:ind w:firstLine="426"/>
        <w:jc w:val="both"/>
        <w:rPr>
          <w:sz w:val="28"/>
        </w:rPr>
      </w:pPr>
    </w:p>
    <w:p w:rsidR="00D66E56" w:rsidRDefault="00D66E56">
      <w:pPr>
        <w:ind w:firstLine="426"/>
        <w:jc w:val="both"/>
        <w:rPr>
          <w:sz w:val="28"/>
        </w:rPr>
      </w:pPr>
    </w:p>
    <w:p w:rsidR="00D66E56" w:rsidRDefault="00D66E56">
      <w:pPr>
        <w:numPr>
          <w:ilvl w:val="0"/>
          <w:numId w:val="5"/>
        </w:numPr>
        <w:jc w:val="both"/>
        <w:rPr>
          <w:sz w:val="28"/>
        </w:rPr>
      </w:pPr>
      <w:r>
        <w:rPr>
          <w:sz w:val="28"/>
        </w:rPr>
        <w:t>Финансово-кредитный энциклопедический словарь. Под ред. А.Г. Грязновой.  Изд-во «Финансы и статистика» М.: 2002</w:t>
      </w:r>
    </w:p>
    <w:p w:rsidR="00D66E56" w:rsidRDefault="00D66E56">
      <w:pPr>
        <w:numPr>
          <w:ilvl w:val="0"/>
          <w:numId w:val="5"/>
        </w:numPr>
        <w:jc w:val="both"/>
        <w:rPr>
          <w:sz w:val="28"/>
        </w:rPr>
      </w:pPr>
      <w:r>
        <w:rPr>
          <w:sz w:val="28"/>
        </w:rPr>
        <w:t xml:space="preserve">Финансово-кредитные системы зарубежных стран.  К.В. Рудый. М.: 2003  </w:t>
      </w:r>
      <w:bookmarkStart w:id="0" w:name="_GoBack"/>
      <w:bookmarkEnd w:id="0"/>
    </w:p>
    <w:sectPr w:rsidR="00D66E56">
      <w:footerReference w:type="even" r:id="rId7"/>
      <w:footerReference w:type="default" r:id="rId8"/>
      <w:pgSz w:w="11906" w:h="16838"/>
      <w:pgMar w:top="851" w:right="851"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29" w:rsidRDefault="00291329">
      <w:r>
        <w:separator/>
      </w:r>
    </w:p>
  </w:endnote>
  <w:endnote w:type="continuationSeparator" w:id="0">
    <w:p w:rsidR="00291329" w:rsidRDefault="0029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56" w:rsidRDefault="00D66E56">
    <w:pPr>
      <w:pStyle w:val="a5"/>
      <w:framePr w:wrap="around" w:vAnchor="text" w:hAnchor="margin" w:xAlign="right" w:y="1"/>
      <w:rPr>
        <w:rStyle w:val="a7"/>
      </w:rPr>
    </w:pPr>
  </w:p>
  <w:p w:rsidR="00D66E56" w:rsidRDefault="00D66E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56" w:rsidRDefault="00203A54">
    <w:pPr>
      <w:pStyle w:val="a5"/>
      <w:framePr w:wrap="around" w:vAnchor="text" w:hAnchor="margin" w:xAlign="right" w:y="1"/>
      <w:rPr>
        <w:rStyle w:val="a7"/>
      </w:rPr>
    </w:pPr>
    <w:r>
      <w:rPr>
        <w:rStyle w:val="a7"/>
        <w:noProof/>
      </w:rPr>
      <w:t>3</w:t>
    </w:r>
  </w:p>
  <w:p w:rsidR="00D66E56" w:rsidRDefault="00D66E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29" w:rsidRDefault="00291329">
      <w:r>
        <w:separator/>
      </w:r>
    </w:p>
  </w:footnote>
  <w:footnote w:type="continuationSeparator" w:id="0">
    <w:p w:rsidR="00291329" w:rsidRDefault="00291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91185"/>
    <w:multiLevelType w:val="hybridMultilevel"/>
    <w:tmpl w:val="9CCA75EA"/>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
    <w:nsid w:val="16FE438A"/>
    <w:multiLevelType w:val="hybridMultilevel"/>
    <w:tmpl w:val="AD5C25BA"/>
    <w:lvl w:ilvl="0" w:tplc="6B8C49EC">
      <w:start w:val="1"/>
      <w:numFmt w:val="bullet"/>
      <w:lvlText w:val=""/>
      <w:lvlJc w:val="left"/>
      <w:pPr>
        <w:tabs>
          <w:tab w:val="num" w:pos="720"/>
        </w:tabs>
        <w:ind w:left="360" w:hanging="360"/>
      </w:pPr>
      <w:rPr>
        <w:rFonts w:ascii="Wingdings" w:hAnsi="Wingdings" w:hint="default"/>
        <w:sz w:val="3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8D96058"/>
    <w:multiLevelType w:val="hybridMultilevel"/>
    <w:tmpl w:val="03ECC2E0"/>
    <w:lvl w:ilvl="0" w:tplc="9A3A3EB4">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4D7C5CDC"/>
    <w:multiLevelType w:val="hybridMultilevel"/>
    <w:tmpl w:val="73B0C0C8"/>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nsid w:val="6F1417DC"/>
    <w:multiLevelType w:val="hybridMultilevel"/>
    <w:tmpl w:val="C096E7A0"/>
    <w:lvl w:ilvl="0" w:tplc="715655B0">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B84"/>
    <w:rsid w:val="001229AE"/>
    <w:rsid w:val="00126787"/>
    <w:rsid w:val="00203A54"/>
    <w:rsid w:val="00291329"/>
    <w:rsid w:val="00D66E56"/>
    <w:rsid w:val="00DC5D43"/>
    <w:rsid w:val="00E17B84"/>
    <w:rsid w:val="00F5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7D3A7E04-9269-46AE-AFA7-565CBF9F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0"/>
      </w:tabs>
      <w:spacing w:before="640" w:line="220" w:lineRule="auto"/>
      <w:ind w:right="-58"/>
      <w:jc w:val="both"/>
      <w:outlineLvl w:val="0"/>
    </w:pPr>
    <w:rPr>
      <w:b/>
      <w:bCs/>
      <w:sz w:val="28"/>
    </w:rPr>
  </w:style>
  <w:style w:type="paragraph" w:styleId="2">
    <w:name w:val="heading 2"/>
    <w:basedOn w:val="a"/>
    <w:next w:val="a"/>
    <w:qFormat/>
    <w:pPr>
      <w:keepNext/>
      <w:tabs>
        <w:tab w:val="left" w:pos="0"/>
      </w:tabs>
      <w:spacing w:before="640" w:line="220" w:lineRule="auto"/>
      <w:ind w:right="-58" w:firstLine="426"/>
      <w:jc w:val="both"/>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tabs>
        <w:tab w:val="left" w:pos="0"/>
      </w:tabs>
      <w:spacing w:before="640" w:line="220" w:lineRule="auto"/>
      <w:ind w:right="-58" w:firstLine="426"/>
      <w:jc w:val="center"/>
      <w:outlineLvl w:val="3"/>
    </w:pPr>
    <w:rPr>
      <w:b/>
      <w:bCs/>
      <w:sz w:val="28"/>
    </w:rPr>
  </w:style>
  <w:style w:type="paragraph" w:styleId="5">
    <w:name w:val="heading 5"/>
    <w:basedOn w:val="a"/>
    <w:next w:val="a"/>
    <w:qFormat/>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0"/>
      </w:tabs>
      <w:spacing w:before="640" w:line="220" w:lineRule="auto"/>
      <w:ind w:right="-58"/>
      <w:jc w:val="both"/>
    </w:pPr>
    <w:rPr>
      <w:sz w:val="28"/>
    </w:r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 w:type="paragraph" w:styleId="a6">
    <w:name w:val="Body Text Indent"/>
    <w:basedOn w:val="a"/>
    <w:pPr>
      <w:tabs>
        <w:tab w:val="left" w:pos="0"/>
      </w:tabs>
      <w:spacing w:before="640" w:line="220" w:lineRule="auto"/>
      <w:ind w:right="-58" w:firstLine="426"/>
      <w:jc w:val="both"/>
    </w:pPr>
    <w:rPr>
      <w:sz w:val="28"/>
    </w:rPr>
  </w:style>
  <w:style w:type="paragraph" w:styleId="20">
    <w:name w:val="Body Text Indent 2"/>
    <w:basedOn w:val="a"/>
    <w:pPr>
      <w:spacing w:line="220" w:lineRule="auto"/>
      <w:ind w:firstLine="426"/>
      <w:jc w:val="both"/>
    </w:pPr>
    <w:rPr>
      <w:sz w:val="28"/>
    </w:rPr>
  </w:style>
  <w:style w:type="character" w:styleId="a7">
    <w:name w:val="page number"/>
    <w:basedOn w:val="a0"/>
  </w:style>
  <w:style w:type="paragraph" w:styleId="a8">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6</vt:lpstr>
    </vt:vector>
  </TitlesOfParts>
  <Company>HOME</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Антон</dc:creator>
  <cp:keywords/>
  <dc:description/>
  <cp:lastModifiedBy>Irina</cp:lastModifiedBy>
  <cp:revision>2</cp:revision>
  <cp:lastPrinted>2004-03-11T17:25:00Z</cp:lastPrinted>
  <dcterms:created xsi:type="dcterms:W3CDTF">2014-08-03T13:46:00Z</dcterms:created>
  <dcterms:modified xsi:type="dcterms:W3CDTF">2014-08-03T13:46:00Z</dcterms:modified>
</cp:coreProperties>
</file>