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3A" w:rsidRPr="00E24A99" w:rsidRDefault="00F0363A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4A99">
        <w:rPr>
          <w:b/>
          <w:bCs/>
          <w:sz w:val="28"/>
          <w:szCs w:val="28"/>
        </w:rPr>
        <w:t>СОДЕРЖАНИЕ</w:t>
      </w:r>
    </w:p>
    <w:p w:rsidR="00F0363A" w:rsidRPr="00E24A99" w:rsidRDefault="00F0363A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0363A" w:rsidRPr="00E24A99" w:rsidRDefault="00F0363A" w:rsidP="0001309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E24A99">
        <w:rPr>
          <w:caps/>
          <w:sz w:val="28"/>
          <w:szCs w:val="28"/>
        </w:rPr>
        <w:t>Понятие и виды финансово-промышленных групп</w:t>
      </w:r>
    </w:p>
    <w:p w:rsidR="00F0363A" w:rsidRPr="00E24A99" w:rsidRDefault="00F0363A" w:rsidP="0001309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E24A99">
        <w:rPr>
          <w:caps/>
          <w:sz w:val="28"/>
          <w:szCs w:val="28"/>
        </w:rPr>
        <w:t>Управление финансово-промышленной группой</w:t>
      </w:r>
    </w:p>
    <w:p w:rsidR="00F0363A" w:rsidRPr="00E24A99" w:rsidRDefault="00F0363A" w:rsidP="0001309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E24A99">
        <w:rPr>
          <w:caps/>
          <w:sz w:val="28"/>
          <w:szCs w:val="28"/>
        </w:rPr>
        <w:t>Понятие и сущность холдинга</w:t>
      </w:r>
    </w:p>
    <w:p w:rsidR="00F0363A" w:rsidRPr="00E24A99" w:rsidRDefault="0001309B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4A99">
        <w:rPr>
          <w:sz w:val="28"/>
          <w:szCs w:val="28"/>
        </w:rPr>
        <w:br w:type="page"/>
      </w:r>
      <w:r w:rsidRPr="00E24A99">
        <w:rPr>
          <w:b/>
          <w:bCs/>
          <w:sz w:val="28"/>
          <w:szCs w:val="28"/>
        </w:rPr>
        <w:t xml:space="preserve">1. </w:t>
      </w:r>
      <w:r w:rsidR="00F0363A" w:rsidRPr="00E24A99">
        <w:rPr>
          <w:b/>
          <w:bCs/>
          <w:sz w:val="28"/>
          <w:szCs w:val="28"/>
        </w:rPr>
        <w:t>ПОНЯТИЕ И ВИДЫ ФИНАНСОВО-ПРОМЫШЛЕННЫХ ГРУПП</w:t>
      </w:r>
    </w:p>
    <w:p w:rsidR="00F0363A" w:rsidRPr="00E24A99" w:rsidRDefault="00F0363A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 90-х гг. ХХ в. в результате масштабных процессов приватизации государственных предприятий в России начался распад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промышленных и производственных объединений, что привело к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дезинтеграции экономики. Одной из основных предпосылок для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законодательного регулирования объединений юридических лиц в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форме финансово-промышленных групп стало признание необходимым функционирования в экономике нашей страны наряду с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малыми и средними предпринимательскими структурами крупных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производственно-хозяйственных комплексов. Поскольку именно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крупные структуры обеспечивают конкурентоспособность продукции предприятий наукоемких промышленных отраслей и активизируют процессы инвестирования в сферы реальной экономики.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 xml:space="preserve">Финансово-промышленные группы (далее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ФПГ) зачастую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называют «особыми экономическими зонами», так как они позволяют минимизировать многие риски, получить выгодный налоговый режим. ФПГ довольно привлекательны и для иностранных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инвесторов. В России сейчас имеется около 100 официально зарегистрированных финансово-промышленных групп («Интеррос»,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«Нижегородские автомобили», «Мостатнафта», «Магнитогорская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сталь», «Сибагромаш» и др.), а неофициальных групп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в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несколько раз больше (например, «Альфа-груп»). По своей сути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многие предпринимательские объединения соответствуют всем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признакам финансово-промышленной группы, но не являются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таковыми, поскольку не проходили процесс государственной регистрации</w:t>
      </w:r>
      <w:r w:rsidR="00934441" w:rsidRPr="00E24A99">
        <w:rPr>
          <w:sz w:val="28"/>
          <w:szCs w:val="28"/>
        </w:rPr>
        <w:t>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 xml:space="preserve">Финансово-промышленные группы создаются во всех государствах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участниках СНГ, но в западной экономике эта особая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организационная разновидность объединений отсутствует. Зарубежными аналогами отечественных ФПГ можно считать связанные предприятия или концерны в Германии, группы товариществ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во Франции, холдинговые компании в Великобритании и США.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Суть таких образований в том, что это объединение участников,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не обладающее статусом юридического лица, которое основано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 экономической субординации и контроле одного участника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над другими.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 настоящее время основным нормативным актом, регламентирующим организацию и деятельность ФПГ, является Закон о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финансово-промышленных группах.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Финансово-промышленная группа представляет собой совокупность юридических лиц, действующих как основное и дочерние общества либо полностью или частично объединивших свои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материальные и нематериальные активы на основе договора о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создании ФПГ в целях технологической или экономической интеграции для реализации инвестиционных и иных проектов и программ, направленных на повышение конкурентоспособности и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расширение рынков сбыта товаров и услуг, повышение эффективности производства, создание новых рабочих мест.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Из легального определения финансово-промышленной группы следует, что она не является одной из организационно-правовых форм юридических лиц. Невозможность придания ФПГ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статуса юридического лица обусловлена стремлением сохранить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за их участниками правосубъектность юридического лица, обеспечивающую ведение предпринимательской деятельности. Несмотря на отсутствие у ФПГ как комплексного образования совокупности прав и обязанностей, присущих юридическому лицу,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можно отметить отдельные элементы правосубъектности ФПГ в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отношениях, регулируемых антимонопольным и налоговым законодательством.</w:t>
      </w:r>
    </w:p>
    <w:p w:rsidR="009E538C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Во-первых, участники группы, задействованные в сфере производства, могут быть признаны консолидированной группой</w:t>
      </w:r>
      <w:r w:rsidR="00F0363A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налогоплательщиков, т.е. единым субъектом налоговых правоотношений.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Во-вторых, в ст. 20 НК РФ содержится понятие «взаимозависимые лица», которыми, в том числе, могут быть организации, если одна из них участвует в уставном капитале другой 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суммарная доля такого участия составляет более 20%. Выделение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категории взаимозависимых лиц оказалось необходимым для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возможности осуществления налоговыми органами контроля за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ценообразованием в операциях, совершаемых между взаимозависимыми лицами. Применение «трансфертного ценообразования»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между участниками предпринимательских объединений дает возможность занижать налогооблагаемую базу, что, конечно, не отвечает интересам государства. Следовательно, налоговые органы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контролируют взаимозависимых лиц как единого субъекта.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С точки зрения антимонопольного законодательства участники группы, даже если они являются формально автономными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(независимыми) юридическими лицами, представляют собой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составные части общей структуры, управляются из единого центра и занимаются предпринимательской деятельностью для достижения интересов группы в целом. Поэтому в антимонопольном законодательстве ФПГ признается единым хозяйствующим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субъектом.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 формам производственно-хозяйственной интеграции различают «вертикальные», «горизонтальные» финансово-промышленные группы и конгломераты. По статистике в России большинство зарегистрированных ФПГ отличаются вертикальным типом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объединения (группы «Аэрофин», «Оборонительный стиль»). Горизонтальная интеграция предполагает объединение предприятий,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ориентированных на выпуск однородной продукции (группы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«Росстрой», «БелРусАвто»). Конгломераты считаются наиболее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устойчивой формой объединения, которое имеет предприятия в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разных, не связанных между собой, отраслях бизнеса, для того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чтобы не зависеть от экономического положения в отдельной отрасли (группа «Объединенная промышленно-строительная компания»).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 xml:space="preserve">По отраслевой принадлежности принято выделять отраслевые и межотраслевые группы; по степени диверсификации бизнеса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монопрофильные и многопрофильные; по масштабам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деятельности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региональные, межрегиональные и межгосу</w:t>
      </w:r>
      <w:r w:rsidR="009E538C" w:rsidRPr="00E24A99">
        <w:rPr>
          <w:sz w:val="28"/>
          <w:szCs w:val="28"/>
        </w:rPr>
        <w:t xml:space="preserve">дарственные </w:t>
      </w:r>
      <w:r w:rsidRPr="00E24A99">
        <w:rPr>
          <w:sz w:val="28"/>
          <w:szCs w:val="28"/>
        </w:rPr>
        <w:t>(транснациональные). Финансово-промышленные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группы считаются транснациональными, если среди их участников есть юридические лица, находящиеся под юрисдикцией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государств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участников СНГ, либо имеющие подразделения на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территории этих государств, либо осуществляющие там капитальное строительство. Транснациональная компания, созданная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 основе межправительственного соглашения, приобретает статус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межгосударственной ФПГ.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Участники финансово-промышленной группы могут построить свои взаимоотношения двумя путями: либо как взаимодействие основного и дочерних обществ, либо как взаимодействие на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условиях полного или частичного объединения своих материальных и нематериальных активов. В первом случае мы имеем дело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 фактически холдинговой моделью, когда основное (материнское) общество имеет возможность через принадлежащий ей пакет акций (долей) дочерних обществ, т.е. в силу преобладающего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участия в их уставном капитале, руководить деятельностью каждого из них. Можно сказать, что ФПГ первого вида представляет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собой предпринимательское объединение, основанное на «системе участия», экономической субординации и корпоративном контроле. В таком объединении основное общество выполняет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функции центральной компании, через которую, по сути, и ведется деятельность группы в целом.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ФПГ второго вида является добровольным договорным предпринимательским объединением независимых друг от друга юридических лиц. По статистике большинство зарегистрированных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(официальных) ФПГ создаются именно по типу объединений на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основе договора; их иногда именуют «мягкими нехолдинговыми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корпорациями», или «договорными холдингами». Финансово-промышленная группа этого вида создается путем заключения участниками группы договора о создании ФПГ, в соответствии с которым учреждается центральная компания. То есть центральная компания, по сути, представляет собой дочернее или зависимое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общество по отношению ко всем участникам ФПГ. По своей юридической природе договор о создании ФПГ является разновидностью договора простого товарищества (ст. 1041-1054 ГК РФ).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Действующим законодательством предусмотрен ряд ограничений на участие в составе финансово-промышленной группы.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Так, государственные и муниципальные унитарные предприятия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могут входить в состав ФПГ на условиях, определяемых собственником имущества. Финансово-промышленная группа предполагает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объединение материальных и нематериальных активов, но унитарное предприятие, не обладая правом собственности на закрепленное за ним имущество, не может самостоятельно распоряжаться своими активами, ему требуется согласование своих сделок с собственником имущества. Однако несмотря на данные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ограничения, в России более 10% от общего числа участников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всех зарегистрированных ФПГ являются предприятиями государственного сектора экономики.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Дочерние общества могут входить в состав финансово-промышленной группы только вместе со своим основным обществом. Решения, действия, сделки дочерних хозяйственных обществ могут быть достаточно жестко предопределены основными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(материнскими) компаниями. Поэтому не исключена ситуация,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при которой дочернее общество будет вынуждено выбирать между обязательными для него, но противоречащими друг другу,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решениями руководящих органов ФПГ и основной (материнской)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компании. Таким образом, данное ограничение обусловлено стремлением обеспечить должную управляемость при исполнении решений в системе ФПГ ее участниками.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Законодательство запрещает юридическому лицу участвовать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более чем в одной финансово-промышленной группе. Данное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ограничение предотвращает монополизацию рынка, поскольку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группы с одинаковым составом участников не создают условий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для свободной конкуренции. Однако очевидно, что участники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ФПГ вправе входить в состав других видов объединений, например банковских групп.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Общественные и религиозные объединения не могут быть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участниками финансово-промышленных групп, поскольку цели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деятельности этих организаций (с учетом ограничений на занятие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предпринимательством) не предполагают возможности их участия в производственно-финансовых комплексах.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Независимо от того, по какому типу организована финансово-промышленная группа (холдинг или договорное объединение), в ее составе выделяют обязательных и инициативных (необязательных) участников. Обязательными участниками в составе финансово-промышленной группы являются предприятия,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действующие в сфере производства, а также банки и кредитные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организации. Предприятиям производственного профиля отводятся функции по изготовлению и выпуску товарной продукции либо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оказанию услуг, на банки или кредитные организации возлагается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роль инвестиционных структур.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 качестве необязательных участников в ФПГ могут входить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инвестиционные фонды, страховые компании, негосударственные пенсионные фонды, а также любые другие организации.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Первым этапом создания финансово-промышленной группы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является разработка ее локальных актов. Во всех видах ФПГ к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обязательным локальным документам относится организационный проект группы, т.е. пакет документов, содержащий необходимые сведения о целях и задачах, инвестиционных и других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проектах и программах, предполагаемых экономическом, социальном и других результатах деятельности ФПГ. В организационный проект, как правило, входят пояснительная записка и технико-экономическое обоснование будущей деятельности ФПГ.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При договорном типе объединения в финансово-промышленную группу к локальным документам относятся также договор о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создании ФПГ и устав центральной компании. Договор о создании ФПГ является разновидностью договора о совместной деятельности (простого товарищества). Наряду с существенными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условиями, обязательными для договора простого товарищества,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 нем должны содержаться сведения о наименовании ФПГ, порядке и условиях учреждения центральной компании, порядок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образования, объем полномочий совета управляющих ФПГ, порядок внесения изменений в состав участников, объем, порядок и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условия объединения активов, цель объединения участников,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срок действия договора. Другие условия договора о создании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финансово-промышленной группы устанавливаются участниками, исходя из целей и задач конкретной ФПГ, с учетом отраслевой, региональной и прочей специфики.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Регистрирует финансово-промышленную группу центральная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компания, которая, будучи отдельным юридическим лицом, создается и регистрируется раньше, чем сама группа. Регистрацию группы проводит Министерство экономического развития и торговли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РФ в отдельном государственном реестре.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Для регистрации центральная компания финансово-промышленной группы подает заявку на регистрацию, договор о создании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ФПГ (договор не требуется, если группа образуется как совокупность основного и дочернего обществ), нотариально заверенные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копии свидетельств о регистрации, учредительных документов, копии реестров акционеров каждого из участников, включая центральную компанию, организационный проект, нотариально заверенные и легализованные документы иностранных участников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группы. Помимо этого, необходимо представить заключение Федеральной антимонопольной службы, подтверждающее, что создание финансово-промышленной группы не приведет к ограничению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конкуренции на товарных или финансовых рынках.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После экспертизы представленных документов проводится государственная регистрация финансово-промышленной группы.</w:t>
      </w:r>
    </w:p>
    <w:p w:rsidR="009E538C" w:rsidRPr="00E24A99" w:rsidRDefault="0001309B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4A99">
        <w:rPr>
          <w:sz w:val="28"/>
          <w:szCs w:val="28"/>
        </w:rPr>
        <w:br w:type="page"/>
      </w:r>
      <w:r w:rsidRPr="00E24A99">
        <w:rPr>
          <w:b/>
          <w:bCs/>
          <w:sz w:val="28"/>
          <w:szCs w:val="28"/>
        </w:rPr>
        <w:t>2.</w:t>
      </w:r>
      <w:r w:rsidRPr="00E24A99">
        <w:rPr>
          <w:sz w:val="28"/>
          <w:szCs w:val="28"/>
        </w:rPr>
        <w:t xml:space="preserve"> </w:t>
      </w:r>
      <w:r w:rsidR="009E538C" w:rsidRPr="00E24A99">
        <w:rPr>
          <w:b/>
          <w:bCs/>
          <w:sz w:val="28"/>
          <w:szCs w:val="28"/>
        </w:rPr>
        <w:t>УПРАВЛЕНИЕ ФИНАНСОВО-ПРОМЫШЛЕННОЙ ГРУППОЙ</w:t>
      </w:r>
    </w:p>
    <w:p w:rsidR="009E538C" w:rsidRPr="00E24A99" w:rsidRDefault="009E538C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Полномочия органов управления финансово-промышленной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группы не распространяются на всю коммерческую деятельность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ее участников. Управляющее воздействие органов ФПГ касается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только общей деятельности участников в составе группы. Эта общая деятельность ограничена целями создания ФПГ, частью объединенных для достижения этих целей активов.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Высшим органом управления финансово-промышленной группой является совет управляющих, в который входят представители всех участников ФПГ. Формирование совета управляющих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происходит по типу той организационно-правовой формы, в которой создается центральная компания. Например, в большинстве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случаев центральная компания создается в организационно-правовой форме акционерного общества. В этом случае совет управляющих будет действовать как общее собрание акционеров. Проводя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аналогию между управлением акционерным обществом и финансово-промышленной группой, можно сказать, что совет управляющих ФПГ является аналогом общего собрания акционеров,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а центральная компания играет роль исполнительного органа.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 xml:space="preserve">Центральная компания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юридическое лицо, которое может создаваться в форме хозяйственного общества, ассоциации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или союза. Центральная компания, как правило, является инвестиционным институтом, поэтому исходя из задач формирования ФПГ трудно представить, чтобы она не осуществляла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предпринимательскую деятельность. В этой связи создание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центральной компании в организационно-правовой форме ассоциации вряд ли целесообразно. Согласно ст. 121 ГК РФ ассоциация (союз) юридических лиц является единственной формой некоммерческой организации, которая ни при каких условиях не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вправе проводить самостоятельную предпринимательскую деятельность.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Центральная компания подлежит государственной регистрации в порядке, установленном для регистрации юридических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лиц. Следовательно, при создании ФПГ государственная регистрация может осуществляться дважды: сначала регистрируется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центральная компания в Едином государственном реестре юридических лиц, а затем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сама финансово-промышленная группа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 государственном реестре ФПГ, который ведет Минэкономразвития России.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Надо сказать, что участники будущей финансово-промышленной группы могут специально не создавать центральную компанию, а поручить выполнение ее функций уже существующей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организации, в которой имеется доля участия каждого из них.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После регистрации ФПГ центральная компания вносит в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свое фирменное наименование слова «центральная компания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финансово-промышленной группы», о чем направляет уведомление в регистрирующий орган (соответствующую инспекцию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Федеральной налоговой службы). Изменения в учредительных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документах юридических лиц регистрируются в уведомительном порядке в случаях, предусмотренных законодательством.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На сегодняшний день уведомительная процедура регистрации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используется только для изменений в уставе хозяйственного общества, связанных с созданием филиалов и представительств.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Формуляры документов, используемых в процессе государственной регистрации юридических лиц, также не предусматривают уведомлений для регистрации изменений фирменного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наименования организации. Поэтому в свете действующего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законодательства правильнее говорить, что центральная компания должна зарегистрировать изменение своего фирменного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наименования, а не просто уведомить об этом регистрирующий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орган.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 России многие центральные компании являются банками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или кредитными организациями. И это действительно эффективно в связи с тем, что помимо финансирования деятельности ФПГ,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банк может выступать промежуточным заемщиком, привлекая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инвестиции. Зачастую центральные компании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банки претендуют на право управления финансами всех участников группы, в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этом случае реализуется принцип самоинвестирования в рамках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ФПГ, что невозможно, если центральная компания создана в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форме ассоциации (союза). Если центральная компания является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банком или кредитной организацией, она может выполнять в интересах участников группы отдельные банковские операции.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Центральная компания выступает от имени всех участников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ФПГ в отношениях, связанных с созданием и деятельностью группы, ведет сводные (консолидированные) учет, отчетность и баланс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группы и отвечает за правильность ведения консолидированной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отчетности. Центральная компания готовит ежегодный отчет о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деятельности группы, который рассылается всем участникам группы, уполномоченному государственному органу (Минэкономразвития России), а также публикуется в срок не позднее 90 дней по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окончании финансового года. Отчет составляется после независимой аудиторской проверки деятельности финансово-промышленной группы, которую оплачивает центральная компания ФПГ.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Поскольку финансово-промышленная группа не пользуется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правами юридического лица, в гражданских правоотношениях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она выступает через свою центральную компанию, учрежденную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всеми участниками или являющуюся по отношению к ним основным обществом. Участники группы несут солидарную ответственность по обязательствам, возникшим в результате деятельности центральной компании. Это правило корреспондирует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 положениями п. 2 ст. 1047 ГК РФ о том, что участники договора о совместной деятельности (простого товарищества) отвечают солидарно по всем общим обязательствам. Здесь следует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обратить внимание на понятие «общие обязательства», означающее, что повлечь солидарную ответственность участников ФПГ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могут не все обязательства центральной компании, а только непосредственно связанные с деятельностью финансово-промышленной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группы.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Надо сказать, что специальные нормы о правовом статусе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центральной компании не соответствуют законодательству о хозяйственных обществах и ассоциациях (союзах) юридических лиц.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Так, участники хозяйственного общества не отвечают по его обязательствам и рискуют в предпринимательской деятельности только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потерей оплаченных ими вкладов в уставном капитале. Члены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ассоциации (союза) юридических лиц отвечают по обязательствам созданной организации субсидиарно. Если же ассоциация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(союз) или хозяйственное общество выполняют функции центральной компании финансово-промышленной группы, то все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участники ФПГ (учредители центральной компании) отвечают по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ее обязательствам солидарно.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Еще одно несоответствие можно отметить в структуре холдинговой модели финансово-промышленной группы. В такой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ФПГ центральная компания как отдельное юридическое лицо не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создается, ее функции выполняет основное общество. В соответствии с п. 2 ст. 105 ГК РФ дочернее общество не отвечает по долгам основного общества, а в финансово-промышленной группе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дочерние компании солидарно отвечают по обязательствам своего основного общества.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Несмотря на отмеченные противоречия, следует сказать, что законодательство о финансово-промышленных группах носит специальный характер и поэтому имеет приоритет перед общими нормами Гражданского кодекса РФ.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Изначально предполагалось, что финансово-промышленным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группам будут оказываться меры государственной поддержки.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Среди этих мер законодательство называет: зачет задолженности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участника ФПГ, акции которого реализуются на инвестиционных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конкурсах (</w:t>
      </w:r>
      <w:r w:rsidR="009E538C" w:rsidRPr="00E24A99">
        <w:rPr>
          <w:sz w:val="28"/>
          <w:szCs w:val="28"/>
        </w:rPr>
        <w:t>торгах</w:t>
      </w:r>
      <w:r w:rsidRPr="00E24A99">
        <w:rPr>
          <w:sz w:val="28"/>
          <w:szCs w:val="28"/>
        </w:rPr>
        <w:t>), в объем предусмотренных условиями торгов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инвестиций для покупателя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центральной компании той же ФПГ;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предоставление участникам группы права самостоятельно определять сроки амортизации оборудования и накопления амортизационных отчислений с направлением полученных средств на деятельность группы; передача в доверительное управление центральной компании ФПГ временно закрепленных за государством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пакетов акций участников этой группы; предоставление государственных гарантий для привлечения инвестиций и др.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 xml:space="preserve">Однако на практике эти льготы не предоставляются, и можно сказать, что отсутствие государственного протекционизма </w:t>
      </w:r>
      <w:r w:rsidR="0001309B" w:rsidRPr="00E24A99">
        <w:rPr>
          <w:sz w:val="28"/>
          <w:szCs w:val="28"/>
        </w:rPr>
        <w:t>-</w:t>
      </w:r>
      <w:r w:rsidR="009E538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одна из причин, не позволивших ФПГ стать более распространенными и влиятельными формами предпринимательских объединений.</w:t>
      </w:r>
    </w:p>
    <w:p w:rsidR="009E538C" w:rsidRPr="00E24A99" w:rsidRDefault="009E538C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538C" w:rsidRPr="00E24A99" w:rsidRDefault="0001309B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4A99">
        <w:rPr>
          <w:b/>
          <w:bCs/>
          <w:sz w:val="28"/>
          <w:szCs w:val="28"/>
        </w:rPr>
        <w:t xml:space="preserve">3. </w:t>
      </w:r>
      <w:r w:rsidR="00CF780C" w:rsidRPr="00E24A99">
        <w:rPr>
          <w:b/>
          <w:bCs/>
          <w:sz w:val="28"/>
          <w:szCs w:val="28"/>
        </w:rPr>
        <w:t>ПОНЯТИЕ И СУЩНОСТЬ ХОЛДИНГА</w:t>
      </w:r>
    </w:p>
    <w:p w:rsidR="009E538C" w:rsidRPr="00E24A99" w:rsidRDefault="009E538C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Термин «холдинг» происходит от английского глагола «to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hold»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держать, иметь. Поэтому холдинговые компании часто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называют «держательскими» организациями, которым принадлежат акции (доли) в уставных капиталах других предприятий. Холдинговые компании широко распространены в зарубежных странах.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Однако термин «холдинговая компания» применяется в основном в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странах англо-американской правовой системы. В Германии для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обозначения аналогичных производственно-хозяйственных комплексов используются термины «концерн» и «консорциум». В законодательстве ФРГ для обозначения таких объединений используется также характерный термин «связанные предприятия».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 составе такой группировки предприятий основное предприятие (материнская компания) имеет возможность через принадлежащий ей пакет акций руководить деятельностью дочерних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предприятий. Активы холдинговой компании практически полностью представлены акциями другого юридического лица или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лиц. Контроль за деятельностью участников холдинга осуществляется через механизмы корпоративных (акционерных) полномочий. Как правило, холдинговые компании представлены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 руководстве своих дочерних компаний, чаще всего в составе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совета директоров и ревизионной комиссии.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Понятия «холдинг» и «холдинговая компания» не являются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синонимами, поскольку холдингом называют группу юридических лиц, а холдинговой компанией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основное по отношению к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участникам холдинга общество. Холдинговую компанию следует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отличать от инвестиционной, так как последняя вкладывает средства в приобретение акций (долей) других обществ с целью извлечения прибыли, а холдинговая компания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с целью получения контроля над их деятельностью. Основным преимуществом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образования холдингов является распределение коммерческих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рисков, а также возможность продажи бизнеса по частям, поскольку дочерние компании остаются самостоятельными юридическими лицами.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 большому счету, если компания планирует территориально и (или) функционально расширить свою деятельность, она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может пойти двумя путями: создать филиальную сеть или образовать холдинг. Но если по обязательствам филиалов и представительств головная организация несет полную ответственность,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то в составе дочерних и зависимых компаний ее имущество в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определенном смысле «скрыто», поскольку эти компании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участники холдинга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автономные организации и практически во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всех случаях самостоятельно отвечают по своим долгам.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 xml:space="preserve">Итак, холдинговая компания </w:t>
      </w:r>
      <w:r w:rsidR="0001309B" w:rsidRPr="00E24A99">
        <w:rPr>
          <w:sz w:val="28"/>
          <w:szCs w:val="28"/>
        </w:rPr>
        <w:t>-</w:t>
      </w:r>
      <w:r w:rsidRPr="00E24A99">
        <w:rPr>
          <w:sz w:val="28"/>
          <w:szCs w:val="28"/>
        </w:rPr>
        <w:t xml:space="preserve"> это юридическое лицо, основной деятельностью которого является владение акциями, обычно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контрольным пакетом, другой компании (или компаний) и управление этими компаниями. Например, в США и Англии контрольным пакетом считается 80% акций. В нашем законодательстве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легального определения контрольного пакета нет.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Конечно, реальный объем прав акционера зависит от величины принадлежащего ему пакета акций. Безусловно, несопоставимо влияние на деятельность общества владельца более 50% акций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 возможностями других его участников. Такое лицо может проводить через общее собрание акционеров нужные ему решения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по всем вопросам, не требующим квалифицированного большинства голосов. Им в значительной степени определяется состав формируемых органов управления общества (совета директоров, исполнительных органов). Серьезную роль в обществе также играет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держатель блокирующего пакета акций, т.е. свыше 25%. От этого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акционера зависит непринятие (блокирование) решений, требующих квалифицированного большинства в 3/4 голосов, которые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касаются наиболее важных вопросов деятельности общества (например, реорганизации, изменения устава, совершения крупной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сделки). Помимо прочего, ряд особых прав принадлежит владельцам рубежных пакетов акций, в частности 10% голосующих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акций дают владельцу (владельцам) право требовать созыва внеочередного общего собрания акционеров и проведения аудиторской проверки.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Поначалу наше законодательство определяло контрольный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пакет акций как 50% и одна голосующая акция. Позднее контрольным пакетом стала считаться любая форма участия в капитале предприятия, которая обеспечивает безусловное право принятия или отклонения определенных решений на общем собрании участников (акционеров) и в органах управления, в том числе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наличие права «золотой акции».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Современное законодательство совершенно справедливо не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оперирует понятием контрольного пакета, а говорит лишь о преобладающем участии в уставном капитале организации. Дело в том,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что у акционерных обществ есть возможность выпускать не только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обыкновенные, но и привилегированные акции. По общему правилу, владельцы привилегированных акций не имеют права голоса по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вопросам повестки дня общего собрания акционеров, за исключением голосования по вопросам реорганизации и ликвидации общества. Максимальное количество привилегированных акций может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составлять 25% уставного капитала общества. В таком случае контрольный пакет должен рассчитываться не от общего количества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размещенных акций общества, а от количества его голосующих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акций. Кроме того, количество голосов, необходимых для принятия положительного решения, рассчитывается не от общего числа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голосующих акций, а от акций, владельцы которых присутствуют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на собрании, при условии наличия кворума.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В связи с тем, что выпуск привилегированных акций является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правом, а не обязанностью акционерного общества, соотношение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обыкновенных (голосующих) и привилегированных акций в каждом случае будет различным. Также необходимо помнить, что в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качестве своеобразного наказания за невыплату обществом дивидендов закон превращает привилегированные акции в голосующие по всем вопросам повестки дня общего собрания акционеров.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Следовательно, рассчитать «контрольный пакет» акций можно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только применительно к данному акционерному обществу и конкретному вопросу повестки дня. Поэтому контрольным пакетом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может быть любое количество акций, которое позволяет акционеру определять решения общего собрания.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Современное законодательство связывает возможность влияния на деятельность организации не только с преобладающим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участием в уставном капитале, но и заключением договора, а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также с иными обстоятельствами. Договором, в силу которого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одна организация подчиняется другой, можно считать лицензионный договор, доверительное е</w:t>
      </w:r>
      <w:r w:rsidR="0001309B" w:rsidRPr="00E24A99">
        <w:rPr>
          <w:sz w:val="28"/>
          <w:szCs w:val="28"/>
        </w:rPr>
        <w:t>е</w:t>
      </w:r>
      <w:r w:rsidRPr="00E24A99">
        <w:rPr>
          <w:sz w:val="28"/>
          <w:szCs w:val="28"/>
        </w:rPr>
        <w:t xml:space="preserve"> управление, ипотеку, соглашение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о совместной деятельности (простое товарищество). По предложению совета директоров общее собрание акционеров может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принять решение о передаче полномочий единоличного исполнительного органа коммерческой организации (управляющей компании) или индивидуальному предпринимателю (управляющему). Договор хозяйственного общества с управляющей компанией не содержит элементов подчинения, так как управляющая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компания подотчетна общему собранию акционеров и совету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директоров. Деятельность управляющей компании хозяйственного общества заключается в непосредственной реализации функций юридического лица, а не в руководстве им извне.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Что же касается иных обстоятельств, то это может быть простое указание в уставе дочернего общества на обязательность для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него решений основного общества, специальная договоренность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акционеров между собой о единой позиции в процессе голосования на общем собрании. Встречаются также случаи, когда акционер (несколько акционеров), не обладая значительным участием в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уставном капитале компании, имеет в силу каких-то причин большинство своих лиц в совете директоров общества</w:t>
      </w:r>
      <w:r w:rsidR="00885CF5" w:rsidRPr="00E24A99">
        <w:rPr>
          <w:sz w:val="28"/>
          <w:szCs w:val="28"/>
        </w:rPr>
        <w:t>.</w:t>
      </w:r>
    </w:p>
    <w:p w:rsidR="004C1286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Активы крупных холдингов, как правило, условно делятся на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две части. Профильные активы почти всегда оформлены как «компании одного лица» либо имеют «контрольный пакет» голосов. Непрофильные активы оформлены компаниями с небольшим процентом участия головной (материнской) фирмы. Подобная диверсификация бизнеса создает стабильность для холдинга, позволяет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ему не зависеть от ситуации в определенном сегменте рынка</w:t>
      </w:r>
      <w:r w:rsidR="00885CF5" w:rsidRPr="00E24A99">
        <w:rPr>
          <w:sz w:val="28"/>
          <w:szCs w:val="28"/>
        </w:rPr>
        <w:t>.</w:t>
      </w:r>
    </w:p>
    <w:p w:rsidR="00746C23" w:rsidRPr="00E24A99" w:rsidRDefault="004C1286" w:rsidP="000130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A99">
        <w:rPr>
          <w:sz w:val="28"/>
          <w:szCs w:val="28"/>
        </w:rPr>
        <w:t>Дочерние «компании одного лица» в целом не соответствуют</w:t>
      </w:r>
      <w:r w:rsidR="0001309B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 xml:space="preserve">природе отношений хозяйственных обществ, в основе которых </w:t>
      </w:r>
      <w:r w:rsidR="0001309B" w:rsidRPr="00E24A99">
        <w:rPr>
          <w:sz w:val="28"/>
          <w:szCs w:val="28"/>
        </w:rPr>
        <w:t xml:space="preserve">- </w:t>
      </w:r>
      <w:r w:rsidRPr="00E24A99">
        <w:rPr>
          <w:sz w:val="28"/>
          <w:szCs w:val="28"/>
        </w:rPr>
        <w:t>объединение капиталов разных лиц. Даже по своему буквальному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смыслу «общество» подразумевает «группу лиц». Тем не менее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создание компаний одного лица разрешается нашим законодательством, а их появление в холдингах можно объяснить стремлением обособить имущество дочерних обществ от имущества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головной организации, а также ограничить ответственность головной организации за результаты хозяйственной деятельности</w:t>
      </w:r>
      <w:r w:rsidR="00CF780C" w:rsidRPr="00E24A99">
        <w:rPr>
          <w:sz w:val="28"/>
          <w:szCs w:val="28"/>
        </w:rPr>
        <w:t xml:space="preserve"> </w:t>
      </w:r>
      <w:r w:rsidRPr="00E24A99">
        <w:rPr>
          <w:sz w:val="28"/>
          <w:szCs w:val="28"/>
        </w:rPr>
        <w:t>дочерних обществ вкладом в их уставный капитал.</w:t>
      </w:r>
      <w:bookmarkStart w:id="0" w:name="_GoBack"/>
      <w:bookmarkEnd w:id="0"/>
    </w:p>
    <w:sectPr w:rsidR="00746C23" w:rsidRPr="00E24A99" w:rsidSect="00B01A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0603C"/>
    <w:multiLevelType w:val="hybridMultilevel"/>
    <w:tmpl w:val="86A6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286"/>
    <w:rsid w:val="0001309B"/>
    <w:rsid w:val="00171B90"/>
    <w:rsid w:val="00297B15"/>
    <w:rsid w:val="003B1F83"/>
    <w:rsid w:val="00473C0E"/>
    <w:rsid w:val="004C1286"/>
    <w:rsid w:val="004C5471"/>
    <w:rsid w:val="005B4BB9"/>
    <w:rsid w:val="00746C23"/>
    <w:rsid w:val="0079115F"/>
    <w:rsid w:val="007E5F3B"/>
    <w:rsid w:val="00885CF5"/>
    <w:rsid w:val="00934441"/>
    <w:rsid w:val="009E538C"/>
    <w:rsid w:val="00B01A2B"/>
    <w:rsid w:val="00CF780C"/>
    <w:rsid w:val="00E16364"/>
    <w:rsid w:val="00E24A99"/>
    <w:rsid w:val="00F0363A"/>
    <w:rsid w:val="00F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82EF6D-AA36-41D1-A215-C667F6A4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Финансово-промышленные</vt:lpstr>
    </vt:vector>
  </TitlesOfParts>
  <Company>Организация</Company>
  <LinksUpToDate>false</LinksUpToDate>
  <CharactersWithSpaces>28784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Финансово-промышленные</dc:title>
  <dc:subject/>
  <dc:creator>FuckYouBill</dc:creator>
  <cp:keywords/>
  <dc:description/>
  <cp:lastModifiedBy>admin</cp:lastModifiedBy>
  <cp:revision>2</cp:revision>
  <dcterms:created xsi:type="dcterms:W3CDTF">2014-03-13T00:31:00Z</dcterms:created>
  <dcterms:modified xsi:type="dcterms:W3CDTF">2014-03-13T00:31:00Z</dcterms:modified>
</cp:coreProperties>
</file>