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1F" w:rsidRDefault="00CE0B1F">
      <w:pPr>
        <w:pStyle w:val="FR2"/>
        <w:spacing w:before="0" w:line="360" w:lineRule="auto"/>
      </w:pPr>
      <w:r>
        <w:t>МИНИСТЕРСТВО ОБЩЕГО И ПРОФЕССИОНАЛЬНОГО ОБРАЗОВАНИЯ РОССИЙСКОЙ ФЕДЕРАЦИИ</w:t>
      </w:r>
    </w:p>
    <w:p w:rsidR="00CE0B1F" w:rsidRDefault="00CE0B1F">
      <w:pPr>
        <w:pStyle w:val="FR2"/>
        <w:spacing w:before="300" w:line="360" w:lineRule="auto"/>
      </w:pPr>
      <w:r>
        <w:t>САМАРСКАЯ ГОСУДАРСТВЕННАЯ ЭКОНОМИЧЕСКАЯ АКАДЕМИЯ</w:t>
      </w:r>
    </w:p>
    <w:p w:rsidR="00CE0B1F" w:rsidRDefault="00CE0B1F">
      <w:pPr>
        <w:pStyle w:val="FR2"/>
        <w:spacing w:before="320" w:line="360" w:lineRule="auto"/>
        <w:ind w:left="120" w:right="1400"/>
      </w:pPr>
      <w:r>
        <w:t>ПРЕЗИДЕНТСКАЯ ПРОГРАММА ПЕРЕПОДГОТОВКИ УПРАВЛЕНЧЕСКИХ КАДРОВ</w:t>
      </w:r>
    </w:p>
    <w:p w:rsidR="00CE0B1F" w:rsidRDefault="00CE0B1F">
      <w:pPr>
        <w:pStyle w:val="FR2"/>
        <w:spacing w:line="360" w:lineRule="auto"/>
      </w:pPr>
      <w:r>
        <w:t>КОНТРОЛЬНАЯ РАБОТА по «Финансовому менеджменту» «Финансовые аспекты анализа инвестиционных проектов.»</w:t>
      </w:r>
    </w:p>
    <w:p w:rsidR="00CE0B1F" w:rsidRDefault="00CE0B1F">
      <w:pPr>
        <w:pStyle w:val="FR2"/>
        <w:spacing w:before="1420" w:line="360" w:lineRule="auto"/>
        <w:ind w:left="5560" w:right="0"/>
        <w:jc w:val="left"/>
      </w:pPr>
      <w:r>
        <w:t>ВЫПОЛНИЛ:</w:t>
      </w:r>
    </w:p>
    <w:p w:rsidR="00CE0B1F" w:rsidRDefault="00CE0B1F">
      <w:pPr>
        <w:pStyle w:val="FR2"/>
        <w:spacing w:before="0" w:line="360" w:lineRule="auto"/>
        <w:ind w:left="5560" w:right="0"/>
        <w:jc w:val="left"/>
      </w:pPr>
      <w:r>
        <w:t>Воропаев С.В.</w:t>
      </w:r>
      <w:r>
        <w:rPr>
          <w:b w:val="0"/>
          <w:bCs w:val="0"/>
        </w:rPr>
        <w:t xml:space="preserve"> и Гусаков Ю.В. </w:t>
      </w:r>
      <w:r>
        <w:t>ПРИНЯЛ:</w:t>
      </w:r>
      <w:r>
        <w:rPr>
          <w:b w:val="0"/>
          <w:bCs w:val="0"/>
        </w:rPr>
        <w:t xml:space="preserve">  К.Э.Н.</w:t>
      </w:r>
    </w:p>
    <w:p w:rsidR="00CE0B1F" w:rsidRDefault="00CE0B1F">
      <w:pPr>
        <w:pStyle w:val="FR1"/>
        <w:spacing w:line="360" w:lineRule="auto"/>
      </w:pPr>
      <w:r>
        <w:t>Сангинова Л.Д.</w:t>
      </w:r>
    </w:p>
    <w:p w:rsidR="00CE0B1F" w:rsidRDefault="00CE0B1F">
      <w:pPr>
        <w:pStyle w:val="FR2"/>
        <w:spacing w:before="3640" w:line="360" w:lineRule="auto"/>
        <w:ind w:left="3080" w:right="0"/>
        <w:jc w:val="left"/>
      </w:pPr>
      <w:r>
        <w:t>САМАРА 2000 г.</w:t>
      </w:r>
    </w:p>
    <w:p w:rsidR="00CE0B1F" w:rsidRDefault="00CE0B1F">
      <w:pPr>
        <w:pStyle w:val="FR2"/>
        <w:spacing w:before="3640" w:line="360" w:lineRule="auto"/>
        <w:ind w:left="3080" w:right="0"/>
        <w:jc w:val="left"/>
        <w:sectPr w:rsidR="00CE0B1F">
          <w:type w:val="continuous"/>
          <w:pgSz w:w="11900" w:h="16820"/>
          <w:pgMar w:top="1440" w:right="900" w:bottom="720" w:left="900" w:header="720" w:footer="720" w:gutter="0"/>
          <w:cols w:space="60"/>
          <w:noEndnote/>
        </w:sectPr>
      </w:pPr>
    </w:p>
    <w:p w:rsidR="00CE0B1F" w:rsidRDefault="00CE0B1F">
      <w:pPr>
        <w:spacing w:line="360" w:lineRule="auto"/>
        <w:ind w:firstLine="680"/>
      </w:pPr>
      <w:r>
        <w:t>Инвестиции - это процесс использования совокупных материальных и финансовых ресурсов, направляемых на увеличение капитала, расширение, модернизацию и техническое перевооружение производства.</w:t>
      </w:r>
    </w:p>
    <w:p w:rsidR="00CE0B1F" w:rsidRDefault="00CE0B1F">
      <w:pPr>
        <w:spacing w:line="360" w:lineRule="auto"/>
        <w:ind w:firstLine="720"/>
      </w:pPr>
      <w:r>
        <w:t>Чем протяженнее во времени проект, тем более неопределенными и рискованными становятся притоки денежных средств последних лет его реализации.</w:t>
      </w:r>
    </w:p>
    <w:p w:rsidR="00CE0B1F" w:rsidRDefault="00CE0B1F">
      <w:pPr>
        <w:spacing w:before="180" w:line="360" w:lineRule="auto"/>
        <w:jc w:val="center"/>
      </w:pPr>
      <w:r>
        <w:t>Основными аспектами анализа инвестиционных проектов являются:</w:t>
      </w:r>
    </w:p>
    <w:p w:rsidR="00CE0B1F" w:rsidRDefault="00CE0B1F">
      <w:pPr>
        <w:spacing w:before="180" w:line="360" w:lineRule="auto"/>
        <w:jc w:val="left"/>
      </w:pPr>
      <w:r>
        <w:t>1. чистый приведенный эффект (</w:t>
      </w:r>
      <w:r>
        <w:rPr>
          <w:lang w:val="en-US"/>
        </w:rPr>
        <w:t>Net</w:t>
      </w:r>
      <w:r>
        <w:t xml:space="preserve">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Value</w:t>
      </w:r>
      <w:r>
        <w:t xml:space="preserve">, </w:t>
      </w:r>
      <w:r>
        <w:rPr>
          <w:lang w:val="en-US"/>
        </w:rPr>
        <w:t>NPV</w:t>
      </w:r>
      <w:r>
        <w:t>);</w:t>
      </w:r>
    </w:p>
    <w:p w:rsidR="00CE0B1F" w:rsidRDefault="00CE0B1F">
      <w:pPr>
        <w:spacing w:before="180" w:line="360" w:lineRule="auto"/>
        <w:jc w:val="left"/>
      </w:pPr>
      <w:r>
        <w:t>2. индекс рентабельности инвестиций (</w:t>
      </w:r>
      <w:r>
        <w:rPr>
          <w:lang w:val="en-US"/>
        </w:rPr>
        <w:t>Profitability</w:t>
      </w:r>
      <w:r>
        <w:t xml:space="preserve"> </w:t>
      </w:r>
      <w:r>
        <w:rPr>
          <w:lang w:val="en-US"/>
        </w:rPr>
        <w:t>Index</w:t>
      </w:r>
      <w:r>
        <w:t xml:space="preserve">, </w:t>
      </w:r>
      <w:r>
        <w:rPr>
          <w:lang w:val="en-US"/>
        </w:rPr>
        <w:t>PI</w:t>
      </w:r>
      <w:r>
        <w:t>);</w:t>
      </w:r>
    </w:p>
    <w:p w:rsidR="00CE0B1F" w:rsidRDefault="00CE0B1F">
      <w:pPr>
        <w:spacing w:before="180" w:line="360" w:lineRule="auto"/>
        <w:jc w:val="left"/>
        <w:rPr>
          <w:lang w:val="en-US"/>
        </w:rPr>
      </w:pPr>
      <w:r>
        <w:rPr>
          <w:lang w:val="en-US"/>
        </w:rPr>
        <w:t xml:space="preserve">3. </w:t>
      </w:r>
      <w:r>
        <w:t>внутренняя</w:t>
      </w:r>
      <w:r>
        <w:rPr>
          <w:lang w:val="en-US"/>
        </w:rPr>
        <w:t xml:space="preserve"> </w:t>
      </w:r>
      <w:r>
        <w:t>норма</w:t>
      </w:r>
      <w:r>
        <w:rPr>
          <w:lang w:val="en-US"/>
        </w:rPr>
        <w:t xml:space="preserve"> </w:t>
      </w:r>
      <w:r>
        <w:t>прибыли</w:t>
      </w:r>
      <w:r>
        <w:rPr>
          <w:lang w:val="en-US"/>
        </w:rPr>
        <w:t xml:space="preserve"> (Internal Rate of Return, IRR);</w:t>
      </w:r>
    </w:p>
    <w:p w:rsidR="00CE0B1F" w:rsidRDefault="00CE0B1F">
      <w:pPr>
        <w:spacing w:line="360" w:lineRule="auto"/>
        <w:jc w:val="left"/>
      </w:pPr>
      <w:r>
        <w:rPr>
          <w:lang w:val="en-US"/>
        </w:rPr>
        <w:t xml:space="preserve">4. </w:t>
      </w:r>
      <w:r>
        <w:t>модифицированная</w:t>
      </w:r>
      <w:r>
        <w:rPr>
          <w:lang w:val="en-US"/>
        </w:rPr>
        <w:t xml:space="preserve"> </w:t>
      </w:r>
      <w:r>
        <w:t>внутренняя</w:t>
      </w:r>
      <w:r>
        <w:rPr>
          <w:lang w:val="en-US"/>
        </w:rPr>
        <w:t xml:space="preserve"> </w:t>
      </w:r>
      <w:r>
        <w:t>норма</w:t>
      </w:r>
      <w:r>
        <w:rPr>
          <w:lang w:val="en-US"/>
        </w:rPr>
        <w:t xml:space="preserve"> </w:t>
      </w:r>
      <w:r>
        <w:t>прибыли</w:t>
      </w:r>
      <w:r>
        <w:rPr>
          <w:lang w:val="en-US"/>
        </w:rPr>
        <w:t xml:space="preserve"> (Modified International Rate of Return, MIRR);</w:t>
      </w:r>
    </w:p>
    <w:p w:rsidR="00CE0B1F" w:rsidRDefault="00CE0B1F">
      <w:pPr>
        <w:spacing w:before="160" w:line="360" w:lineRule="auto"/>
        <w:jc w:val="left"/>
      </w:pPr>
      <w:r>
        <w:t>5. срок окупаемости инвестиций (</w:t>
      </w:r>
      <w:r>
        <w:rPr>
          <w:lang w:val="en-US"/>
        </w:rPr>
        <w:t>Payback</w:t>
      </w:r>
      <w:r>
        <w:t xml:space="preserve"> </w:t>
      </w:r>
      <w:r>
        <w:rPr>
          <w:lang w:val="en-US"/>
        </w:rPr>
        <w:t>Period</w:t>
      </w:r>
      <w:r>
        <w:t xml:space="preserve">, </w:t>
      </w:r>
      <w:r>
        <w:rPr>
          <w:lang w:val="en-US"/>
        </w:rPr>
        <w:t>PP</w:t>
      </w:r>
      <w:r>
        <w:t>);</w:t>
      </w:r>
    </w:p>
    <w:p w:rsidR="00CE0B1F" w:rsidRDefault="00CE0B1F">
      <w:pPr>
        <w:spacing w:line="360" w:lineRule="auto"/>
        <w:jc w:val="left"/>
      </w:pPr>
      <w:r>
        <w:rPr>
          <w:lang w:val="en-US"/>
        </w:rPr>
        <w:t xml:space="preserve">6. </w:t>
      </w:r>
      <w:r>
        <w:t>расчетная</w:t>
      </w:r>
      <w:r>
        <w:rPr>
          <w:lang w:val="en-US"/>
        </w:rPr>
        <w:t xml:space="preserve"> </w:t>
      </w:r>
      <w:r>
        <w:t>норма</w:t>
      </w:r>
      <w:r>
        <w:rPr>
          <w:lang w:val="en-US"/>
        </w:rPr>
        <w:t xml:space="preserve"> </w:t>
      </w:r>
      <w:r>
        <w:t>прибыли</w:t>
      </w:r>
      <w:r>
        <w:rPr>
          <w:lang w:val="en-US"/>
        </w:rPr>
        <w:t xml:space="preserve"> (Accounting Rate of Return, ARR). </w:t>
      </w:r>
      <w:r>
        <w:t xml:space="preserve">Критерий </w:t>
      </w:r>
      <w:r>
        <w:rPr>
          <w:lang w:val="en-US"/>
        </w:rPr>
        <w:t>NPV</w:t>
      </w:r>
      <w:r>
        <w:t>:</w:t>
      </w:r>
    </w:p>
    <w:p w:rsidR="00CE0B1F" w:rsidRDefault="00CE0B1F">
      <w:pPr>
        <w:spacing w:line="360" w:lineRule="auto"/>
        <w:jc w:val="left"/>
      </w:pPr>
      <w:r>
        <w:t xml:space="preserve">- если </w:t>
      </w:r>
      <w:r>
        <w:rPr>
          <w:lang w:val="en-US"/>
        </w:rPr>
        <w:t>NPV</w:t>
      </w:r>
      <w:r>
        <w:t xml:space="preserve"> &lt; 0, то в случае принятия проекта владельцы компании понесут убыток;</w:t>
      </w:r>
    </w:p>
    <w:p w:rsidR="00CE0B1F" w:rsidRDefault="00CE0B1F">
      <w:pPr>
        <w:spacing w:line="360" w:lineRule="auto"/>
        <w:jc w:val="left"/>
      </w:pPr>
      <w:r>
        <w:t>- если NPV = 0, то в случае принятия проекта благосостояние владельцев компании не изменится, но в то же время объемы производства возрастут, т.е. компания увеличится в масштабах;</w:t>
      </w:r>
    </w:p>
    <w:p w:rsidR="00CE0B1F" w:rsidRDefault="00CE0B1F">
      <w:pPr>
        <w:pStyle w:val="a3"/>
      </w:pPr>
      <w:r>
        <w:t>- если NPV &gt; 0, то в случае принятия проекта благосостояние владельцев компании увеличится.</w:t>
      </w:r>
    </w:p>
    <w:p w:rsidR="00CE0B1F" w:rsidRDefault="00CE0B1F">
      <w:pPr>
        <w:spacing w:line="360" w:lineRule="auto"/>
      </w:pPr>
      <w:r>
        <w:t xml:space="preserve">Критерий </w:t>
      </w:r>
      <w:r>
        <w:rPr>
          <w:lang w:val="en-US"/>
        </w:rPr>
        <w:t>PI</w:t>
      </w:r>
      <w:r>
        <w:t xml:space="preserve"> характеризует доход на единицу затрат; именно этот критерий наиболее предпочтителен, когда необходимо упорядочить независимые проекты для создания оптимального портфеля в случае ограниченности общего объема инвестиций.</w:t>
      </w:r>
    </w:p>
    <w:p w:rsidR="00CE0B1F" w:rsidRDefault="00CE0B1F">
      <w:pPr>
        <w:spacing w:line="360" w:lineRule="auto"/>
      </w:pPr>
      <w:r>
        <w:t xml:space="preserve">Критерий IRR показывает максимальный уровень затрат, который может быть ассоциирован с данным проектом, т.е. если цена капитала, привлекаемого для финансирования проекта, больше </w:t>
      </w:r>
      <w:r>
        <w:rPr>
          <w:lang w:val="en-US"/>
        </w:rPr>
        <w:t>IRR</w:t>
      </w:r>
      <w:r>
        <w:t xml:space="preserve">, то проект может быть выполнен только в убыток, а следовательно, его надо отвергнуть. Критерий </w:t>
      </w:r>
      <w:r>
        <w:rPr>
          <w:lang w:val="en-US"/>
        </w:rPr>
        <w:t>MIRR</w:t>
      </w:r>
      <w:r>
        <w:t xml:space="preserve"> представляет собой коэффициент дисконтирования, уравнивающий приведенную стоимость оттоков денежных средств (инвестиций) и нарушенную величину притоков, при чем операции дисконтирования оттоков и ^наращения притоков выполняются с использованием   цены   капитала  проекта.   MIRR  характеризует эффективность проекта.</w:t>
      </w:r>
    </w:p>
    <w:p w:rsidR="00CE0B1F" w:rsidRDefault="00CE0B1F">
      <w:pPr>
        <w:spacing w:line="360" w:lineRule="auto"/>
      </w:pPr>
      <w:r>
        <w:t>Критерий РР показывает число базовых периодов, за которое исходная инвестиция будет полностью возмещена за счет генерируемых проектом притоков денежных средств. Если базовый период -- год, то чаще всего расчет идет по годам, однако можно выделять и дробную часть года, если абстрагироваться от исходного предположения, что приток денежных средств осуществляется в конце года.</w:t>
      </w:r>
    </w:p>
    <w:p w:rsidR="00CE0B1F" w:rsidRDefault="00CE0B1F">
      <w:pPr>
        <w:spacing w:line="360" w:lineRule="auto"/>
        <w:ind w:firstLine="720"/>
      </w:pPr>
      <w:r>
        <w:t xml:space="preserve">При анализе альтернативных проектов критерии </w:t>
      </w:r>
      <w:r>
        <w:rPr>
          <w:lang w:val="en-US"/>
        </w:rPr>
        <w:t>NPV</w:t>
      </w:r>
      <w:r>
        <w:t xml:space="preserve">, </w:t>
      </w:r>
      <w:r>
        <w:rPr>
          <w:lang w:val="en-US"/>
        </w:rPr>
        <w:t>PI</w:t>
      </w:r>
      <w:r>
        <w:t xml:space="preserve">, </w:t>
      </w:r>
      <w:r>
        <w:rPr>
          <w:lang w:val="en-US"/>
        </w:rPr>
        <w:t>IRR</w:t>
      </w:r>
      <w:r>
        <w:t xml:space="preserve">, </w:t>
      </w:r>
      <w:r>
        <w:rPr>
          <w:lang w:val="en-US"/>
        </w:rPr>
        <w:t>MIRR</w:t>
      </w:r>
      <w:r>
        <w:t xml:space="preserve"> могут противоречить друг другу, т.е. проект, принятый по одному критерию, может быть отвергнут по другому. Но критерий NPV предпочтительнее других, т.к. именно он характеризует возможный прирост благосостояния владельцев экономического субъекта.</w:t>
      </w:r>
    </w:p>
    <w:p w:rsidR="00CE0B1F" w:rsidRDefault="00CE0B1F">
      <w:pPr>
        <w:spacing w:line="360" w:lineRule="auto"/>
        <w:ind w:firstLine="720"/>
      </w:pPr>
      <w:r>
        <w:t xml:space="preserve">Основной недостаток критерия NPV в том, что это абсолютный показатель, а потому он не может дать информации о так называемом «резерве безопасности проекта». Информацию о «резерве безопасности проекта» дают критерии IRR и </w:t>
      </w:r>
      <w:r>
        <w:rPr>
          <w:lang w:val="en-US"/>
        </w:rPr>
        <w:t>PL</w:t>
      </w:r>
      <w:r>
        <w:t xml:space="preserve"> Так при прочих равных условиях, чем больше IRR по сравнению с ценой капитала проекта, тем больше «резерв безопасности проекта».</w:t>
      </w:r>
    </w:p>
    <w:p w:rsidR="00CE0B1F" w:rsidRDefault="00CE0B1F">
      <w:pPr>
        <w:spacing w:line="360" w:lineRule="auto"/>
        <w:ind w:firstLine="720"/>
      </w:pPr>
      <w:r>
        <w:t>Возможны и такие проекты, которые носят только затратный характер, т.е. не оказывают влияния на приток денежных средств; в этом случае применяются те же критерии, только по отношению к потоку, характеризующему затраты по годам.</w:t>
      </w:r>
    </w:p>
    <w:p w:rsidR="00CE0B1F" w:rsidRDefault="00CE0B1F">
      <w:r>
        <w:t>Для   сравнительного   анализа   проектов   различной продолжительности применяются методы:</w:t>
      </w:r>
    </w:p>
    <w:p w:rsidR="00CE0B1F" w:rsidRDefault="00CE0B1F">
      <w:pPr>
        <w:spacing w:before="180" w:line="360" w:lineRule="auto"/>
        <w:ind w:left="720"/>
        <w:jc w:val="left"/>
      </w:pPr>
      <w:r>
        <w:t>а) метод наименьшего общего кратного;</w:t>
      </w:r>
    </w:p>
    <w:p w:rsidR="00CE0B1F" w:rsidRDefault="00CE0B1F">
      <w:pPr>
        <w:spacing w:before="180" w:line="360" w:lineRule="auto"/>
        <w:ind w:left="720"/>
        <w:jc w:val="left"/>
      </w:pPr>
      <w:r>
        <w:t>б) метод бесконечного повторения сравнивания проектов;</w:t>
      </w:r>
    </w:p>
    <w:p w:rsidR="00CE0B1F" w:rsidRDefault="00CE0B1F">
      <w:pPr>
        <w:spacing w:before="180" w:line="360" w:lineRule="auto"/>
        <w:ind w:left="720"/>
        <w:jc w:val="left"/>
      </w:pPr>
      <w:r>
        <w:t>в) метод эквивалентного аннуитет.</w:t>
      </w:r>
    </w:p>
    <w:p w:rsidR="00CE0B1F" w:rsidRDefault="00CE0B1F">
      <w:pPr>
        <w:spacing w:before="180" w:line="360" w:lineRule="auto"/>
      </w:pPr>
      <w:r>
        <w:t>В условиях инфляции корректируется либо прогнозный денежный поток, либо коэффициент дисконтирования.</w:t>
      </w:r>
    </w:p>
    <w:p w:rsidR="00CE0B1F" w:rsidRDefault="00CE0B1F">
      <w:pPr>
        <w:spacing w:before="180" w:line="360" w:lineRule="auto"/>
      </w:pPr>
      <w:r>
        <w:t>Анализ инвестиционных проектов в условиях риска выполняется одним из</w:t>
      </w:r>
    </w:p>
    <w:p w:rsidR="00CE0B1F" w:rsidRDefault="00CE0B1F">
      <w:pPr>
        <w:spacing w:before="180" w:line="360" w:lineRule="auto"/>
        <w:jc w:val="left"/>
      </w:pPr>
      <w:r>
        <w:t>двух методов:</w:t>
      </w:r>
    </w:p>
    <w:p w:rsidR="00CE0B1F" w:rsidRDefault="00CE0B1F">
      <w:pPr>
        <w:spacing w:before="180" w:line="360" w:lineRule="auto"/>
        <w:jc w:val="left"/>
      </w:pPr>
      <w:r>
        <w:t>- методом безрискового эквивалента;</w:t>
      </w:r>
    </w:p>
    <w:p w:rsidR="00CE0B1F" w:rsidRDefault="00CE0B1F">
      <w:pPr>
        <w:spacing w:before="180" w:line="360" w:lineRule="auto"/>
        <w:jc w:val="left"/>
      </w:pPr>
      <w:r>
        <w:t>- методом скорректированного на риск коэффициента дисконтирования.</w:t>
      </w:r>
      <w:bookmarkStart w:id="0" w:name="_GoBack"/>
      <w:bookmarkEnd w:id="0"/>
    </w:p>
    <w:sectPr w:rsidR="00CE0B1F">
      <w:pgSz w:w="11900" w:h="16820"/>
      <w:pgMar w:top="1440" w:right="1360" w:bottom="720" w:left="1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04C"/>
    <w:rsid w:val="008B027F"/>
    <w:rsid w:val="00A8004C"/>
    <w:rsid w:val="00C03DB7"/>
    <w:rsid w:val="00C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B474-055A-4637-AE29-AF72414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/>
      <w:ind w:left="5680"/>
    </w:pPr>
    <w:rPr>
      <w:rFonts w:ascii="Arial" w:hAnsi="Arial" w:cs="Arial"/>
      <w:sz w:val="36"/>
      <w:szCs w:val="3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620" w:line="300" w:lineRule="auto"/>
      <w:ind w:right="1200"/>
      <w:jc w:val="center"/>
    </w:pPr>
    <w:rPr>
      <w:b/>
      <w:bCs/>
      <w:sz w:val="28"/>
      <w:szCs w:val="28"/>
    </w:rPr>
  </w:style>
  <w:style w:type="paragraph" w:styleId="a3">
    <w:name w:val="Body Text"/>
    <w:basedOn w:val="a"/>
    <w:semiHidden/>
    <w:pPr>
      <w:spacing w:before="160" w:line="36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Конторольная работа</vt:lpstr>
    </vt:vector>
  </TitlesOfParts>
  <Company>Pupkin And Sons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Конторольная работа</dc:title>
  <dc:subject/>
  <dc:creator>Игорь Спрыжков</dc:creator>
  <cp:keywords/>
  <dc:description>http://www.spryzhkov.ru</dc:description>
  <cp:lastModifiedBy>Irina</cp:lastModifiedBy>
  <cp:revision>2</cp:revision>
  <cp:lastPrinted>1899-12-31T21:00:00Z</cp:lastPrinted>
  <dcterms:created xsi:type="dcterms:W3CDTF">2014-08-05T12:45:00Z</dcterms:created>
  <dcterms:modified xsi:type="dcterms:W3CDTF">2014-08-05T12:45:00Z</dcterms:modified>
</cp:coreProperties>
</file>