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целях автоматизации процесса управления, повышения его оперативности управление ОАО «Кёниг-Ойл» приняло решение приобрести компьютеры и оргтехнику.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собрании акционеров было рассмотрено два источника финансирования данного приобретения:</w:t>
      </w:r>
    </w:p>
    <w:p w:rsidR="00CA36FA" w:rsidRDefault="00CA36FA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Компания приобретает имущество по договору финансовой аренды (лизинга)</w:t>
      </w:r>
    </w:p>
    <w:p w:rsidR="00CA36FA" w:rsidRDefault="00CA36FA">
      <w:pPr>
        <w:pStyle w:val="1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Приобретение этого же оборудования в собственность по договору купли-продажи, использую банковский кредит</w:t>
      </w:r>
    </w:p>
    <w:p w:rsidR="00CA36FA" w:rsidRDefault="00CA36FA">
      <w:pPr>
        <w:pStyle w:val="1"/>
        <w:spacing w:line="360" w:lineRule="auto"/>
        <w:ind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этой целью для определения разницы в потоках денежных средств при финансовой аренде оборудования (лизинге) и приобретении его в собственность, специалистами компании была построена модель, рассчитывающая потоки денежных средств лизингополучателя и покупателя оборудования.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лизингополучателя: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Доступность. Решение об осуществлении лизинго</w:t>
      </w:r>
      <w:r>
        <w:rPr>
          <w:rFonts w:ascii="Courier New" w:hAnsi="Courier New"/>
          <w:sz w:val="24"/>
        </w:rPr>
        <w:softHyphen/>
        <w:t>вой сделки основывается в большей мере на способнос</w:t>
      </w:r>
      <w:r>
        <w:rPr>
          <w:rFonts w:ascii="Courier New" w:hAnsi="Courier New"/>
          <w:sz w:val="24"/>
        </w:rPr>
        <w:softHyphen/>
        <w:t>ти лизингополучателя генерировать достаточную сумму денежных средств для выплаты лизинговых платежей, и в меньшей степени зависит от кредитной истории пред</w:t>
      </w:r>
      <w:r>
        <w:rPr>
          <w:rFonts w:ascii="Courier New" w:hAnsi="Courier New"/>
          <w:sz w:val="24"/>
        </w:rPr>
        <w:softHyphen/>
        <w:t>приятия. В развивающихся странах лизинг, возможно, является единственной формой средне- и долгосрочно</w:t>
      </w:r>
      <w:r>
        <w:rPr>
          <w:rFonts w:ascii="Courier New" w:hAnsi="Courier New"/>
          <w:sz w:val="24"/>
        </w:rPr>
        <w:softHyphen/>
        <w:t>го кредита для приобретения оборудования, в особен</w:t>
      </w:r>
      <w:r>
        <w:rPr>
          <w:rFonts w:ascii="Courier New" w:hAnsi="Courier New"/>
          <w:sz w:val="24"/>
        </w:rPr>
        <w:softHyphen/>
        <w:t>ности для новых, малых и средних предприятий.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Не требуется дополнительного обеспечения, по</w:t>
      </w:r>
      <w:r>
        <w:rPr>
          <w:rFonts w:ascii="Courier New" w:hAnsi="Courier New"/>
          <w:sz w:val="24"/>
        </w:rPr>
        <w:softHyphen/>
        <w:t>скольку собственность на актив сохраняется за лизин</w:t>
      </w:r>
      <w:r>
        <w:rPr>
          <w:rFonts w:ascii="Courier New" w:hAnsi="Courier New"/>
          <w:sz w:val="24"/>
        </w:rPr>
        <w:softHyphen/>
        <w:t>годателем. Для осуществления сделки не требуется до</w:t>
      </w:r>
      <w:r>
        <w:rPr>
          <w:rFonts w:ascii="Courier New" w:hAnsi="Courier New"/>
          <w:sz w:val="24"/>
        </w:rPr>
        <w:softHyphen/>
        <w:t>полнительного обеспечения (при эффективном меха</w:t>
      </w:r>
      <w:r>
        <w:rPr>
          <w:rFonts w:ascii="Courier New" w:hAnsi="Courier New"/>
          <w:sz w:val="24"/>
        </w:rPr>
        <w:softHyphen/>
        <w:t>низме возврата собственности).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Небольшие объемы лизинговых сделок. Для банка невыгодно заниматься небольшими сделками (напри</w:t>
      </w:r>
      <w:r>
        <w:rPr>
          <w:rFonts w:ascii="Courier New" w:hAnsi="Courier New"/>
          <w:sz w:val="24"/>
        </w:rPr>
        <w:softHyphen/>
        <w:t>мер, кредит в 5 000 долл. на поставку мини-пекарни) из-за дорогой стоимости оформления кредита, а ли</w:t>
      </w:r>
      <w:r>
        <w:rPr>
          <w:rFonts w:ascii="Courier New" w:hAnsi="Courier New"/>
          <w:sz w:val="24"/>
        </w:rPr>
        <w:softHyphen/>
        <w:t>зинговые компании занимаются такими сделками.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 Гибкий график арендных выплат в соответствии с производственными циклами и потоками наличности. Лизинговая компания при расчете лизинговых плате</w:t>
      </w:r>
      <w:r>
        <w:rPr>
          <w:rFonts w:ascii="Courier New" w:hAnsi="Courier New"/>
          <w:sz w:val="24"/>
        </w:rPr>
        <w:softHyphen/>
        <w:t>жей в обязательном порядке учитывает финансовое со</w:t>
      </w:r>
      <w:r>
        <w:rPr>
          <w:rFonts w:ascii="Courier New" w:hAnsi="Courier New"/>
          <w:sz w:val="24"/>
        </w:rPr>
        <w:softHyphen/>
        <w:t xml:space="preserve">стояние лизингополучателя. В случае если </w:t>
      </w:r>
      <w:r>
        <w:rPr>
          <w:rFonts w:ascii="Courier New" w:hAnsi="Courier New"/>
          <w:sz w:val="24"/>
        </w:rPr>
        <w:lastRenderedPageBreak/>
        <w:t>лизингополучатель является малым, или только что образован</w:t>
      </w:r>
      <w:r>
        <w:rPr>
          <w:rFonts w:ascii="Courier New" w:hAnsi="Courier New"/>
          <w:sz w:val="24"/>
        </w:rPr>
        <w:softHyphen/>
        <w:t>ным предприятием, либо для ввода оборудования в действие требуется длительное время, то стороны ли</w:t>
      </w:r>
      <w:r>
        <w:rPr>
          <w:rFonts w:ascii="Courier New" w:hAnsi="Courier New"/>
          <w:sz w:val="24"/>
        </w:rPr>
        <w:softHyphen/>
        <w:t>зинговой сделки, скорее всего, установят лизинговые платежи в увеличивающихся размерах. Т.е. величина отдельных платежей по лизинговому договору будет с течением времени увеличиваться, что позволит лизин</w:t>
      </w:r>
      <w:r>
        <w:rPr>
          <w:rFonts w:ascii="Courier New" w:hAnsi="Courier New"/>
          <w:sz w:val="24"/>
        </w:rPr>
        <w:softHyphen/>
        <w:t>гополучателю выполнять обязательства по выплате платежей, даже если приток денежных средств на на</w:t>
      </w:r>
      <w:r>
        <w:rPr>
          <w:rFonts w:ascii="Courier New" w:hAnsi="Courier New"/>
          <w:sz w:val="24"/>
        </w:rPr>
        <w:softHyphen/>
        <w:t>чальном этапе использования оборудования невелик.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5. Благоприятный налоговый режим — отнесение ли</w:t>
      </w:r>
      <w:r>
        <w:rPr>
          <w:rFonts w:ascii="Courier New" w:hAnsi="Courier New"/>
          <w:sz w:val="24"/>
        </w:rPr>
        <w:softHyphen/>
        <w:t>зинговых платежей в полном объеме на себестоимость продукции. Как следствие — меньший отток денежных средств, чем при приобретении основных средств в собственность.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center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Влияние благоприятного налогового режима на поток денежных средств</w:t>
      </w:r>
    </w:p>
    <w:p w:rsidR="00CA36FA" w:rsidRDefault="00CA36FA">
      <w:pPr>
        <w:pStyle w:val="1"/>
        <w:spacing w:line="360" w:lineRule="auto"/>
        <w:ind w:firstLine="720"/>
        <w:jc w:val="center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Механизм финансовой аренды более удобен для ли</w:t>
      </w:r>
      <w:r>
        <w:rPr>
          <w:rFonts w:ascii="Courier New" w:hAnsi="Courier New"/>
          <w:sz w:val="24"/>
        </w:rPr>
        <w:softHyphen/>
        <w:t>зингополучателя, чем приобретение товара напрямую у поставщика, так как таможенное оформление, уплата соответствующих налогов и сборов ложится на лизинго</w:t>
      </w:r>
      <w:r>
        <w:rPr>
          <w:rFonts w:ascii="Courier New" w:hAnsi="Courier New"/>
          <w:sz w:val="24"/>
        </w:rPr>
        <w:softHyphen/>
        <w:t>вую компанию. Кроме того, финансовая аренда выгодна и с материальной точки зрения, что можно подтвердить, рассчитав поток денежных средств одной и той же ком</w:t>
      </w:r>
      <w:r>
        <w:rPr>
          <w:rFonts w:ascii="Courier New" w:hAnsi="Courier New"/>
          <w:sz w:val="24"/>
        </w:rPr>
        <w:softHyphen/>
        <w:t xml:space="preserve">пании в двух случаях: </w:t>
      </w:r>
    </w:p>
    <w:p w:rsidR="00CA36FA" w:rsidRDefault="00CA36FA">
      <w:pPr>
        <w:pStyle w:val="1"/>
        <w:numPr>
          <w:ilvl w:val="0"/>
          <w:numId w:val="2"/>
        </w:numPr>
        <w:spacing w:line="360" w:lineRule="auto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компания приобретает имуще</w:t>
      </w:r>
      <w:r>
        <w:rPr>
          <w:rFonts w:ascii="Courier New" w:hAnsi="Courier New"/>
          <w:sz w:val="24"/>
        </w:rPr>
        <w:softHyphen/>
        <w:t xml:space="preserve">ство по договору финансовой аренды (лизинга), </w:t>
      </w:r>
    </w:p>
    <w:p w:rsidR="00CA36FA" w:rsidRDefault="00CA36FA">
      <w:pPr>
        <w:pStyle w:val="1"/>
        <w:spacing w:line="360" w:lineRule="auto"/>
        <w:ind w:left="7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2) та же самая компания приобретает то же оборудование в соб</w:t>
      </w:r>
      <w:r>
        <w:rPr>
          <w:rFonts w:ascii="Courier New" w:hAnsi="Courier New"/>
          <w:sz w:val="24"/>
        </w:rPr>
        <w:softHyphen/>
        <w:t>ственность по договору купли продажи, используя бан</w:t>
      </w:r>
      <w:r>
        <w:rPr>
          <w:rFonts w:ascii="Courier New" w:hAnsi="Courier New"/>
          <w:sz w:val="24"/>
        </w:rPr>
        <w:softHyphen/>
        <w:t>ковский кредит. Далее, для удобства, эту компанию бу</w:t>
      </w:r>
      <w:r>
        <w:rPr>
          <w:rFonts w:ascii="Courier New" w:hAnsi="Courier New"/>
          <w:sz w:val="24"/>
        </w:rPr>
        <w:softHyphen/>
        <w:t>дем именовать в одном случае "лизингополучателем", а во втором случае — "покупателем" оборудования.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определения разницы в потоках денежных средств при финансовой аренде оборудования и при</w:t>
      </w:r>
      <w:r>
        <w:rPr>
          <w:rFonts w:ascii="Courier New" w:hAnsi="Courier New"/>
          <w:sz w:val="24"/>
        </w:rPr>
        <w:softHyphen/>
        <w:t>обретения его в собственность, специалистами была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построена модель, рассчитывающая потоки денежных средств лизингополучателя и покупателя оборудования. Упрощенная схема данной модели представлена ниже.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Упрощенная схема расчета потока денежных средств компании — лизингополучателя. Балансодер</w:t>
      </w:r>
      <w:r>
        <w:rPr>
          <w:rFonts w:ascii="Courier New" w:hAnsi="Courier New"/>
          <w:sz w:val="24"/>
        </w:rPr>
        <w:softHyphen/>
        <w:t xml:space="preserve">жателем оборудования является лизинговая компания.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Уплачено лизинговых платежей (ЛП)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Экономия на налоге на прибыль ЭНП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Итого                        (ПДС)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Расчет потока денежных средств покупателя обо</w:t>
      </w:r>
      <w:r>
        <w:rPr>
          <w:rFonts w:ascii="Courier New" w:hAnsi="Courier New"/>
          <w:sz w:val="24"/>
        </w:rPr>
        <w:softHyphen/>
        <w:t>рудования, использующего заемные средства для при</w:t>
      </w:r>
      <w:r>
        <w:rPr>
          <w:rFonts w:ascii="Courier New" w:hAnsi="Courier New"/>
          <w:sz w:val="24"/>
        </w:rPr>
        <w:softHyphen/>
        <w:t xml:space="preserve">обретения основных средств в собственность.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Выплата кредита основная сумма долга  (ОСД)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Проценты                              (ПР)</w:t>
      </w:r>
    </w:p>
    <w:p w:rsidR="00CA36FA" w:rsidRDefault="00CA36FA">
      <w:pPr>
        <w:pStyle w:val="1"/>
        <w:spacing w:line="360" w:lineRule="auto"/>
        <w:ind w:left="1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Экономия на налоге на прибыль          ЭНП </w:t>
      </w:r>
    </w:p>
    <w:p w:rsidR="00CA36FA" w:rsidRDefault="00CA36FA">
      <w:pPr>
        <w:pStyle w:val="1"/>
        <w:spacing w:line="360" w:lineRule="auto"/>
        <w:ind w:left="1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Налог на имущество                     (НИ) </w:t>
      </w:r>
    </w:p>
    <w:p w:rsidR="00CA36FA" w:rsidRDefault="00CA36FA">
      <w:pPr>
        <w:pStyle w:val="1"/>
        <w:spacing w:line="360" w:lineRule="auto"/>
        <w:ind w:left="1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Таможенные платежи                     (ТП) </w:t>
      </w:r>
    </w:p>
    <w:p w:rsidR="00CA36FA" w:rsidRDefault="00CA36FA">
      <w:pPr>
        <w:pStyle w:val="1"/>
        <w:spacing w:line="360" w:lineRule="auto"/>
        <w:ind w:left="120" w:firstLine="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Итого                                 (ПДС)</w:t>
      </w:r>
    </w:p>
    <w:p w:rsidR="00CA36FA" w:rsidRDefault="00CA36FA">
      <w:pPr>
        <w:pStyle w:val="1"/>
        <w:spacing w:line="360" w:lineRule="auto"/>
        <w:ind w:left="120" w:firstLine="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before="100" w:line="360" w:lineRule="auto"/>
        <w:ind w:firstLine="720"/>
        <w:jc w:val="center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Результаты сравнения потоков денежных средств лизингополучателя а покупателя оборудования</w:t>
      </w:r>
    </w:p>
    <w:p w:rsidR="00CA36FA" w:rsidRDefault="00CA36FA">
      <w:pPr>
        <w:pStyle w:val="1"/>
        <w:spacing w:before="100"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Приведенные ниже результаты были получены из более сложной модели, в соответствии с которой рас</w:t>
      </w:r>
      <w:r>
        <w:rPr>
          <w:rFonts w:ascii="Courier New" w:hAnsi="Courier New"/>
          <w:sz w:val="24"/>
        </w:rPr>
        <w:softHyphen/>
        <w:t>считывался поток денежных средств по годам, и по</w:t>
      </w:r>
      <w:r>
        <w:rPr>
          <w:rFonts w:ascii="Courier New" w:hAnsi="Courier New"/>
          <w:sz w:val="24"/>
        </w:rPr>
        <w:softHyphen/>
        <w:t>том было произведено дисконтирование годовых по</w:t>
      </w:r>
      <w:r>
        <w:rPr>
          <w:rFonts w:ascii="Courier New" w:hAnsi="Courier New"/>
          <w:sz w:val="24"/>
        </w:rPr>
        <w:softHyphen/>
        <w:t>токов. Кроме того, во внимание принимался также факт уплаты и возмещения НДС.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Исходные данные для расчета были следующие: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Срок лизингового договора         3 года        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Стоимость оборудования            1 000 000 руб.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Ставка по банковскому кредиту,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полученному лизингодателем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приобретения основных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средств (в валюте)                 12%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Превышение процентной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ставки по лизинговому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договору над банковской ставкой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кредиту, полу</w:t>
      </w:r>
      <w:r>
        <w:rPr>
          <w:rFonts w:ascii="Courier New" w:hAnsi="Courier New"/>
          <w:sz w:val="24"/>
        </w:rPr>
        <w:softHyphen/>
        <w:t xml:space="preserve">ченному для 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приобретения основных средств      18%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Ставка налога на прибыль           35%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Ставка налога на имущество         2%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НДС                                20%, возмещается пол</w:t>
      </w:r>
      <w:r>
        <w:rPr>
          <w:rFonts w:ascii="Courier New" w:hAnsi="Courier New"/>
          <w:sz w:val="24"/>
        </w:rPr>
        <w:softHyphen/>
        <w:t>ностью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Ставка налогов с оборота           4%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Ставка амортизационных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отчислений                         10%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Коэффициент ускоренной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амортизации                        3</w:t>
      </w:r>
    </w:p>
    <w:p w:rsidR="00CA36FA" w:rsidRDefault="00CA36FA">
      <w:pPr>
        <w:pStyle w:val="1"/>
        <w:spacing w:line="360" w:lineRule="auto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Ставка дисконтирования             10% </w:t>
      </w:r>
    </w:p>
    <w:p w:rsidR="00CA36FA" w:rsidRDefault="00CA36FA">
      <w:pPr>
        <w:pStyle w:val="1"/>
        <w:spacing w:line="360" w:lineRule="auto"/>
        <w:jc w:val="left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Полученные результаты: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Дисконтированный поток денежных средств:</w:t>
      </w: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8.95pt;margin-top:5.35pt;width:108pt;height:21.6pt;z-index:251654144" o:allowincell="f" stroked="f">
            <v:textbox>
              <w:txbxContent>
                <w:p w:rsidR="00CA36FA" w:rsidRDefault="00CA36FA">
                  <w:r>
                    <w:t>Покупатель</w:t>
                  </w:r>
                </w:p>
              </w:txbxContent>
            </v:textbox>
          </v:shape>
        </w:pict>
      </w:r>
      <w:r>
        <w:rPr>
          <w:rFonts w:ascii="Courier New" w:hAnsi="Courier New"/>
          <w:noProof/>
          <w:snapToGrid/>
          <w:sz w:val="24"/>
        </w:rPr>
        <w:pict>
          <v:shape id="_x0000_s1028" type="#_x0000_t202" style="position:absolute;left:0;text-align:left;margin-left:109.35pt;margin-top:5.35pt;width:108pt;height:21.6pt;z-index:251653120" o:allowincell="f" stroked="f">
            <v:textbox>
              <w:txbxContent>
                <w:p w:rsidR="00CA36FA" w:rsidRDefault="00CA36FA">
                  <w:r>
                    <w:t>Лизингополучатель</w:t>
                  </w:r>
                </w:p>
              </w:txbxContent>
            </v:textbox>
          </v:shape>
        </w:pict>
      </w: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shape id="_x0000_s1034" type="#_x0000_t202" style="position:absolute;left:0;text-align:left;margin-left:66.15pt;margin-top:13.6pt;width:21.6pt;height:21.6pt;z-index:251657216" o:allowincell="f" stroked="f">
            <v:textbox>
              <w:txbxContent>
                <w:p w:rsidR="00CA36FA" w:rsidRDefault="00CA36FA">
                  <w:r>
                    <w:t>0</w:t>
                  </w:r>
                </w:p>
              </w:txbxContent>
            </v:textbox>
          </v:shape>
        </w:pict>
      </w: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rect id="_x0000_s1033" style="position:absolute;left:0;text-align:left;margin-left:260.55pt;margin-top:.55pt;width:1in;height:122.4pt;z-index:251656192" o:allowincell="f"/>
        </w:pict>
      </w:r>
      <w:r>
        <w:rPr>
          <w:rFonts w:ascii="Courier New" w:hAnsi="Courier New"/>
          <w:noProof/>
          <w:snapToGrid/>
          <w:sz w:val="24"/>
        </w:rPr>
        <w:pict>
          <v:rect id="_x0000_s1031" style="position:absolute;left:0;text-align:left;margin-left:130.95pt;margin-top:.55pt;width:79.2pt;height:86.4pt;z-index:251655168" o:allowincell="f"/>
        </w:pict>
      </w:r>
      <w:r>
        <w:rPr>
          <w:rFonts w:ascii="Courier New" w:hAnsi="Courier New"/>
          <w:noProof/>
          <w:snapToGrid/>
          <w:sz w:val="24"/>
        </w:rPr>
        <w:pict>
          <v:line id="_x0000_s1026" style="position:absolute;left:0;text-align:left;z-index:251651072" from="94.95pt,.55pt" to="94.95pt,166.15pt" o:allowincell="f"/>
        </w:pict>
      </w:r>
      <w:r>
        <w:rPr>
          <w:rFonts w:ascii="Courier New" w:hAnsi="Courier New"/>
          <w:noProof/>
          <w:snapToGrid/>
          <w:sz w:val="24"/>
        </w:rPr>
        <w:pict>
          <v:line id="_x0000_s1027" style="position:absolute;left:0;text-align:left;z-index:251652096" from="94.95pt,.55pt" to="346.95pt,.55pt" o:allowincell="f"/>
        </w:pict>
      </w: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shape id="_x0000_s1035" type="#_x0000_t202" style="position:absolute;left:0;text-align:left;margin-left:30.15pt;margin-top:16.15pt;width:57.6pt;height:21.6pt;z-index:251658240" o:allowincell="f" stroked="f">
            <v:textbox>
              <w:txbxContent>
                <w:p w:rsidR="00CA36FA" w:rsidRDefault="00CA36FA">
                  <w:r>
                    <w:t>(500000)</w:t>
                  </w:r>
                </w:p>
              </w:txbxContent>
            </v:textbox>
          </v:shape>
        </w:pic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line id="_x0000_s1041" style="position:absolute;left:0;text-align:left;z-index:251664384" from="94.95pt,12.6pt" to="94.95pt,12.6pt" o:allowincell="f"/>
        </w:pict>
      </w:r>
      <w:r>
        <w:rPr>
          <w:rFonts w:ascii="Courier New" w:hAnsi="Courier New"/>
          <w:noProof/>
          <w:snapToGrid/>
          <w:sz w:val="24"/>
        </w:rPr>
        <w:pict>
          <v:shape id="_x0000_s1037" type="#_x0000_t202" style="position:absolute;left:0;text-align:left;margin-left:138.15pt;margin-top:12.45pt;width:57.6pt;height:21.6pt;z-index:251660288" o:allowincell="f" stroked="f">
            <v:textbox>
              <w:txbxContent>
                <w:p w:rsidR="00CA36FA" w:rsidRDefault="00CA36FA">
                  <w:r>
                    <w:t>926491</w:t>
                  </w:r>
                </w:p>
              </w:txbxContent>
            </v:textbox>
          </v:shape>
        </w:pict>
      </w:r>
      <w:r>
        <w:rPr>
          <w:rFonts w:ascii="Courier New" w:hAnsi="Courier New"/>
          <w:noProof/>
          <w:snapToGrid/>
          <w:sz w:val="24"/>
        </w:rPr>
        <w:pict>
          <v:shape id="_x0000_s1036" type="#_x0000_t202" style="position:absolute;left:0;text-align:left;margin-left:22.95pt;margin-top:5.4pt;width:64.8pt;height:21.6pt;z-index:251659264" o:allowincell="f" stroked="f">
            <v:textbox>
              <w:txbxContent>
                <w:p w:rsidR="00CA36FA" w:rsidRDefault="00CA36FA">
                  <w:r>
                    <w:t>(10000000)</w:t>
                  </w:r>
                </w:p>
              </w:txbxContent>
            </v:textbox>
          </v:shape>
        </w:pic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shape id="_x0000_s1039" type="#_x0000_t202" style="position:absolute;left:0;text-align:left;margin-left:246.15pt;margin-top:7.95pt;width:1in;height:21.6pt;z-index:251662336" o:allowincell="f" stroked="f">
            <v:textbox>
              <w:txbxContent>
                <w:p w:rsidR="00CA36FA" w:rsidRDefault="00CA36FA">
                  <w:r>
                    <w:t>(1378973)</w:t>
                  </w:r>
                </w:p>
              </w:txbxContent>
            </v:textbox>
          </v:shape>
        </w:pict>
      </w:r>
    </w:p>
    <w:p w:rsidR="00CA36FA" w:rsidRDefault="00EA59E2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noProof/>
          <w:snapToGrid/>
          <w:sz w:val="24"/>
        </w:rPr>
        <w:pict>
          <v:line id="_x0000_s1040" style="position:absolute;left:0;text-align:left;z-index:251663360" from="94.95pt,9.05pt" to="94.95pt,9.05pt" o:allowincell="f"/>
        </w:pict>
      </w:r>
      <w:r>
        <w:rPr>
          <w:rFonts w:ascii="Courier New" w:hAnsi="Courier New"/>
          <w:noProof/>
          <w:snapToGrid/>
          <w:sz w:val="24"/>
        </w:rPr>
        <w:pict>
          <v:shape id="_x0000_s1038" type="#_x0000_t202" style="position:absolute;left:0;text-align:left;margin-left:22.95pt;margin-top:2pt;width:64.8pt;height:21.6pt;z-index:251661312" o:allowincell="f" stroked="f">
            <v:textbox>
              <w:txbxContent>
                <w:p w:rsidR="00CA36FA" w:rsidRDefault="00CA36FA">
                  <w:r>
                    <w:t>(1500000)</w:t>
                  </w:r>
                </w:p>
              </w:txbxContent>
            </v:textbox>
          </v:shape>
        </w:pic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 видно из приведенного графика, компания рас</w:t>
      </w:r>
      <w:r>
        <w:rPr>
          <w:rFonts w:ascii="Courier New" w:hAnsi="Courier New"/>
          <w:sz w:val="24"/>
        </w:rPr>
        <w:softHyphen/>
        <w:t>ходует на 450 000 дол. меньше в случае, если заключен договор финансового лизинга, по сравнению с приоб</w:t>
      </w:r>
      <w:r>
        <w:rPr>
          <w:rFonts w:ascii="Courier New" w:hAnsi="Courier New"/>
          <w:sz w:val="24"/>
        </w:rPr>
        <w:softHyphen/>
        <w:t>ретением оборудования в собственность, используя банковский займ!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Какие факторы оказывают такое значительное вли</w:t>
      </w:r>
      <w:r>
        <w:rPr>
          <w:rFonts w:ascii="Courier New" w:hAnsi="Courier New"/>
          <w:sz w:val="24"/>
        </w:rPr>
        <w:softHyphen/>
        <w:t xml:space="preserve">яние на потоки денежных средств двух компаний? В основном это — экономия на налоге на прибыль. </w:t>
      </w:r>
      <w:r>
        <w:rPr>
          <w:rFonts w:ascii="Courier New" w:hAnsi="Courier New"/>
          <w:i/>
          <w:sz w:val="24"/>
        </w:rPr>
        <w:t>Понятие "Экономия ни налоге на прибыль"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Включение определенных статей затрат в себесто</w:t>
      </w:r>
      <w:r>
        <w:rPr>
          <w:rFonts w:ascii="Courier New" w:hAnsi="Courier New"/>
          <w:sz w:val="24"/>
        </w:rPr>
        <w:softHyphen/>
        <w:t>имость уменьшает налогооблагаемую базу компании, и, как следствие, уменьшает величину налога на при</w:t>
      </w:r>
      <w:r>
        <w:rPr>
          <w:rFonts w:ascii="Courier New" w:hAnsi="Courier New"/>
          <w:sz w:val="24"/>
        </w:rPr>
        <w:softHyphen/>
        <w:t>быль, подлежащую уплате. Понятие "Экономия на налоге на прибыль" позволяет нам оценить, насколь-</w:t>
      </w:r>
      <w:r>
        <w:rPr>
          <w:rFonts w:ascii="Courier New" w:hAnsi="Courier New"/>
          <w:i/>
          <w:sz w:val="24"/>
        </w:rPr>
        <w:t>40</w:t>
      </w:r>
      <w:r>
        <w:rPr>
          <w:rFonts w:ascii="Courier New" w:hAnsi="Courier New"/>
          <w:sz w:val="24"/>
        </w:rPr>
        <w:t xml:space="preserve"> меньше величина налога к уплате у компании, вы</w:t>
      </w:r>
      <w:r>
        <w:rPr>
          <w:rFonts w:ascii="Courier New" w:hAnsi="Courier New"/>
          <w:sz w:val="24"/>
        </w:rPr>
        <w:softHyphen/>
        <w:t>читающей определенные затраты из налогооблагаемой прибыли, чем у компании, которая нс в состоянии принимать к вычету данные затраты. Математически экономия на налоге на прибыль рассчитывается пу</w:t>
      </w:r>
      <w:r>
        <w:rPr>
          <w:rFonts w:ascii="Courier New" w:hAnsi="Courier New"/>
          <w:sz w:val="24"/>
        </w:rPr>
        <w:softHyphen/>
        <w:t>тем умножения величины налоговых вычетов на вели</w:t>
      </w:r>
      <w:r>
        <w:rPr>
          <w:rFonts w:ascii="Courier New" w:hAnsi="Courier New"/>
          <w:sz w:val="24"/>
        </w:rPr>
        <w:softHyphen/>
        <w:t>чину налога на прибыль.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Следующий график демонстрирует, насколько вы</w:t>
      </w:r>
      <w:r>
        <w:rPr>
          <w:rFonts w:ascii="Courier New" w:hAnsi="Courier New"/>
          <w:sz w:val="24"/>
        </w:rPr>
        <w:softHyphen/>
        <w:t>годнее для компании включение лизинговых платежей в себестоимость в полном объеме, по сравнению с затратами в случае приобретения оборудования, ведь в последнем случае к вычетам до налогообложения компании относятся амортизационные отчисления без коэффициента ускорения и налог на имущество.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То, что вся сумма лизинговых платежей вычитается из налогооблагаемой прибыли, означает, что сумма налога на прибыль, которую уплачивает лизингополучатель меньше той, которую уплачивает покупатель оборудования на 413000 руб.!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pStyle w:val="1"/>
        <w:spacing w:line="360" w:lineRule="auto"/>
        <w:ind w:firstLine="720"/>
        <w:jc w:val="center"/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Сравнение параметров потоков денежных средств лизингодателя и покупателя.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Поскольку лизингодатель и покупатель оборудования оба являются собственниками оборудования, модель дает нам возможность сравнить их потоки денежных средств по нескольким параметрам: это разница в экономии на налоге на прибыль, и разница в налоге на имущество, которые возникают из-за применения лизингодателем ускоренной амортизации.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Применение ускоренной амортизации с коэффициентом 3 позволяет лизингодателю выплачивать налог на прибыль на 210000 меньше, чем покупателю оборудования.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Ускоренная амортизация также позволяет сокра</w:t>
      </w:r>
      <w:r>
        <w:rPr>
          <w:rFonts w:ascii="Courier New" w:hAnsi="Courier New"/>
          <w:sz w:val="24"/>
        </w:rPr>
        <w:softHyphen/>
        <w:t>щать выплаты по налогу на имущество: величина на</w:t>
      </w:r>
      <w:r>
        <w:rPr>
          <w:rFonts w:ascii="Courier New" w:hAnsi="Courier New"/>
          <w:sz w:val="24"/>
        </w:rPr>
        <w:softHyphen/>
        <w:t>лога на имущество, уплаченная лизингодателем в на</w:t>
      </w:r>
      <w:r>
        <w:rPr>
          <w:rFonts w:ascii="Courier New" w:hAnsi="Courier New"/>
          <w:sz w:val="24"/>
        </w:rPr>
        <w:softHyphen/>
        <w:t>шем примере в два раза меньше, чем уплаченная ком</w:t>
      </w:r>
      <w:r>
        <w:rPr>
          <w:rFonts w:ascii="Courier New" w:hAnsi="Courier New"/>
          <w:sz w:val="24"/>
        </w:rPr>
        <w:softHyphen/>
        <w:t>панией — покупателем оборудования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Итак, из анализа потоков денежных средств участни</w:t>
      </w:r>
      <w:r>
        <w:rPr>
          <w:rFonts w:ascii="Courier New" w:hAnsi="Courier New"/>
          <w:sz w:val="24"/>
        </w:rPr>
        <w:softHyphen/>
        <w:t>ков лизинговой сделки и покупателя оборудования оче</w:t>
      </w:r>
      <w:r>
        <w:rPr>
          <w:rFonts w:ascii="Courier New" w:hAnsi="Courier New"/>
          <w:sz w:val="24"/>
        </w:rPr>
        <w:softHyphen/>
        <w:t>видно, что финансовая аренда обладает значи</w:t>
      </w:r>
      <w:r>
        <w:rPr>
          <w:rFonts w:ascii="Courier New" w:hAnsi="Courier New"/>
          <w:sz w:val="24"/>
        </w:rPr>
        <w:softHyphen/>
        <w:t>тельными преимуществами, по сравнению с приобрете</w:t>
      </w:r>
      <w:r>
        <w:rPr>
          <w:rFonts w:ascii="Courier New" w:hAnsi="Courier New"/>
          <w:sz w:val="24"/>
        </w:rPr>
        <w:softHyphen/>
        <w:t>нием основных средств с использованием банковского займа. Поскольку финансовая аренда является эффектив</w:t>
      </w:r>
      <w:r>
        <w:rPr>
          <w:rFonts w:ascii="Courier New" w:hAnsi="Courier New"/>
          <w:sz w:val="24"/>
        </w:rPr>
        <w:softHyphen/>
        <w:t>ным механизмом приобретения основных средств, а, следовательно, и обновления материально-технической базы предприятий, крайне важно сохранить данные пре</w:t>
      </w:r>
      <w:r>
        <w:rPr>
          <w:rFonts w:ascii="Courier New" w:hAnsi="Courier New"/>
          <w:sz w:val="24"/>
        </w:rPr>
        <w:softHyphen/>
        <w:t>имущества и в будущем, в основном, конечно, возмож</w:t>
      </w:r>
      <w:r>
        <w:rPr>
          <w:rFonts w:ascii="Courier New" w:hAnsi="Courier New"/>
          <w:sz w:val="24"/>
        </w:rPr>
        <w:softHyphen/>
        <w:t>ность применения ускоренной амортизации.</w:t>
      </w:r>
    </w:p>
    <w:p w:rsidR="00CA36FA" w:rsidRDefault="00CA36FA">
      <w:pPr>
        <w:pStyle w:val="1"/>
        <w:spacing w:line="360" w:lineRule="auto"/>
        <w:ind w:firstLine="720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государство заинтересовано в развитии мало</w:t>
      </w:r>
      <w:r>
        <w:rPr>
          <w:rFonts w:ascii="Courier New" w:hAnsi="Courier New"/>
          <w:sz w:val="24"/>
        </w:rPr>
        <w:softHyphen/>
        <w:t>го и среднего предпринимательства, обновлении ос</w:t>
      </w:r>
      <w:r>
        <w:rPr>
          <w:rFonts w:ascii="Courier New" w:hAnsi="Courier New"/>
          <w:sz w:val="24"/>
        </w:rPr>
        <w:softHyphen/>
        <w:t>новных фондов производственных предприятий, то, по нашему мнению, необходимо рассмотреть вопрос о сохранении механизма ускоренной амортизации для лизингового имущества.</w:t>
      </w:r>
    </w:p>
    <w:p w:rsidR="00CA36FA" w:rsidRDefault="00CA36FA">
      <w:pPr>
        <w:pStyle w:val="1"/>
        <w:spacing w:before="440" w:line="360" w:lineRule="auto"/>
        <w:ind w:firstLine="720"/>
        <w:jc w:val="left"/>
        <w:rPr>
          <w:rFonts w:ascii="Courier New" w:hAnsi="Courier New"/>
          <w:sz w:val="24"/>
        </w:rPr>
      </w:pPr>
    </w:p>
    <w:p w:rsidR="00CA36FA" w:rsidRDefault="00CA36FA">
      <w:pPr>
        <w:spacing w:line="360" w:lineRule="auto"/>
        <w:ind w:firstLine="720"/>
        <w:rPr>
          <w:rFonts w:ascii="Courier New" w:hAnsi="Courier New"/>
          <w:sz w:val="24"/>
        </w:rPr>
      </w:pPr>
      <w:bookmarkStart w:id="0" w:name="_GoBack"/>
      <w:bookmarkEnd w:id="0"/>
    </w:p>
    <w:sectPr w:rsidR="00CA36FA">
      <w:headerReference w:type="even" r:id="rId7"/>
      <w:headerReference w:type="default" r:id="rId8"/>
      <w:type w:val="continuous"/>
      <w:pgSz w:w="11900" w:h="16820"/>
      <w:pgMar w:top="567" w:right="567" w:bottom="94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FA" w:rsidRDefault="00CA36FA">
      <w:r>
        <w:separator/>
      </w:r>
    </w:p>
  </w:endnote>
  <w:endnote w:type="continuationSeparator" w:id="0">
    <w:p w:rsidR="00CA36FA" w:rsidRDefault="00CA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FA" w:rsidRDefault="00CA36FA">
      <w:r>
        <w:separator/>
      </w:r>
    </w:p>
  </w:footnote>
  <w:footnote w:type="continuationSeparator" w:id="0">
    <w:p w:rsidR="00CA36FA" w:rsidRDefault="00CA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FA" w:rsidRDefault="00CA36FA">
    <w:pPr>
      <w:pStyle w:val="a3"/>
      <w:framePr w:wrap="around" w:vAnchor="text" w:hAnchor="margin" w:xAlign="right" w:y="1"/>
      <w:rPr>
        <w:rStyle w:val="a4"/>
      </w:rPr>
    </w:pPr>
  </w:p>
  <w:p w:rsidR="00CA36FA" w:rsidRDefault="00CA36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6FA" w:rsidRDefault="0044582D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CA36FA" w:rsidRDefault="00CA36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55D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0D59AC"/>
    <w:multiLevelType w:val="singleLevel"/>
    <w:tmpl w:val="CF8CA230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82D"/>
    <w:rsid w:val="001B70B9"/>
    <w:rsid w:val="0044582D"/>
    <w:rsid w:val="00CA36FA"/>
    <w:rsid w:val="00E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86D9ED84-3E01-4BE2-9B80-B41CD68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ind w:firstLine="200"/>
      <w:jc w:val="both"/>
    </w:pPr>
    <w:rPr>
      <w:snapToGrid w:val="0"/>
      <w:sz w:val="16"/>
    </w:rPr>
  </w:style>
  <w:style w:type="paragraph" w:customStyle="1" w:styleId="FR1">
    <w:name w:val="FR1"/>
    <w:pPr>
      <w:spacing w:before="60"/>
      <w:ind w:left="760"/>
    </w:pPr>
    <w:rPr>
      <w:rFonts w:ascii="Arial" w:hAnsi="Arial"/>
      <w:snapToGrid w:val="0"/>
      <w:sz w:val="16"/>
    </w:rPr>
  </w:style>
  <w:style w:type="paragraph" w:customStyle="1" w:styleId="FR2">
    <w:name w:val="FR2"/>
    <w:pPr>
      <w:jc w:val="both"/>
    </w:pPr>
    <w:rPr>
      <w:rFonts w:ascii="Courier New" w:hAnsi="Courier New"/>
      <w:snapToGrid w:val="0"/>
      <w:sz w:val="16"/>
    </w:rPr>
  </w:style>
  <w:style w:type="paragraph" w:customStyle="1" w:styleId="FR3">
    <w:name w:val="FR3"/>
    <w:pPr>
      <w:spacing w:line="720" w:lineRule="auto"/>
      <w:ind w:right="2600" w:firstLine="100"/>
      <w:jc w:val="both"/>
    </w:pPr>
    <w:rPr>
      <w:rFonts w:ascii="Arial" w:hAnsi="Arial"/>
      <w:snapToGrid w:val="0"/>
      <w:sz w:val="12"/>
    </w:rPr>
  </w:style>
  <w:style w:type="paragraph" w:customStyle="1" w:styleId="FR4">
    <w:name w:val="FR4"/>
    <w:pPr>
      <w:spacing w:line="800" w:lineRule="auto"/>
      <w:jc w:val="right"/>
    </w:pPr>
    <w:rPr>
      <w:rFonts w:ascii="Courier New" w:hAnsi="Courier New"/>
      <w:snapToGrid w:val="0"/>
      <w:sz w:val="1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мя как при приобретении основных средств в собствен-ность по договору купли-продажи покупатель выпла-чивает проценты по банковскому кредиту за счет соб-ственных денежных средств предприятия</vt:lpstr>
    </vt:vector>
  </TitlesOfParts>
  <Company>Green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 как при приобретении основных средств в собствен-ность по договору купли-продажи покупатель выпла-чивает проценты по банковскому кредиту за счет соб-ственных денежных средств предприятия</dc:title>
  <dc:subject/>
  <dc:creator>Света</dc:creator>
  <cp:keywords/>
  <cp:lastModifiedBy>admin</cp:lastModifiedBy>
  <cp:revision>2</cp:revision>
  <dcterms:created xsi:type="dcterms:W3CDTF">2014-02-11T15:59:00Z</dcterms:created>
  <dcterms:modified xsi:type="dcterms:W3CDTF">2014-02-11T15:59:00Z</dcterms:modified>
</cp:coreProperties>
</file>