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30C" w:rsidRDefault="006878AE">
      <w:pPr>
        <w:pStyle w:val="a5"/>
        <w:jc w:val="center"/>
        <w:rPr>
          <w:b/>
          <w:sz w:val="28"/>
        </w:rPr>
      </w:pPr>
      <w:r>
        <w:rPr>
          <w:b/>
          <w:sz w:val="28"/>
        </w:rPr>
        <w:t xml:space="preserve">Министерство образования Республики Беларусь                                                                                                                                                                   </w:t>
      </w:r>
    </w:p>
    <w:p w:rsidR="00AA630C" w:rsidRDefault="00AA630C">
      <w:pPr>
        <w:pStyle w:val="a5"/>
        <w:ind w:firstLine="0"/>
        <w:jc w:val="center"/>
        <w:rPr>
          <w:b/>
          <w:sz w:val="28"/>
        </w:rPr>
      </w:pPr>
    </w:p>
    <w:p w:rsidR="00AA630C" w:rsidRDefault="006878AE">
      <w:pPr>
        <w:pStyle w:val="a5"/>
        <w:ind w:firstLine="0"/>
        <w:jc w:val="center"/>
        <w:rPr>
          <w:b/>
          <w:sz w:val="28"/>
        </w:rPr>
      </w:pPr>
      <w:r>
        <w:rPr>
          <w:b/>
          <w:sz w:val="28"/>
        </w:rPr>
        <w:t>БГЭУ</w:t>
      </w:r>
    </w:p>
    <w:p w:rsidR="00AA630C" w:rsidRDefault="00AA630C">
      <w:pPr>
        <w:jc w:val="center"/>
        <w:rPr>
          <w:rFonts w:ascii="Arial" w:hAnsi="Arial"/>
          <w:snapToGrid w:val="0"/>
        </w:rPr>
      </w:pPr>
    </w:p>
    <w:p w:rsidR="00AA630C" w:rsidRDefault="00AA630C">
      <w:pPr>
        <w:jc w:val="center"/>
        <w:rPr>
          <w:snapToGrid w:val="0"/>
        </w:rPr>
      </w:pPr>
    </w:p>
    <w:p w:rsidR="00AA630C" w:rsidRDefault="00AA630C">
      <w:pPr>
        <w:jc w:val="center"/>
        <w:rPr>
          <w:snapToGrid w:val="0"/>
        </w:rPr>
      </w:pPr>
    </w:p>
    <w:p w:rsidR="00AA630C" w:rsidRDefault="00AA630C">
      <w:pPr>
        <w:jc w:val="center"/>
        <w:rPr>
          <w:snapToGrid w:val="0"/>
        </w:rPr>
      </w:pPr>
    </w:p>
    <w:p w:rsidR="00AA630C" w:rsidRDefault="00AA630C">
      <w:pPr>
        <w:jc w:val="center"/>
        <w:rPr>
          <w:snapToGrid w:val="0"/>
        </w:rPr>
      </w:pPr>
    </w:p>
    <w:p w:rsidR="00AA630C" w:rsidRDefault="00AA630C">
      <w:pPr>
        <w:jc w:val="right"/>
        <w:rPr>
          <w:snapToGrid w:val="0"/>
          <w:sz w:val="28"/>
        </w:rPr>
      </w:pPr>
    </w:p>
    <w:p w:rsidR="00AA630C" w:rsidRDefault="00AA630C">
      <w:pPr>
        <w:jc w:val="right"/>
        <w:rPr>
          <w:snapToGrid w:val="0"/>
          <w:sz w:val="28"/>
        </w:rPr>
      </w:pPr>
    </w:p>
    <w:p w:rsidR="00AA630C" w:rsidRDefault="00AA630C">
      <w:pPr>
        <w:jc w:val="right"/>
        <w:rPr>
          <w:snapToGrid w:val="0"/>
          <w:sz w:val="28"/>
        </w:rPr>
      </w:pPr>
    </w:p>
    <w:p w:rsidR="00AA630C" w:rsidRDefault="00AA630C">
      <w:pPr>
        <w:jc w:val="right"/>
        <w:rPr>
          <w:snapToGrid w:val="0"/>
          <w:sz w:val="28"/>
        </w:rPr>
      </w:pPr>
    </w:p>
    <w:p w:rsidR="00AA630C" w:rsidRDefault="00AA630C">
      <w:pPr>
        <w:jc w:val="right"/>
        <w:rPr>
          <w:snapToGrid w:val="0"/>
          <w:sz w:val="28"/>
        </w:rPr>
      </w:pPr>
    </w:p>
    <w:p w:rsidR="00AA630C" w:rsidRDefault="00AA630C">
      <w:pPr>
        <w:jc w:val="right"/>
        <w:rPr>
          <w:snapToGrid w:val="0"/>
          <w:sz w:val="28"/>
        </w:rPr>
      </w:pPr>
    </w:p>
    <w:p w:rsidR="00AA630C" w:rsidRDefault="00AA630C">
      <w:pPr>
        <w:jc w:val="right"/>
        <w:rPr>
          <w:snapToGrid w:val="0"/>
          <w:sz w:val="28"/>
        </w:rPr>
      </w:pPr>
    </w:p>
    <w:p w:rsidR="00AA630C" w:rsidRDefault="006878AE">
      <w:pPr>
        <w:pStyle w:val="a5"/>
        <w:ind w:firstLine="0"/>
        <w:jc w:val="center"/>
        <w:rPr>
          <w:b/>
        </w:rPr>
      </w:pPr>
      <w:r>
        <w:rPr>
          <w:b/>
        </w:rPr>
        <w:t>КОНТРОЛЬНАЯ  РАБОТА</w:t>
      </w:r>
    </w:p>
    <w:p w:rsidR="00AA630C" w:rsidRDefault="00AA630C">
      <w:pPr>
        <w:jc w:val="center"/>
        <w:rPr>
          <w:snapToGrid w:val="0"/>
        </w:rPr>
      </w:pPr>
    </w:p>
    <w:p w:rsidR="00AA630C" w:rsidRDefault="006878AE">
      <w:pPr>
        <w:pStyle w:val="a5"/>
        <w:ind w:firstLine="0"/>
        <w:jc w:val="center"/>
        <w:rPr>
          <w:b/>
          <w:snapToGrid w:val="0"/>
        </w:rPr>
      </w:pPr>
      <w:r>
        <w:rPr>
          <w:snapToGrid w:val="0"/>
        </w:rPr>
        <w:t>по курсу:</w:t>
      </w:r>
      <w:r>
        <w:rPr>
          <w:b/>
          <w:snapToGrid w:val="0"/>
        </w:rPr>
        <w:t xml:space="preserve"> «Финансовый рынок ценных бумаг»</w:t>
      </w:r>
    </w:p>
    <w:p w:rsidR="00AA630C" w:rsidRDefault="006878AE">
      <w:pPr>
        <w:pStyle w:val="a6"/>
        <w:rPr>
          <w:noProof w:val="0"/>
        </w:rPr>
      </w:pPr>
      <w:r>
        <w:rPr>
          <w:noProof w:val="0"/>
        </w:rPr>
        <w:t>8</w:t>
      </w:r>
      <w:r>
        <w:t xml:space="preserve"> </w:t>
      </w:r>
      <w:r>
        <w:rPr>
          <w:noProof w:val="0"/>
        </w:rPr>
        <w:t>вариант</w:t>
      </w:r>
    </w:p>
    <w:p w:rsidR="00AA630C" w:rsidRDefault="00AA630C">
      <w:pPr>
        <w:pStyle w:val="a6"/>
        <w:outlineLvl w:val="0"/>
        <w:rPr>
          <w:b/>
          <w:noProof w:val="0"/>
        </w:rPr>
      </w:pPr>
    </w:p>
    <w:p w:rsidR="00AA630C" w:rsidRDefault="00AA630C">
      <w:pPr>
        <w:pStyle w:val="a6"/>
        <w:outlineLvl w:val="0"/>
        <w:rPr>
          <w:b/>
          <w:noProof w:val="0"/>
        </w:rPr>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AA630C">
      <w:pPr>
        <w:pStyle w:val="a5"/>
      </w:pPr>
    </w:p>
    <w:p w:rsidR="00AA630C" w:rsidRDefault="006878AE">
      <w:pPr>
        <w:pStyle w:val="a5"/>
        <w:jc w:val="center"/>
      </w:pPr>
      <w:r>
        <w:t>МИНСК - 1999</w:t>
      </w:r>
    </w:p>
    <w:p w:rsidR="00AA630C" w:rsidRDefault="00AA630C">
      <w:pPr>
        <w:pStyle w:val="a5"/>
      </w:pPr>
    </w:p>
    <w:p w:rsidR="00AA630C" w:rsidRDefault="00AA630C">
      <w:pPr>
        <w:pStyle w:val="a5"/>
      </w:pPr>
    </w:p>
    <w:p w:rsidR="00AA630C" w:rsidRDefault="00AA630C">
      <w:pPr>
        <w:pStyle w:val="a5"/>
        <w:rPr>
          <w:lang w:val="en-US"/>
        </w:rPr>
      </w:pPr>
    </w:p>
    <w:p w:rsidR="00AA630C" w:rsidRDefault="00AA630C">
      <w:pPr>
        <w:pStyle w:val="a5"/>
        <w:rPr>
          <w:lang w:val="en-US"/>
        </w:rPr>
      </w:pPr>
    </w:p>
    <w:p w:rsidR="00AA630C" w:rsidRDefault="00AA630C">
      <w:pPr>
        <w:pStyle w:val="a5"/>
        <w:rPr>
          <w:lang w:val="en-US"/>
        </w:rPr>
      </w:pPr>
    </w:p>
    <w:p w:rsidR="00AA630C" w:rsidRDefault="00AA630C">
      <w:pPr>
        <w:pStyle w:val="a5"/>
        <w:rPr>
          <w:lang w:val="en-US"/>
        </w:rPr>
      </w:pPr>
    </w:p>
    <w:p w:rsidR="00AA630C" w:rsidRDefault="00AA630C">
      <w:pPr>
        <w:pStyle w:val="a5"/>
        <w:rPr>
          <w:lang w:val="en-US"/>
        </w:rPr>
      </w:pPr>
    </w:p>
    <w:p w:rsidR="00AA630C" w:rsidRDefault="00AA630C">
      <w:pPr>
        <w:pStyle w:val="a5"/>
        <w:rPr>
          <w:lang w:val="en-US"/>
        </w:rPr>
      </w:pPr>
    </w:p>
    <w:p w:rsidR="00AA630C" w:rsidRDefault="00AA630C">
      <w:pPr>
        <w:pStyle w:val="a5"/>
        <w:rPr>
          <w:lang w:val="en-US"/>
        </w:rPr>
      </w:pPr>
    </w:p>
    <w:p w:rsidR="00AA630C" w:rsidRDefault="00AA630C">
      <w:pPr>
        <w:pStyle w:val="a5"/>
        <w:rPr>
          <w:lang w:val="en-US"/>
        </w:rPr>
      </w:pPr>
    </w:p>
    <w:p w:rsidR="00AA630C" w:rsidRDefault="006878AE">
      <w:pPr>
        <w:pStyle w:val="a5"/>
      </w:pPr>
      <w:r>
        <w:t>Вопросы:</w:t>
      </w:r>
    </w:p>
    <w:p w:rsidR="00AA630C" w:rsidRDefault="006878AE">
      <w:pPr>
        <w:pStyle w:val="a5"/>
        <w:numPr>
          <w:ilvl w:val="0"/>
          <w:numId w:val="8"/>
        </w:numPr>
      </w:pPr>
      <w:r>
        <w:t>Развитие рынка государственных ценных бумаг в Республике Беларусь</w:t>
      </w:r>
    </w:p>
    <w:p w:rsidR="00AA630C" w:rsidRDefault="006878AE">
      <w:pPr>
        <w:pStyle w:val="a5"/>
        <w:numPr>
          <w:ilvl w:val="0"/>
          <w:numId w:val="8"/>
        </w:numPr>
      </w:pPr>
      <w:r>
        <w:t>Векселя, их классификация и функции.</w:t>
      </w:r>
    </w:p>
    <w:p w:rsidR="00AA630C" w:rsidRDefault="00AA630C">
      <w:pPr>
        <w:pStyle w:val="a5"/>
      </w:pPr>
    </w:p>
    <w:p w:rsidR="00AA630C" w:rsidRDefault="006878AE">
      <w:pPr>
        <w:pStyle w:val="a5"/>
        <w:numPr>
          <w:ilvl w:val="0"/>
          <w:numId w:val="9"/>
        </w:numPr>
        <w:jc w:val="left"/>
        <w:rPr>
          <w:sz w:val="28"/>
        </w:rPr>
      </w:pPr>
      <w:r>
        <w:rPr>
          <w:sz w:val="28"/>
        </w:rPr>
        <w:t>Развитие рынка государственных ценных бумаг в Республике Беларусь.</w:t>
      </w:r>
    </w:p>
    <w:p w:rsidR="00AA630C" w:rsidRDefault="00AA630C">
      <w:pPr>
        <w:pStyle w:val="a5"/>
        <w:jc w:val="center"/>
        <w:rPr>
          <w:sz w:val="28"/>
        </w:rPr>
      </w:pPr>
    </w:p>
    <w:p w:rsidR="00AA630C" w:rsidRDefault="006878AE">
      <w:pPr>
        <w:pStyle w:val="a5"/>
        <w:rPr>
          <w:lang w:val="en-US"/>
        </w:rPr>
      </w:pPr>
      <w:r>
        <w:t xml:space="preserve">Рынок государственных ценных бумаг является неотъемлемой частью любой развитой экономической системы. Их выпуск и обращение дают в руки государства мощный инструмент регулирования макроэкономики. </w:t>
      </w:r>
    </w:p>
    <w:p w:rsidR="00AA630C" w:rsidRDefault="00AA630C">
      <w:pPr>
        <w:pStyle w:val="a5"/>
      </w:pPr>
    </w:p>
    <w:p w:rsidR="00AA630C" w:rsidRDefault="006878AE">
      <w:pPr>
        <w:pStyle w:val="a5"/>
      </w:pPr>
      <w:r>
        <w:t>Участниками рынка государственных ценных бумаг в Республике Беларусь (РБ) являются:</w:t>
      </w:r>
    </w:p>
    <w:p w:rsidR="00AA630C" w:rsidRDefault="006878AE">
      <w:pPr>
        <w:pStyle w:val="-"/>
      </w:pPr>
      <w:r>
        <w:t>Министерство финансов – эмитент, выступающий от имени Правительства Республики   Беларусь. Этот орган выпускает ценные бумаги и несет от своего имени обязательства по ним перед владельцами ценных бумаг;</w:t>
      </w:r>
    </w:p>
    <w:p w:rsidR="00AA630C" w:rsidRDefault="006878AE">
      <w:pPr>
        <w:pStyle w:val="-"/>
      </w:pPr>
      <w:r>
        <w:t>Национальный Банк Республики Беларусь (НБ РБ) – экономический советник и финансовый агент Правительства по размещению, обслуживанию и погашению выпусков государственных ценных бумаг;</w:t>
      </w:r>
    </w:p>
    <w:p w:rsidR="00AA630C" w:rsidRDefault="006878AE">
      <w:pPr>
        <w:pStyle w:val="-"/>
      </w:pPr>
      <w:r>
        <w:t>инвесторы – профессиональные участники рынка ценных бумаг, юридические и физические лица, в том числе иностранные, владеющие облигациями, обладающие избытком финансовых средств, которые инвестируются ими в ценные бумаги Правительства.</w:t>
      </w:r>
      <w:r>
        <w:rPr>
          <w:lang w:val="en-US"/>
        </w:rPr>
        <w:t>[8]</w:t>
      </w:r>
    </w:p>
    <w:p w:rsidR="00AA630C" w:rsidRDefault="006878AE">
      <w:pPr>
        <w:pStyle w:val="-"/>
        <w:numPr>
          <w:ilvl w:val="0"/>
          <w:numId w:val="0"/>
        </w:numPr>
      </w:pPr>
      <w:r>
        <w:t xml:space="preserve">    </w:t>
      </w:r>
    </w:p>
    <w:p w:rsidR="00AA630C" w:rsidRDefault="006878AE">
      <w:pPr>
        <w:pStyle w:val="a5"/>
        <w:rPr>
          <w:lang w:val="en-US"/>
        </w:rPr>
      </w:pPr>
      <w:r>
        <w:t xml:space="preserve">Одним из наиболее эффективных инструментов денежно-кредитного регулирования являются операции Национального банка на открытом рынке. Решением Правления Национального банка было утверждено «Положение об операциях Национального банка Республики Беларусь с ценными бумагами на открытом рынке», где в качестве целей их проведения признана стабилизация денежно-кредитных отношений и оперативное регулирование объема денежной массы. </w:t>
      </w:r>
    </w:p>
    <w:p w:rsidR="00AA630C" w:rsidRDefault="006878AE">
      <w:pPr>
        <w:pStyle w:val="a5"/>
      </w:pPr>
      <w:r>
        <w:t xml:space="preserve">В Статье 53 Банковского кодекса Республики Беларусь </w:t>
      </w:r>
      <w:r>
        <w:rPr>
          <w:lang w:val="en-US"/>
        </w:rPr>
        <w:t>[2]</w:t>
      </w:r>
      <w:r>
        <w:t xml:space="preserve"> определены следующие операции Национального Банка с ценными бумагами:</w:t>
      </w:r>
    </w:p>
    <w:p w:rsidR="00AA630C" w:rsidRDefault="006878AE">
      <w:pPr>
        <w:pStyle w:val="a5"/>
        <w:numPr>
          <w:ilvl w:val="0"/>
          <w:numId w:val="13"/>
        </w:numPr>
      </w:pPr>
      <w:r>
        <w:t>Национальный банк при осуществлении функций денежно-кредитного регулирования выпускает (эмитирует) ценные бумаги, а также совершает операции с ценными бумагами;</w:t>
      </w:r>
    </w:p>
    <w:p w:rsidR="00AA630C" w:rsidRDefault="006878AE">
      <w:pPr>
        <w:pStyle w:val="a5"/>
        <w:numPr>
          <w:ilvl w:val="0"/>
          <w:numId w:val="13"/>
        </w:numPr>
      </w:pPr>
      <w:r>
        <w:t>Национальный банк выполняет функции агента Правительства Республики Беларусь (РБ) на рынке государственных ценных бумаг, организует их первичное размещение и обращение;</w:t>
      </w:r>
    </w:p>
    <w:p w:rsidR="00AA630C" w:rsidRDefault="006878AE">
      <w:pPr>
        <w:pStyle w:val="a5"/>
        <w:numPr>
          <w:ilvl w:val="0"/>
          <w:numId w:val="13"/>
        </w:numPr>
      </w:pPr>
      <w:r>
        <w:t>Национальный банк выполняет функции центрального депозитария государственных ценных бумаг и ценных бумаг Национального банка.</w:t>
      </w:r>
    </w:p>
    <w:p w:rsidR="00AA630C" w:rsidRDefault="00AA630C">
      <w:pPr>
        <w:pStyle w:val="a5"/>
      </w:pPr>
    </w:p>
    <w:p w:rsidR="00AA630C" w:rsidRDefault="006878AE">
      <w:pPr>
        <w:pStyle w:val="a5"/>
      </w:pPr>
      <w:r>
        <w:t>Продажу ценных бумаг кабинета Министров могут осуществлять уполномоченные банки. Проведение операций с государственными ценными бумагами на открытом рынке осуществляется НБ РБ.</w:t>
      </w:r>
      <w:r>
        <w:rPr>
          <w:lang w:val="en-US"/>
        </w:rPr>
        <w:t xml:space="preserve"> </w:t>
      </w:r>
      <w:r>
        <w:t>В процессе этих операций центральный банк непосредственно воздействует практически на все важнейшие параметры рынка ссудных капиталов. Операции используются для увеличения или сокращения резервов коммерческих банков, изменения уровня банковской ликвидности и размеров кредитной эмиссии, регулирования рыночного курса государственных ценных бумаг (ГЦБ).</w:t>
      </w:r>
      <w:r>
        <w:rPr>
          <w:lang w:val="en-US"/>
        </w:rPr>
        <w:t>[1]</w:t>
      </w:r>
    </w:p>
    <w:p w:rsidR="00AA630C" w:rsidRDefault="006878AE">
      <w:pPr>
        <w:pStyle w:val="a5"/>
      </w:pPr>
      <w:r>
        <w:t>1.1. Рынок ценных бумаг различают как по видам ценных бумаг (рынок акций, рынок облигаций, и т.д.), так и по форме обращения – первичное размещение (первичный рынок), вторичное обращения (вторичный рынок).</w:t>
      </w:r>
    </w:p>
    <w:p w:rsidR="00AA630C" w:rsidRDefault="00AA630C">
      <w:pPr>
        <w:pStyle w:val="a5"/>
      </w:pPr>
    </w:p>
    <w:p w:rsidR="00AA630C" w:rsidRDefault="006878AE">
      <w:pPr>
        <w:pStyle w:val="a5"/>
      </w:pPr>
      <w:r>
        <w:t>1.1.1. В зависимости от формы и порядка оформления кредитных отношений различают государственные облигационные займы и безоблигационные займы.</w:t>
      </w:r>
    </w:p>
    <w:p w:rsidR="00AA630C" w:rsidRDefault="00AA630C">
      <w:pPr>
        <w:pStyle w:val="a5"/>
      </w:pPr>
    </w:p>
    <w:p w:rsidR="00AA630C" w:rsidRDefault="006878AE">
      <w:pPr>
        <w:pStyle w:val="a5"/>
      </w:pPr>
      <w:r>
        <w:tab/>
        <w:t>Облигация - это ценная бумага, удовлетворяющая внесение ее владельцем денежных средств и подтверждающая обязательство юридического лица, ее выпустившего,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AA630C" w:rsidRDefault="006878AE">
      <w:pPr>
        <w:pStyle w:val="a5"/>
      </w:pPr>
      <w:r>
        <w:tab/>
        <w:t xml:space="preserve">Выпускаются облигации внутренних государственных и местных займов. Они могут быть как именными, так и на предъявителя, процентными, и беспроцентными (целевыми), выигрышными, свободно обращающимися или с ограниченным кругом обращения, сберегательными, казначейскими. Выпуск облигаций может предусматривать добровольное размещение среди юридических и физических лиц, а так же обязательную покупку их юридическими лицами. </w:t>
      </w:r>
      <w:r>
        <w:sym w:font="Symbol" w:char="F05B"/>
      </w:r>
      <w:r>
        <w:t>3</w:t>
      </w:r>
      <w:r>
        <w:sym w:font="Symbol" w:char="F05D"/>
      </w:r>
    </w:p>
    <w:p w:rsidR="00AA630C" w:rsidRDefault="00AA630C">
      <w:pPr>
        <w:pStyle w:val="a5"/>
      </w:pPr>
    </w:p>
    <w:p w:rsidR="00AA630C" w:rsidRDefault="006878AE">
      <w:pPr>
        <w:pStyle w:val="a5"/>
      </w:pPr>
      <w:r>
        <w:t xml:space="preserve">Выпуск разного рода казначейских обязательств, векселей, кредитование центральным банком государственного бюджета - это примеры безоблигационных займов. </w:t>
      </w:r>
    </w:p>
    <w:p w:rsidR="00AA630C" w:rsidRDefault="006878AE">
      <w:pPr>
        <w:pStyle w:val="a5"/>
      </w:pPr>
      <w:r>
        <w:tab/>
        <w:t xml:space="preserve">Казначейские обязательства (векселя) государства - вид ценных бумаг, удовлетворяющих внесение их держателями денежных средств для перечисления в бюджет и дающих право на получение фиксированного дохода в течение срока владения ими. Размещаются на добровольной основе среди юридических и физических лиц. </w:t>
      </w:r>
      <w:r>
        <w:sym w:font="Symbol" w:char="F05B"/>
      </w:r>
      <w:r>
        <w:t>3</w:t>
      </w:r>
      <w:r>
        <w:sym w:font="Symbol" w:char="F05D"/>
      </w:r>
    </w:p>
    <w:p w:rsidR="00AA630C" w:rsidRDefault="00AA630C">
      <w:pPr>
        <w:pStyle w:val="a5"/>
      </w:pPr>
    </w:p>
    <w:p w:rsidR="00AA630C" w:rsidRDefault="006878AE">
      <w:pPr>
        <w:pStyle w:val="a5"/>
      </w:pPr>
      <w:r>
        <w:t>1.1.2. Первичное размещение облигаций в РБ проходит в виде закрытого аукциона. Инвесторы, являющиеся активными участниками фондовых операций, выполняющие определенные требования финансовой достаточности, не имеющие нарушений в финансовой деятельности и т.д., допускаются Национальным Банком к участию в первичном размещении ценных бумаг Правительства и имеют статус первичных инвесторов. В Республике Беларусь первичные инвесторы государственных облигаций – это банки или их филиалы на правах юридического  лица, являющиеся профессиональными участниками рынка ценных бумаг, выполняющие вышеуказанные требования. Первичное размещение государственных облигаций осуществляется НБ РБ, который выступает в роли финансового агента Правительства.</w:t>
      </w:r>
      <w:r>
        <w:rPr>
          <w:lang w:val="en-US"/>
        </w:rPr>
        <w:t>[8]</w:t>
      </w:r>
    </w:p>
    <w:p w:rsidR="00AA630C" w:rsidRDefault="006878AE">
      <w:pPr>
        <w:pStyle w:val="a5"/>
      </w:pPr>
      <w:r>
        <w:t xml:space="preserve">Казначейские векселя (обязательства) и облигации поступают на вторичный рынок, а также ДГО могут продаваться на вторичном рынке. На вторичном рынке не обращаются сберегательные облигации, облигации (или другой вид ценной бумаги), оформляющие внешний долг, облигации органов власти. </w:t>
      </w:r>
    </w:p>
    <w:p w:rsidR="00AA630C" w:rsidRDefault="00AA630C">
      <w:pPr>
        <w:pStyle w:val="a5"/>
      </w:pPr>
    </w:p>
    <w:p w:rsidR="00AA630C" w:rsidRDefault="006878AE">
      <w:pPr>
        <w:pStyle w:val="a5"/>
      </w:pPr>
      <w:r>
        <w:rPr>
          <w:lang w:val="en-US"/>
        </w:rPr>
        <w:t xml:space="preserve">1.1.3. </w:t>
      </w:r>
      <w:r>
        <w:tab/>
        <w:t xml:space="preserve">При приобретении ценной бумаги Правительства значение имеет доход от нее, который зависит от вида ценной бумаги, ее номинальной величины, срока, условий выпуска, степени риска, темпов инфляции. Основная неопределенность исходит из возможности изменения ожидаемых темпов инфляции, так как если темпы инфляции повышаются, то кредиторы несут убытки, а заемщик получает прибыль. </w:t>
      </w:r>
      <w:r>
        <w:sym w:font="Symbol" w:char="F05B"/>
      </w:r>
      <w:r>
        <w:t>3</w:t>
      </w:r>
      <w:r>
        <w:sym w:font="Symbol" w:char="F05D"/>
      </w:r>
      <w:r>
        <w:t xml:space="preserve"> </w:t>
      </w:r>
    </w:p>
    <w:p w:rsidR="00AA630C" w:rsidRDefault="006878AE">
      <w:pPr>
        <w:pStyle w:val="a5"/>
      </w:pPr>
      <w:r>
        <w:t xml:space="preserve">В настоящее время структура рынка государственных ценных бумаг в РБ представлена следующими ценными бумагами </w:t>
      </w:r>
      <w:r>
        <w:rPr>
          <w:lang w:val="en-US"/>
        </w:rPr>
        <w:t>[8]</w:t>
      </w:r>
      <w:r>
        <w:t>:</w:t>
      </w:r>
    </w:p>
    <w:p w:rsidR="00AA630C" w:rsidRDefault="006878AE">
      <w:pPr>
        <w:pStyle w:val="a5"/>
        <w:numPr>
          <w:ilvl w:val="0"/>
          <w:numId w:val="13"/>
        </w:numPr>
      </w:pPr>
      <w:r>
        <w:t>государственные краткосрочные облигации (ГКО);</w:t>
      </w:r>
    </w:p>
    <w:p w:rsidR="00AA630C" w:rsidRDefault="006878AE">
      <w:pPr>
        <w:pStyle w:val="a5"/>
        <w:numPr>
          <w:ilvl w:val="0"/>
          <w:numId w:val="13"/>
        </w:numPr>
      </w:pPr>
      <w:r>
        <w:t>долгосрочные государственные облигации (ДГО);</w:t>
      </w:r>
    </w:p>
    <w:p w:rsidR="00AA630C" w:rsidRDefault="006878AE">
      <w:pPr>
        <w:pStyle w:val="a5"/>
        <w:numPr>
          <w:ilvl w:val="0"/>
          <w:numId w:val="13"/>
        </w:numPr>
      </w:pPr>
      <w:r>
        <w:t>государственные долгосрочные облигации с купонным доходом (ГДО).</w:t>
      </w:r>
    </w:p>
    <w:p w:rsidR="00AA630C" w:rsidRDefault="00AA630C">
      <w:pPr>
        <w:pStyle w:val="a5"/>
      </w:pPr>
    </w:p>
    <w:p w:rsidR="00AA630C" w:rsidRDefault="006878AE">
      <w:pPr>
        <w:pStyle w:val="a5"/>
      </w:pPr>
      <w:r>
        <w:t xml:space="preserve">1). Выпуск ГКО осуществляется с целью привлечения временно свободных средств юридических и физических лиц, в том числе и иностранных, для возмещения дефицита республиканского бюджета. </w:t>
      </w:r>
    </w:p>
    <w:p w:rsidR="00AA630C" w:rsidRDefault="006878AE">
      <w:pPr>
        <w:pStyle w:val="a5"/>
      </w:pPr>
      <w:r>
        <w:t xml:space="preserve">2). ДГО выпускаются в целях снижения темпов инфляции и исполнения республиканского бюджета по расходам со сроком обращения один год  и более, так как могут использоваться первичными держателями при расчетах за товары (работы, услуги), а также могут выступать предметом залоговых обязательств. В связи с этим порядок их размещения совершенно отличается от ГКО. </w:t>
      </w:r>
    </w:p>
    <w:p w:rsidR="00AA630C" w:rsidRDefault="006878AE">
      <w:pPr>
        <w:pStyle w:val="a5"/>
      </w:pPr>
      <w:r>
        <w:t>3). ГДО выпускаются Министерством финансов от имени Правительства РБ в целях изыскания безинфляционных источников возмещения бюджетного дефицита за счет привлечения свободных средств физических  и юридических лиц. С их помощью можно цивилизованным путем отсрочить выплаты по существующему долгу, увеличить сроки государственных заимствований, снизить неплатежи в стране.</w:t>
      </w:r>
    </w:p>
    <w:p w:rsidR="00AA630C" w:rsidRDefault="00AA630C">
      <w:pPr>
        <w:pStyle w:val="a5"/>
      </w:pPr>
    </w:p>
    <w:p w:rsidR="00AA630C" w:rsidRDefault="006878AE">
      <w:pPr>
        <w:pStyle w:val="a5"/>
      </w:pPr>
      <w:r>
        <w:t xml:space="preserve">1.2. </w:t>
      </w:r>
      <w:r>
        <w:tab/>
        <w:t>Развитие рынка ценных бумаг преследует цель:</w:t>
      </w:r>
    </w:p>
    <w:p w:rsidR="00AA630C" w:rsidRDefault="006878AE">
      <w:pPr>
        <w:pStyle w:val="a5"/>
        <w:numPr>
          <w:ilvl w:val="0"/>
          <w:numId w:val="15"/>
        </w:numPr>
      </w:pPr>
      <w:r>
        <w:t xml:space="preserve">закрепить положительные тенденции по стабилизации денежно- кредитных отношений; </w:t>
      </w:r>
    </w:p>
    <w:p w:rsidR="00AA630C" w:rsidRDefault="006878AE">
      <w:pPr>
        <w:pStyle w:val="a5"/>
        <w:numPr>
          <w:ilvl w:val="0"/>
          <w:numId w:val="15"/>
        </w:numPr>
      </w:pPr>
      <w:r>
        <w:t>расширить безинфляционное покрытие дефицита государственного бюджета за счет эмиссии высоко ликвидных ценных бумаг.</w:t>
      </w:r>
    </w:p>
    <w:p w:rsidR="00AA630C" w:rsidRDefault="00AA630C">
      <w:pPr>
        <w:pStyle w:val="a5"/>
        <w:rPr>
          <w:lang w:val="en-US"/>
        </w:rPr>
      </w:pPr>
    </w:p>
    <w:p w:rsidR="00AA630C" w:rsidRDefault="006878AE">
      <w:pPr>
        <w:pStyle w:val="a5"/>
        <w:rPr>
          <w:lang w:val="en-US"/>
        </w:rPr>
      </w:pPr>
      <w:r>
        <w:t>Сформировавшись в качестве механизма привлечения свободных денежных средств на финансирование дефицита государственного бюджета, рынок государственных ценных бумаг постепенно занимает ведущее место в денежно-кредитной системе государства.</w:t>
      </w:r>
      <w:r>
        <w:rPr>
          <w:lang w:val="en-US"/>
        </w:rPr>
        <w:t xml:space="preserve"> </w:t>
      </w:r>
    </w:p>
    <w:p w:rsidR="00AA630C" w:rsidRDefault="00AA630C">
      <w:pPr>
        <w:pStyle w:val="a5"/>
        <w:rPr>
          <w:lang w:val="en-US"/>
        </w:rPr>
      </w:pPr>
    </w:p>
    <w:p w:rsidR="00AA630C" w:rsidRDefault="006878AE">
      <w:pPr>
        <w:pStyle w:val="a5"/>
      </w:pPr>
      <w:r>
        <w:t xml:space="preserve">С 1994 года  началась программа по заимствованию финансовых ресурсов путем выпуска  государственных ценных бумаг. Это был год  «первых шагов» на рынке государственного заимствования, фактически только отрабатывался механизм покрытия бюджетных расходов  за счет привлечения средств с финансовых рынков.  Однако и тот небогатый опыт, полученный в ходе четырех выпусков, позволил сделать вывод о широких возможностях использования государственных долговых обязательств на финансирование дефицита бюджета и бюджетных расходов. </w:t>
      </w:r>
    </w:p>
    <w:p w:rsidR="00AA630C" w:rsidRDefault="006878AE">
      <w:pPr>
        <w:pStyle w:val="a5"/>
      </w:pPr>
      <w:r>
        <w:t xml:space="preserve">Поэтому в качестве одной из мер по реализации  Закона о бюджете РБ на 1995 год и Указа  Президента «Об уточнении бюджета Республики Беларусь на 1995 год и временных мерах по сокращению бюджетных расходов» было наделение Министерства финансов правами по управлению государственным  долгом, исключая выпуск ГЦБ. И хотя в Законе о бюджете на 1995 год еще не было выделено отдельной строкой финансирование дефицита государственного бюджета за счет поступлений от размещения государственных долговых обязательств, своим решением Правительство установило довести объем выпуска  ГЦБ до 20% утвержденного на этот год дефицита бюджета. При этом доходы от реализации этих ценных бумаг планировались в сумме 250 млрд. руб. Фактически же в 1995 г. за счет данного источника было получено 528, млрд. руб., т.е. профинансировано 16% дефицита бюджета. </w:t>
      </w:r>
      <w:r>
        <w:sym w:font="Symbol" w:char="F05B"/>
      </w:r>
      <w:r>
        <w:t>4</w:t>
      </w:r>
      <w:r>
        <w:sym w:font="Symbol" w:char="F05D"/>
      </w:r>
    </w:p>
    <w:p w:rsidR="00AA630C" w:rsidRDefault="006878AE">
      <w:pPr>
        <w:pStyle w:val="a5"/>
      </w:pPr>
      <w:r>
        <w:t xml:space="preserve">С конца сентября 1995 года Национальный банк приступил к проведению регулярных операций на открытом рынке. В конце 1995 года принята концепция рефинансирования Национальным банком коммерческих банков. Наиболее перспективной формой предоставления банкам финансовых ресурсов представляется выкуп ценных бумаг на условиях РЕПО. Это преимущество становится все более ощутимым по мере увеличения объемов выпуска ГЦБ и дифференциации их по доходности и срокам. Поэтому процентная ставка по операциям РЕПО является нижним пределом базовой ставки рефинансирования. </w:t>
      </w:r>
      <w:r>
        <w:rPr>
          <w:lang w:val="en-US"/>
        </w:rPr>
        <w:t>[1]</w:t>
      </w:r>
      <w:r>
        <w:t xml:space="preserve">    </w:t>
      </w:r>
    </w:p>
    <w:p w:rsidR="00AA630C" w:rsidRDefault="006878AE">
      <w:pPr>
        <w:pStyle w:val="a5"/>
      </w:pPr>
      <w:r>
        <w:t xml:space="preserve">В 1996 году выпуск государственных долговых обязательств наращивает темпы. В 1996 году при заключении сделок РЕПО наблюдалась тенденция увеличения сроков заимствования ресурсов, что позволяло инвесторам более рационально и продуманно управлять своим портфелем ценных бумаг.  Произошло разделение сделок, совершаемых на вторичном рынке, по временным параметрам и характеру. Одну группу составили сделки сроком до 7 дней, совершаемые для поддержания ликвидности банковской системы в целом и конкретных банков в частности. Основная их задача – предоставление или получение краткосрочных ресурсов. В отдельную группу выделились сделки со сроком 1-2 месяца  и более. Такие операции рассматривались как размещение ресурсов в ГЦБ на вторичном рынке (проявляется инвестиционный характер сделки).    </w:t>
      </w:r>
    </w:p>
    <w:p w:rsidR="00AA630C" w:rsidRDefault="006878AE">
      <w:pPr>
        <w:pStyle w:val="a5"/>
      </w:pPr>
      <w:r>
        <w:t>С целью усиления контроля обращения государственных ценных бумаг и ценных бумаг Национального Банка Указом Президента РБ от 09.04.1996 г. №139 «О преобразовании закрытого акционерного общества «Межбанковская валютная биржа» на вторичном рынке было создано общество «Межбанковская валютная биржа» и передано в ведение НБ РБ. С этого момента Национальный Банк активно включился в процесс организации вторичного рынка ГЦБ в РБ.</w:t>
      </w:r>
    </w:p>
    <w:p w:rsidR="00AA630C" w:rsidRDefault="006878AE">
      <w:pPr>
        <w:pStyle w:val="a5"/>
      </w:pPr>
      <w:r>
        <w:t xml:space="preserve"> </w:t>
      </w:r>
    </w:p>
    <w:p w:rsidR="00AA630C" w:rsidRDefault="006878AE">
      <w:pPr>
        <w:pStyle w:val="a5"/>
      </w:pPr>
      <w:r>
        <w:t xml:space="preserve">Анализ развития рынка государственных долговых обязательств показал актуальность и значимость этого не инфляционного источника покрытия  бюджетного дефицита.  В законе, определяющем параметры бюджета на 1996 г., был выделен отдельной строкой выпуск государственных казначейских обязательств в сумме 850 млрд. руб., или 15,5% от суммы утвержденного   предельного   размера    дефицита    республиканского бюджета. </w:t>
      </w:r>
      <w:r>
        <w:sym w:font="Symbol" w:char="F05B"/>
      </w:r>
      <w:r>
        <w:t>4</w:t>
      </w:r>
      <w:r>
        <w:sym w:font="Symbol" w:char="F05D"/>
      </w:r>
    </w:p>
    <w:p w:rsidR="00AA630C" w:rsidRDefault="006878AE">
      <w:pPr>
        <w:pStyle w:val="a5"/>
      </w:pPr>
      <w:r>
        <w:t>После отказа от политики жестких денежно-кредитных ограничений в 1996 г. денежно-кредитная политика государства становится все более мягкой. В Беларуси действуют два главных источника эмиссии денежных средств, а именно: кредиты Национального банка Правительству и политика  предоставления целевых кредитов реальному сектору экономики через банковскую систему (следует заметить, что кредиты предоставляются под низкие процентные ставки).</w:t>
      </w:r>
    </w:p>
    <w:p w:rsidR="00AA630C" w:rsidRDefault="006878AE">
      <w:pPr>
        <w:pStyle w:val="a5"/>
      </w:pPr>
      <w:r>
        <w:t xml:space="preserve">Денежная эмиссия во многом объясняется политикой целевого кредитования. Целевые кредиты направлены на стимулирование экономической деятельности, преимущественно в сельском хозяйстве и жилищном строительстве, ставки таких кредитов на много ниже ставки рефинансирования. При стремительном росте объемов целевого кредитования и выдачи кредитов Правительству увеличение денежной массы  было неизбежно. </w:t>
      </w:r>
      <w:r>
        <w:sym w:font="Symbol" w:char="F05B"/>
      </w:r>
      <w:r>
        <w:t>5</w:t>
      </w:r>
      <w:r>
        <w:sym w:font="Symbol" w:char="F05D"/>
      </w:r>
    </w:p>
    <w:p w:rsidR="00AA630C" w:rsidRDefault="00AA630C">
      <w:pPr>
        <w:pStyle w:val="a5"/>
      </w:pPr>
    </w:p>
    <w:p w:rsidR="00AA630C" w:rsidRDefault="006878AE">
      <w:pPr>
        <w:pStyle w:val="a5"/>
      </w:pPr>
      <w:r>
        <w:t xml:space="preserve">1.3. В настоящее время рынок государственных ценных бумаг является наиболее развитым. В процессе формирования рынка ценных бумаг РБ 1998 год стал переломным. Основная задача, решаемая государством в этот период, заключалась в формировании целостной системы государственного регулирования рынка ценных бумаг и завершении создания его правовой и институциональной инфраструктуры. </w:t>
      </w:r>
    </w:p>
    <w:p w:rsidR="00AA630C" w:rsidRDefault="006878AE">
      <w:pPr>
        <w:pStyle w:val="a5"/>
      </w:pPr>
      <w:r>
        <w:t xml:space="preserve">Под инфраструктурой фондового рынка понимается система государственного регулирования, депозитарная и расчетно-клиринговая системы, система биржевой торговли, институциональные инвесторы (инвестиционные, пенсионные и страховые фонды), а также правовое обеспечение деятельности рынка. </w:t>
      </w:r>
    </w:p>
    <w:p w:rsidR="00AA630C" w:rsidRDefault="006878AE">
      <w:pPr>
        <w:pStyle w:val="a5"/>
      </w:pPr>
      <w:r>
        <w:t>Указ Президента Республики Беларусь от 20 июля 1998 года №366 «О совершенствовании системы государственного регулирования рынка ценных бумаг» положил основу решения задачи по совершенствованию инфраструктуры рынка, что дало новый импульс развитию рынка. Указом реализуются основные аспекты Концепции функционирования и развития рынка ценных бумаг РБ и, в частности, претворяется политика государственного регулирования рынка ценных бумаг, в результате которой монополизируется биржа (создается монобиржевая система) и вводится единая депозитарная система</w:t>
      </w:r>
      <w:r>
        <w:rPr>
          <w:lang w:val="en-US"/>
        </w:rPr>
        <w:t>[9]</w:t>
      </w:r>
      <w:r>
        <w:t>:</w:t>
      </w:r>
    </w:p>
    <w:p w:rsidR="00AA630C" w:rsidRDefault="006878AE">
      <w:pPr>
        <w:pStyle w:val="a5"/>
        <w:numPr>
          <w:ilvl w:val="0"/>
          <w:numId w:val="13"/>
        </w:numPr>
      </w:pPr>
      <w:r>
        <w:t>внебиржевой рынок был устранен;</w:t>
      </w:r>
    </w:p>
    <w:p w:rsidR="00AA630C" w:rsidRDefault="006878AE">
      <w:pPr>
        <w:pStyle w:val="a5"/>
        <w:numPr>
          <w:ilvl w:val="0"/>
          <w:numId w:val="13"/>
        </w:numPr>
      </w:pPr>
      <w:r>
        <w:t xml:space="preserve">с ноября 1998 г. вторичное обращение бумаг производится только через биржу. </w:t>
      </w:r>
    </w:p>
    <w:p w:rsidR="00AA630C" w:rsidRDefault="00AA630C">
      <w:pPr>
        <w:pStyle w:val="a5"/>
        <w:ind w:firstLine="0"/>
      </w:pPr>
    </w:p>
    <w:p w:rsidR="00AA630C" w:rsidRDefault="006878AE">
      <w:pPr>
        <w:pStyle w:val="a5"/>
      </w:pPr>
      <w:r>
        <w:t>Объем сделок на вторичном рынке в 1998 г. составил 207716 млрд. руб. и вырос за год на 41.6%.</w:t>
      </w:r>
      <w:r>
        <w:sym w:font="Symbol" w:char="F05B"/>
      </w:r>
      <w:r>
        <w:t>6</w:t>
      </w:r>
      <w:r>
        <w:sym w:font="Symbol" w:char="F05D"/>
      </w:r>
      <w:r>
        <w:t xml:space="preserve">  </w:t>
      </w:r>
    </w:p>
    <w:p w:rsidR="00AA630C" w:rsidRDefault="00AA630C">
      <w:pPr>
        <w:pStyle w:val="a5"/>
      </w:pPr>
    </w:p>
    <w:p w:rsidR="00AA630C" w:rsidRDefault="006878AE">
      <w:pPr>
        <w:pStyle w:val="a5"/>
      </w:pPr>
      <w:r>
        <w:t>В указе было предусмотрено проведение следующих мероприятий, выполненных полностью к настоящему времени:</w:t>
      </w:r>
    </w:p>
    <w:p w:rsidR="00AA630C" w:rsidRDefault="006878AE">
      <w:pPr>
        <w:pStyle w:val="a5"/>
        <w:numPr>
          <w:ilvl w:val="0"/>
          <w:numId w:val="13"/>
        </w:numPr>
      </w:pPr>
      <w:r>
        <w:t>придание Комитету по ценным бумагам при Министерстве финансов РБ статуса Государственного комитета с наделением его полномочиями по государственному регулированию рынка ценных бумаг РБ – Постановлением Совета Министров Республики Беларусь от 31.07.1998 г. №1218 утверждено Положение о Государственном комитете по ценным бумагам Республики Беларусь;</w:t>
      </w:r>
    </w:p>
    <w:p w:rsidR="00AA630C" w:rsidRDefault="006878AE">
      <w:pPr>
        <w:pStyle w:val="a5"/>
        <w:numPr>
          <w:ilvl w:val="0"/>
          <w:numId w:val="13"/>
        </w:numPr>
      </w:pPr>
      <w:r>
        <w:t>преобразование ЗАО «Республиканский центральный депозитарий ценных бумаг» в государственное предприятие (ГП РЦДЦБ) и обеспечение централизованного хранения ценных бумаг, зарегистрированных и разрешенных к  обращению на территории РБ – формирование единой двухуровневой депозитарной системы РБ во главе с ГП РЦДЦБ;</w:t>
      </w:r>
    </w:p>
    <w:p w:rsidR="00AA630C" w:rsidRDefault="006878AE">
      <w:pPr>
        <w:pStyle w:val="a5"/>
        <w:numPr>
          <w:ilvl w:val="0"/>
          <w:numId w:val="13"/>
        </w:numPr>
      </w:pPr>
      <w:r>
        <w:t xml:space="preserve">образование в форме открытого акционерного общества единой Белорусской валютно-фондовой биржи (БВФБ) на базе государственного учреждения «Межбанковская валютная биржа» и открытого акционерного общества «Белорусская фондовая биржа». </w:t>
      </w:r>
    </w:p>
    <w:p w:rsidR="00AA630C" w:rsidRDefault="00AA630C">
      <w:pPr>
        <w:pStyle w:val="a5"/>
      </w:pPr>
    </w:p>
    <w:p w:rsidR="00AA630C" w:rsidRDefault="006878AE">
      <w:pPr>
        <w:pStyle w:val="a5"/>
      </w:pPr>
      <w:r>
        <w:t>1). Государственный комитет по ценным бумагам (ГК ЦБ) РБ является республиканским органом государственного управления рынком ценных бумаг и подчиняется Совету Министров Республики Беларусь. Основными задачами Госкомитета по ценным бумагам являются:</w:t>
      </w:r>
    </w:p>
    <w:p w:rsidR="00AA630C" w:rsidRDefault="006878AE">
      <w:pPr>
        <w:pStyle w:val="a5"/>
        <w:numPr>
          <w:ilvl w:val="0"/>
          <w:numId w:val="13"/>
        </w:numPr>
      </w:pPr>
      <w:r>
        <w:t>государственное регулирование и осуществление контроля и надзора за рынком ценных бумаг, их выпуском и обращением, а также за профессиональной деятельностью по ценным бумагам;</w:t>
      </w:r>
    </w:p>
    <w:p w:rsidR="00AA630C" w:rsidRDefault="006878AE">
      <w:pPr>
        <w:pStyle w:val="a5"/>
        <w:numPr>
          <w:ilvl w:val="0"/>
          <w:numId w:val="13"/>
        </w:numPr>
      </w:pPr>
      <w:r>
        <w:t>регистрация выпусков ценных бумаг;</w:t>
      </w:r>
    </w:p>
    <w:p w:rsidR="00AA630C" w:rsidRDefault="006878AE">
      <w:pPr>
        <w:pStyle w:val="a5"/>
        <w:numPr>
          <w:ilvl w:val="0"/>
          <w:numId w:val="13"/>
        </w:numPr>
      </w:pPr>
      <w:r>
        <w:t>лицензирование профессиональной деятельности по ценным бумагам.</w:t>
      </w:r>
    </w:p>
    <w:p w:rsidR="00AA630C" w:rsidRDefault="00AA630C">
      <w:pPr>
        <w:pStyle w:val="a5"/>
      </w:pPr>
    </w:p>
    <w:p w:rsidR="00AA630C" w:rsidRDefault="006878AE">
      <w:pPr>
        <w:pStyle w:val="a5"/>
      </w:pPr>
      <w:r>
        <w:t xml:space="preserve">2). Создана единая двухуровневая депозитарная система во главе с государственным предприятием Республиканский центральный депозитарий ценных бумаг, разработаны Единые стандарты ведения и учета депозитарных операций, в которых установлены единые требования к документообороту и правила учета прав собственности на счетах «депо», в результате чего нормативно определен переход прав собственности на ценные бумаги –основная проблема эффективного функционирования рынка ценных бумаг. Учет прав собственности теперь осуществляется с использованием депозитарных технологий вместо принятых ранее записей в реестр акционеров, что помимо сохранности ценных бумаг обеспечивает надежность, скорость и простоту оформления сделок с ценными бумагами.  </w:t>
      </w:r>
    </w:p>
    <w:p w:rsidR="00AA630C" w:rsidRDefault="006878AE">
      <w:pPr>
        <w:pStyle w:val="a5"/>
      </w:pPr>
      <w:r>
        <w:t xml:space="preserve">Кроме этого создана возможность оперативного анализа состояния фондового рынка и эффективного контроля соблюдения действующего законодательства при заключении сделок. </w:t>
      </w:r>
    </w:p>
    <w:p w:rsidR="00AA630C" w:rsidRDefault="00AA630C">
      <w:pPr>
        <w:pStyle w:val="a5"/>
      </w:pPr>
    </w:p>
    <w:p w:rsidR="00AA630C" w:rsidRDefault="006878AE">
      <w:pPr>
        <w:pStyle w:val="a5"/>
      </w:pPr>
      <w:r>
        <w:t xml:space="preserve">3). Зарегистрировано открытое акционерное общество «Белорусская валютно-фондовая биржа». Биржа наделена правом торговли финансовыми активами, в том числе валютными ценностями и ценными бумагами, за исключением ИПЧ «Имущество». Активно проводятся торги с государственными ценными бумагами и валютой. </w:t>
      </w:r>
    </w:p>
    <w:p w:rsidR="00AA630C" w:rsidRDefault="00AA630C">
      <w:pPr>
        <w:pStyle w:val="a5"/>
      </w:pPr>
    </w:p>
    <w:p w:rsidR="00AA630C" w:rsidRDefault="006878AE">
      <w:pPr>
        <w:pStyle w:val="a5"/>
      </w:pPr>
      <w:r>
        <w:t xml:space="preserve">4). Продолжается работа по совершенствованию Закона «О рынке ценных бумаг», унифицированного с российским законодательством. </w:t>
      </w:r>
    </w:p>
    <w:p w:rsidR="00AA630C" w:rsidRDefault="00AA630C">
      <w:pPr>
        <w:pStyle w:val="a5"/>
      </w:pPr>
    </w:p>
    <w:p w:rsidR="00AA630C" w:rsidRDefault="006878AE">
      <w:pPr>
        <w:pStyle w:val="a5"/>
      </w:pPr>
      <w:r>
        <w:t xml:space="preserve">Операции по купле-продаже ГЦБ с 25.11.1998 года полностью проводятся через государственное учреждение «Межбанковская валютная биржа» (ГУ МВБ). Непосредственное участие в закрытом аукционе по первичному размещению ГКО принимают только первичные инвесторы согласно согласованному с генеральным поверенным правительства списку. Участниками вторичного рынка являются профессиональные участники рынка ценных бумаг, получившие соответствующую  лицензию ГК ЦБ и осуществляющие сделки, как от своего имени, так и по поручению клиентов. Для проведения операций по инвестированию средств в ГЦБ нерезиденты могут открывать в уполномоченных банках счета со специальным режимом использования типа «С». </w:t>
      </w:r>
    </w:p>
    <w:p w:rsidR="00AA630C" w:rsidRDefault="00AA630C">
      <w:pPr>
        <w:pStyle w:val="a5"/>
      </w:pPr>
    </w:p>
    <w:p w:rsidR="00AA630C" w:rsidRDefault="006878AE">
      <w:pPr>
        <w:pStyle w:val="a5"/>
      </w:pPr>
      <w:r>
        <w:t>Рынок ценных бумаг Республики Беларусь в 1998 году представлен следующими основными сегментами:</w:t>
      </w:r>
    </w:p>
    <w:p w:rsidR="00AA630C" w:rsidRDefault="006878AE">
      <w:pPr>
        <w:pStyle w:val="a5"/>
        <w:numPr>
          <w:ilvl w:val="0"/>
          <w:numId w:val="13"/>
        </w:numPr>
      </w:pPr>
      <w:r>
        <w:t>корпоративные ценные бумаги (акции, облигации);</w:t>
      </w:r>
    </w:p>
    <w:p w:rsidR="00AA630C" w:rsidRDefault="006878AE">
      <w:pPr>
        <w:pStyle w:val="a5"/>
        <w:numPr>
          <w:ilvl w:val="0"/>
          <w:numId w:val="13"/>
        </w:numPr>
      </w:pPr>
      <w:r>
        <w:t>государственные ценные бумаги (ГКО, ДГО);</w:t>
      </w:r>
    </w:p>
    <w:p w:rsidR="00AA630C" w:rsidRDefault="006878AE">
      <w:pPr>
        <w:pStyle w:val="a5"/>
        <w:numPr>
          <w:ilvl w:val="0"/>
          <w:numId w:val="13"/>
        </w:numPr>
      </w:pPr>
      <w:r>
        <w:t>муниципальные ценные бумаги (жилищные облигационные займы);</w:t>
      </w:r>
    </w:p>
    <w:p w:rsidR="00AA630C" w:rsidRDefault="006878AE">
      <w:pPr>
        <w:pStyle w:val="a5"/>
        <w:numPr>
          <w:ilvl w:val="0"/>
          <w:numId w:val="13"/>
        </w:numPr>
      </w:pPr>
      <w:r>
        <w:t>ценные бумаги коммерческих банков (векселя, депозитные и сберегательные сертификаты);</w:t>
      </w:r>
    </w:p>
    <w:p w:rsidR="00AA630C" w:rsidRDefault="006878AE">
      <w:pPr>
        <w:pStyle w:val="a5"/>
        <w:numPr>
          <w:ilvl w:val="0"/>
          <w:numId w:val="13"/>
        </w:numPr>
      </w:pPr>
      <w:r>
        <w:t xml:space="preserve">ИПЧ «Имущество».  </w:t>
      </w:r>
    </w:p>
    <w:p w:rsidR="00AA630C" w:rsidRDefault="00AA630C">
      <w:pPr>
        <w:pStyle w:val="a5"/>
      </w:pPr>
    </w:p>
    <w:p w:rsidR="00AA630C" w:rsidRDefault="006878AE">
      <w:pPr>
        <w:pStyle w:val="a5"/>
      </w:pPr>
      <w:r>
        <w:t>В этот период доминирующее положение в структуре рынка занимают краткосрочные инструменты денежного рынка. Динамика объема вторичных торгов характеризуется возрастающей ролью сегмента государственных бумаг на рынке ценных бумаг. Основными участниками рынка, как и ранее, являются коммерческие банки.</w:t>
      </w:r>
    </w:p>
    <w:p w:rsidR="00AA630C" w:rsidRDefault="006878AE">
      <w:pPr>
        <w:pStyle w:val="a5"/>
      </w:pPr>
      <w:r>
        <w:t xml:space="preserve">Объем эмиссии ГКО в 1998 г. составил 22541 млрд. руб. и вырос на 124%. Минимальный срок обращения увеличился с 134 до 316 дней, а доходность сохранилась, примерно, на уровне ставки рефинансирования Национального банка  - 35-40% в 1997 году и 40-48% в 1998 году. Объем эмиссии ДГО составил 886,5 млрд. руб., увеличившись за год на 11%. В 1998 г. было проведено 40 выпусков ГКО против 25 в 1997 году и 4 выпуска ДГО против 2 в 1997 г. </w:t>
      </w:r>
    </w:p>
    <w:p w:rsidR="00AA630C" w:rsidRDefault="006878AE">
      <w:pPr>
        <w:pStyle w:val="a5"/>
      </w:pPr>
      <w:r>
        <w:t xml:space="preserve">Объем сделок с ГЦБ на вторичном рынке в 1998 году составил 207716 млрд. руб. и вырос на 41.6%. Сокращение коэффициента оборачиваемости государственных бумаг (отношение объема сделок на вторичном рынке к общему объему эмиссии) с 12 в 1997 году до 8,9 в 1998 г. объясняется, в первую очередь, снижением реальной доходности операций с ГКО (девальвация обменного курса белорусского рубля на 300% за третий квартал 1998 г.) свидетельствует  о резком ухудшении ожиданий субъектов хозяйствования относительно параметров будущей инфляции). </w:t>
      </w:r>
      <w:r>
        <w:sym w:font="Symbol" w:char="F05B"/>
      </w:r>
      <w:r>
        <w:t>9</w:t>
      </w:r>
      <w:r>
        <w:sym w:font="Symbol" w:char="F05D"/>
      </w:r>
    </w:p>
    <w:p w:rsidR="00AA630C" w:rsidRDefault="006878AE">
      <w:pPr>
        <w:pStyle w:val="a5"/>
      </w:pPr>
      <w:r>
        <w:t xml:space="preserve"> </w:t>
      </w:r>
    </w:p>
    <w:p w:rsidR="00AA630C" w:rsidRDefault="006878AE">
      <w:pPr>
        <w:pStyle w:val="a5"/>
      </w:pPr>
      <w:r>
        <w:t xml:space="preserve">Для эффективности открытых рыночных операций требуется свободное установление процентных ставок. Существующее ограничение на уровень ставок  на  первичном  рынке ГЦБ, вне зависимости от их срока  обращения, не дает возможности их использования в качестве механизма эффективного распределения ресурсов.  </w:t>
      </w:r>
    </w:p>
    <w:p w:rsidR="00AA630C" w:rsidRDefault="006878AE">
      <w:pPr>
        <w:pStyle w:val="a5"/>
      </w:pPr>
      <w:r>
        <w:t xml:space="preserve">На протяжении 1998 года реальная ставка рефинансирования оставалась отрицательной, что определяло низкую привлекательность ценных бумаг в белорусских рублях и приводило к бегству капитала. Объем финансирования дефицита государственного бюджета в 1998 году составил 4614 млрд. руб. (95,7% дефицита) против 10958 млрд. руб. (55,3) в 1997 году. </w:t>
      </w:r>
      <w:r>
        <w:sym w:font="Symbol" w:char="F05B"/>
      </w:r>
      <w:r>
        <w:t>7</w:t>
      </w:r>
      <w:r>
        <w:sym w:font="Symbol" w:char="F05D"/>
      </w:r>
    </w:p>
    <w:p w:rsidR="00AA630C" w:rsidRDefault="006878AE">
      <w:pPr>
        <w:pStyle w:val="a5"/>
      </w:pPr>
      <w:r>
        <w:t>В 1998 году наблюдалась отрицательная реальная доходность вложения денежных средств в государственные ценные бумаги Республики Беларусь.</w:t>
      </w:r>
    </w:p>
    <w:p w:rsidR="00AA630C" w:rsidRDefault="00AA630C">
      <w:pPr>
        <w:pStyle w:val="a5"/>
        <w:jc w:val="center"/>
        <w:rPr>
          <w:b/>
        </w:rPr>
      </w:pPr>
    </w:p>
    <w:p w:rsidR="00AA630C" w:rsidRDefault="006878AE">
      <w:pPr>
        <w:pStyle w:val="a5"/>
        <w:rPr>
          <w:lang w:val="en-US"/>
        </w:rPr>
      </w:pPr>
      <w:r>
        <w:t xml:space="preserve">1.4. В развитии рынка ценных бумаг РБ за последние годы осуществился переход к стадии активного становления. На регулярной основе функционирует только рынок ГЦБ, на котором также наблюдаются определенные трудности и проблемы, препятствующие его росту и стабильной работе. Но при условии хорошей организации он может быть использован в качестве инструмента для достижения безинфляционного кредитования дефицита государственного бюджета, сглаживания резких колебаний денежной ликвидности и поддержания устойчивого функционирования банковской системы. </w:t>
      </w:r>
      <w:r>
        <w:rPr>
          <w:lang w:val="en-US"/>
        </w:rPr>
        <w:t>[8]</w:t>
      </w:r>
    </w:p>
    <w:p w:rsidR="00AA630C" w:rsidRDefault="00AA630C">
      <w:pPr>
        <w:pStyle w:val="a5"/>
      </w:pPr>
    </w:p>
    <w:p w:rsidR="00AA630C" w:rsidRDefault="006878AE">
      <w:pPr>
        <w:pStyle w:val="a5"/>
      </w:pPr>
      <w:r>
        <w:t xml:space="preserve">На основании анализа состояния и перспектив развития рынка ценных бумаг РБ можно сделать следующие выводы </w:t>
      </w:r>
      <w:r>
        <w:rPr>
          <w:lang w:val="en-US"/>
        </w:rPr>
        <w:t>[9]</w:t>
      </w:r>
      <w:r>
        <w:t>:</w:t>
      </w:r>
    </w:p>
    <w:p w:rsidR="00AA630C" w:rsidRDefault="006878AE">
      <w:pPr>
        <w:pStyle w:val="a5"/>
      </w:pPr>
      <w:r>
        <w:rPr>
          <w:lang w:val="en-US"/>
        </w:rPr>
        <w:t xml:space="preserve">1). </w:t>
      </w:r>
      <w:r>
        <w:t>Быстрое совершенствование инфраструктуры рынка ценных бумаг, благодаря активному участию государства, создает предпосылки для формирования механизма трансформации национальных сбережений в инвестиции;</w:t>
      </w:r>
    </w:p>
    <w:p w:rsidR="00AA630C" w:rsidRDefault="006878AE">
      <w:pPr>
        <w:pStyle w:val="a5"/>
      </w:pPr>
      <w:r>
        <w:t>2). В настоящее время наблюдается перекос развития фондового рынка в сторону сегмента государственных ценных бумаг;</w:t>
      </w:r>
    </w:p>
    <w:p w:rsidR="00AA630C" w:rsidRDefault="006878AE">
      <w:pPr>
        <w:pStyle w:val="a5"/>
      </w:pPr>
      <w:r>
        <w:t>3). Банки выступают основными участниками рынка ценных бумаг;</w:t>
      </w:r>
    </w:p>
    <w:p w:rsidR="00AA630C" w:rsidRDefault="006878AE">
      <w:pPr>
        <w:pStyle w:val="a5"/>
      </w:pPr>
      <w:r>
        <w:t>4).Отрицательная реальная доходность вложения средств в  государственные бумаги при избыточной ликвидности в финансовой системе заставляет инвесторов искать более доходные инструменты – валютный рынок, векселя и облигации субъектов хозяйствования, акции приватизированных предприятий;</w:t>
      </w:r>
    </w:p>
    <w:p w:rsidR="00AA630C" w:rsidRDefault="006878AE">
      <w:pPr>
        <w:pStyle w:val="a5"/>
      </w:pPr>
      <w:r>
        <w:t>5). Рост  прибыли 100 ведущих акционерных обществ РБ по объему выручки и, следовательно, прибыльность вложения в акции этих предприятий  превосходит прибыльность операций с государственными ценными бумагами;</w:t>
      </w:r>
    </w:p>
    <w:p w:rsidR="00AA630C" w:rsidRDefault="006878AE">
      <w:pPr>
        <w:pStyle w:val="a5"/>
      </w:pPr>
      <w:r>
        <w:t>6). Аукционы по продаже акций, принадлежащих государству, оказывают позитивное влияние на активность вторичного рынка и увеличение прозрачности рынка, определение реальной цены акции;</w:t>
      </w:r>
    </w:p>
    <w:p w:rsidR="00AA630C" w:rsidRDefault="006878AE">
      <w:pPr>
        <w:pStyle w:val="a5"/>
      </w:pPr>
      <w:r>
        <w:t xml:space="preserve">7). Сокращение списания ИПЧ “Имущество” со счетов физических лиц свидетельствует о падении интереса населения к приобретению акций приватизируемых предприятий.   </w:t>
      </w:r>
    </w:p>
    <w:p w:rsidR="00AA630C" w:rsidRDefault="00AA630C">
      <w:pPr>
        <w:pStyle w:val="a5"/>
      </w:pPr>
    </w:p>
    <w:p w:rsidR="00AA630C" w:rsidRDefault="006878AE">
      <w:pPr>
        <w:pStyle w:val="a5"/>
      </w:pPr>
      <w:r>
        <w:t xml:space="preserve">В 1999 году продолжается работа по развитию рынка ценных бумаг в целях низкоинфляционного кредитования дефицита республиканского бюджета, что предусматривает наращивание объемов эмиссии ГЦБ, расширение круга инвесторов данного рынка путем привлечения физических лиц, региональных инвесторов и других субъектов хозяйствования.  </w:t>
      </w:r>
    </w:p>
    <w:p w:rsidR="00AA630C" w:rsidRDefault="006878AE">
      <w:pPr>
        <w:pStyle w:val="a5"/>
      </w:pPr>
      <w:r>
        <w:t>Для сглаживания резких колебаний процентных ставок денежного рынка и поддержания ликвидности банковской системы осуществляются операции Национального банка на открытом рынке ценных бумаг.</w:t>
      </w:r>
    </w:p>
    <w:p w:rsidR="00AA630C" w:rsidRDefault="006878AE">
      <w:pPr>
        <w:pStyle w:val="a5"/>
      </w:pPr>
      <w:r>
        <w:t>Важнейшей задачей развития рынка ценных бумаг в 1999 году становится дальнейшее формирование его инфраструктуры в части совершенствования механизмов обращения и погашения ценных бумаг посредством:</w:t>
      </w:r>
    </w:p>
    <w:p w:rsidR="00AA630C" w:rsidRDefault="006878AE">
      <w:pPr>
        <w:pStyle w:val="a5"/>
        <w:numPr>
          <w:ilvl w:val="0"/>
          <w:numId w:val="13"/>
        </w:numPr>
      </w:pPr>
      <w:r>
        <w:t>усовершенствования системы биржевой торговли ценными бумагами, проведения регулярных торгов ГЦБ на площадке Белорусской валютно-фондовой биржи;</w:t>
      </w:r>
    </w:p>
    <w:p w:rsidR="00AA630C" w:rsidRDefault="006878AE">
      <w:pPr>
        <w:pStyle w:val="a5"/>
        <w:numPr>
          <w:ilvl w:val="0"/>
          <w:numId w:val="13"/>
        </w:numPr>
        <w:rPr>
          <w:b/>
        </w:rPr>
      </w:pPr>
      <w:r>
        <w:t>совершенствование системы депозитарного учета и расчетов по ценным бумагам;</w:t>
      </w:r>
    </w:p>
    <w:p w:rsidR="00AA630C" w:rsidRDefault="006878AE">
      <w:pPr>
        <w:pStyle w:val="a5"/>
        <w:numPr>
          <w:ilvl w:val="0"/>
          <w:numId w:val="13"/>
        </w:numPr>
        <w:rPr>
          <w:b/>
        </w:rPr>
      </w:pPr>
      <w:r>
        <w:t>проведения комплекса мероприятий по совершенствованию нормативной базы, регулирующей рынок корпоративных ценных бумаг, включая раскрытие информации об эмитенте;</w:t>
      </w:r>
    </w:p>
    <w:p w:rsidR="00AA630C" w:rsidRDefault="006878AE">
      <w:pPr>
        <w:pStyle w:val="a5"/>
        <w:numPr>
          <w:ilvl w:val="0"/>
          <w:numId w:val="13"/>
        </w:numPr>
        <w:rPr>
          <w:b/>
        </w:rPr>
      </w:pPr>
      <w:r>
        <w:t>совершенствование системы учета ценных бумаг банков, в том числе переданных в доверительное управление;</w:t>
      </w:r>
    </w:p>
    <w:p w:rsidR="00AA630C" w:rsidRDefault="006878AE">
      <w:pPr>
        <w:pStyle w:val="a5"/>
        <w:numPr>
          <w:ilvl w:val="0"/>
          <w:numId w:val="13"/>
        </w:numPr>
        <w:rPr>
          <w:b/>
        </w:rPr>
      </w:pPr>
      <w:r>
        <w:t>расширение спектра эмитируемых банками ценных бумаг в целях привлечения средств физических и юридических лиц в реальный сектор экономики;</w:t>
      </w:r>
    </w:p>
    <w:p w:rsidR="00AA630C" w:rsidRDefault="006878AE">
      <w:pPr>
        <w:pStyle w:val="a5"/>
        <w:numPr>
          <w:ilvl w:val="0"/>
          <w:numId w:val="13"/>
        </w:numPr>
        <w:rPr>
          <w:b/>
        </w:rPr>
      </w:pPr>
      <w:r>
        <w:t xml:space="preserve">расширение возможностей банков по инвестированию в ценные бумаги с одновременным обеспечением защиты вкладчиков.[10]      </w:t>
      </w:r>
    </w:p>
    <w:p w:rsidR="00AA630C" w:rsidRDefault="00AA630C">
      <w:pPr>
        <w:pStyle w:val="a5"/>
      </w:pPr>
    </w:p>
    <w:p w:rsidR="00AA630C" w:rsidRDefault="006878AE">
      <w:pPr>
        <w:pStyle w:val="a5"/>
        <w:rPr>
          <w:sz w:val="28"/>
        </w:rPr>
      </w:pPr>
      <w:r>
        <w:rPr>
          <w:sz w:val="28"/>
        </w:rPr>
        <w:t>2. Векселя, их классификация и функции</w:t>
      </w:r>
    </w:p>
    <w:p w:rsidR="00AA630C" w:rsidRDefault="00AA630C">
      <w:pPr>
        <w:pStyle w:val="a5"/>
        <w:rPr>
          <w:sz w:val="28"/>
        </w:rPr>
      </w:pPr>
    </w:p>
    <w:p w:rsidR="00AA630C" w:rsidRDefault="006878AE">
      <w:pPr>
        <w:pStyle w:val="a5"/>
      </w:pPr>
      <w:r>
        <w:t>Вексель – документ, составленный с соблюдением предписанных форм и опосредующий срочное денежное обязательство. Вексель – разновидность кредитных денег, уже несколько веков применяющийся в мировой практике.</w:t>
      </w:r>
    </w:p>
    <w:p w:rsidR="00AA630C" w:rsidRDefault="00AA630C">
      <w:pPr>
        <w:pStyle w:val="a5"/>
      </w:pPr>
    </w:p>
    <w:p w:rsidR="00AA630C" w:rsidRDefault="006878AE">
      <w:pPr>
        <w:pStyle w:val="a5"/>
        <w:rPr>
          <w:sz w:val="28"/>
        </w:rPr>
      </w:pPr>
      <w:r>
        <w:rPr>
          <w:sz w:val="28"/>
        </w:rPr>
        <w:t>2.1.  Классификация векселей</w:t>
      </w:r>
    </w:p>
    <w:p w:rsidR="00AA630C" w:rsidRDefault="00AA630C">
      <w:pPr>
        <w:pStyle w:val="a5"/>
      </w:pPr>
    </w:p>
    <w:p w:rsidR="00AA630C" w:rsidRDefault="006878AE">
      <w:pPr>
        <w:pStyle w:val="a5"/>
      </w:pPr>
      <w:r>
        <w:t>Вексель – это ценная бумага, в которой содержится безусловное, абстрактное и строго формальное обязательство уплатить определенную денежную сумму.</w:t>
      </w:r>
    </w:p>
    <w:p w:rsidR="00AA630C" w:rsidRDefault="00AA630C">
      <w:pPr>
        <w:pStyle w:val="a5"/>
      </w:pPr>
    </w:p>
    <w:p w:rsidR="00AA630C" w:rsidRDefault="006878AE">
      <w:pPr>
        <w:pStyle w:val="a5"/>
      </w:pPr>
      <w:r>
        <w:t>2.1.1. Основные термины, используемые при раскрытии понятия векселя и его назначения:</w:t>
      </w:r>
    </w:p>
    <w:p w:rsidR="00AA630C" w:rsidRDefault="00AA630C">
      <w:pPr>
        <w:pStyle w:val="a5"/>
      </w:pPr>
    </w:p>
    <w:p w:rsidR="00AA630C" w:rsidRDefault="006878AE">
      <w:pPr>
        <w:pStyle w:val="a5"/>
      </w:pPr>
      <w:r>
        <w:t xml:space="preserve">1). Безусловность  - </w:t>
      </w:r>
      <w:r>
        <w:tab/>
        <w:t xml:space="preserve">Женевский вексельный закон требует, чтобы в векселе содержалось простое и ничем не обусловленное обязательство уплатить определенную сумму. </w:t>
      </w:r>
    </w:p>
    <w:p w:rsidR="00AA630C" w:rsidRDefault="006878AE">
      <w:pPr>
        <w:pStyle w:val="a5"/>
      </w:pPr>
      <w:r>
        <w:t xml:space="preserve">Предложение, адресуемое векселедателем плательщику по тратте, также должно быть простым и ничем не обусловленным. Отсутствие в тексте документа безусловного приказа или обязательства приводит к недействительности векселя. </w:t>
      </w:r>
    </w:p>
    <w:p w:rsidR="00AA630C" w:rsidRDefault="006878AE">
      <w:pPr>
        <w:pStyle w:val="a5"/>
      </w:pPr>
      <w:r>
        <w:t xml:space="preserve"> </w:t>
      </w:r>
    </w:p>
    <w:p w:rsidR="00AA630C" w:rsidRDefault="006878AE">
      <w:pPr>
        <w:pStyle w:val="a5"/>
      </w:pPr>
      <w:r>
        <w:t xml:space="preserve">2). Абстрактность - </w:t>
      </w:r>
      <w:r>
        <w:tab/>
        <w:t>критерий абстрактности предполагает, что должник по векселю обязан платить только потому, что вексель выдан, независимо от того в свете каких правоотношений он был выдан. Это не говорит о безосновательности векселя. Он может выдаваться для оформления договора займа, платежа по договору купли-продажи и т.д. Дело в том, что в векселе основание выдачи скрыто под безусловным обязательством или приказом уплатить определенную сумму денег. С момента выдачи векселя между сторонами сделки возникают правоотношения обособленные от первоначальной сделки и регламентируемые вексельным правом.</w:t>
      </w:r>
    </w:p>
    <w:p w:rsidR="00AA630C" w:rsidRDefault="00AA630C">
      <w:pPr>
        <w:pStyle w:val="a5"/>
      </w:pPr>
    </w:p>
    <w:p w:rsidR="00AA630C" w:rsidRDefault="006878AE">
      <w:pPr>
        <w:pStyle w:val="a5"/>
      </w:pPr>
      <w:r>
        <w:t xml:space="preserve">3). Формальность - </w:t>
      </w:r>
      <w:r>
        <w:tab/>
        <w:t xml:space="preserve">к оформлению векселя предъявляются определенные требования. В первую очередь это письменная форма документа. Нормы Единообразного закона устанавливают перечень обязательных реквизитов, отсутствие которых приводит к потере документом вексельной силы, кроме случаев, прямо указанных в законе.  </w:t>
      </w:r>
    </w:p>
    <w:p w:rsidR="00AA630C" w:rsidRDefault="00AA630C">
      <w:pPr>
        <w:pStyle w:val="a5"/>
      </w:pPr>
    </w:p>
    <w:p w:rsidR="00AA630C" w:rsidRDefault="006878AE">
      <w:pPr>
        <w:pStyle w:val="a5"/>
      </w:pPr>
      <w:r>
        <w:t xml:space="preserve">2.1.2. Классификация векселей производится по различным признакам. </w:t>
      </w:r>
      <w:r>
        <w:tab/>
        <w:t>В зависимости от признака, положенного в основу классификации, выделяют следующие виды векселей:</w:t>
      </w:r>
    </w:p>
    <w:p w:rsidR="00AA630C" w:rsidRDefault="00AA630C">
      <w:pPr>
        <w:pStyle w:val="a5"/>
      </w:pPr>
    </w:p>
    <w:p w:rsidR="00AA630C" w:rsidRDefault="006878AE">
      <w:pPr>
        <w:pStyle w:val="a5"/>
      </w:pPr>
      <w:r>
        <w:t>1) По эмитенту:</w:t>
      </w:r>
    </w:p>
    <w:p w:rsidR="00AA630C" w:rsidRDefault="006878AE">
      <w:pPr>
        <w:pStyle w:val="a5"/>
        <w:numPr>
          <w:ilvl w:val="0"/>
          <w:numId w:val="13"/>
        </w:numPr>
      </w:pPr>
      <w:r>
        <w:t>Казначейские векселя – краткосрочные долговые обязательства, выпускаемые Правительством страны или министерством финансов.</w:t>
      </w:r>
    </w:p>
    <w:p w:rsidR="00AA630C" w:rsidRDefault="006878AE">
      <w:pPr>
        <w:pStyle w:val="a5"/>
        <w:numPr>
          <w:ilvl w:val="0"/>
          <w:numId w:val="13"/>
        </w:numPr>
      </w:pPr>
      <w:r>
        <w:t>Частные векселя – эмитируются корпорациями, финансовыми группами, коммерческими банками. Срочность таких векселей составляет от нескольких недель до нескольких месяцев. Специального обеспечения эти бумаги не имеют, а их ликвидность определяется авторитетом векселедателя.</w:t>
      </w:r>
    </w:p>
    <w:p w:rsidR="00AA630C" w:rsidRDefault="006878AE">
      <w:pPr>
        <w:pStyle w:val="a5"/>
        <w:numPr>
          <w:ilvl w:val="0"/>
          <w:numId w:val="13"/>
        </w:numPr>
      </w:pPr>
      <w:r>
        <w:t>Муниципальные векселя – выпускаются администрацией территориальных единиц государства.</w:t>
      </w:r>
    </w:p>
    <w:p w:rsidR="00AA630C" w:rsidRDefault="00AA630C">
      <w:pPr>
        <w:pStyle w:val="a5"/>
      </w:pPr>
    </w:p>
    <w:p w:rsidR="00AA630C" w:rsidRDefault="006878AE">
      <w:pPr>
        <w:pStyle w:val="a5"/>
      </w:pPr>
      <w:r>
        <w:t>2) По предмету обслуживаемой сделки:</w:t>
      </w:r>
    </w:p>
    <w:p w:rsidR="00AA630C" w:rsidRDefault="006878AE">
      <w:pPr>
        <w:pStyle w:val="a5"/>
        <w:numPr>
          <w:ilvl w:val="0"/>
          <w:numId w:val="13"/>
        </w:numPr>
      </w:pPr>
      <w:r>
        <w:t>Финансовый вексель – отражает отношения займа денежных средств векселедателем у векселедержателя под определенные проценты, то есть в основе векселя лежит не купля-продажа, а финансовая операция.</w:t>
      </w:r>
    </w:p>
    <w:p w:rsidR="00AA630C" w:rsidRDefault="006878AE">
      <w:pPr>
        <w:pStyle w:val="a5"/>
        <w:numPr>
          <w:ilvl w:val="0"/>
          <w:numId w:val="13"/>
        </w:numPr>
      </w:pPr>
      <w:r>
        <w:t xml:space="preserve">Товарный вексель – документ, в основе которого лежит сделка по купле-продаже товара. Продавец передает в собственность покупателя товар, получая от последнего обязательство уплатить через определенное время стоимость товара и проценты за отсрочку платежа. Товарный вексель выступает как форма коммерческого кредита, представляемого предприятиями друг другу без привлечения средств банка.    </w:t>
      </w:r>
    </w:p>
    <w:p w:rsidR="00AA630C" w:rsidRDefault="00AA630C">
      <w:pPr>
        <w:pStyle w:val="a5"/>
      </w:pPr>
    </w:p>
    <w:p w:rsidR="00AA630C" w:rsidRDefault="006878AE">
      <w:pPr>
        <w:pStyle w:val="a5"/>
      </w:pPr>
      <w:r>
        <w:t>3) По субъектам, оплачивающим вексельную сумму:</w:t>
      </w:r>
    </w:p>
    <w:p w:rsidR="00AA630C" w:rsidRDefault="006878AE">
      <w:pPr>
        <w:pStyle w:val="a5"/>
        <w:numPr>
          <w:ilvl w:val="0"/>
          <w:numId w:val="13"/>
        </w:numPr>
      </w:pPr>
      <w:r>
        <w:t>Соло-вексель (простой) – безусловное обязательство векселедателя уплатить определенную сумму денег предъявителю векселя или лицу, обозначенному в векселе, или тому, кого оно укажет через установленный срок или по требованию.</w:t>
      </w:r>
    </w:p>
    <w:p w:rsidR="00AA630C" w:rsidRDefault="006878AE">
      <w:pPr>
        <w:pStyle w:val="a5"/>
        <w:numPr>
          <w:ilvl w:val="0"/>
          <w:numId w:val="13"/>
        </w:numPr>
      </w:pPr>
      <w:r>
        <w:t>Тратта (переводный) вексель – содержит письменное, безусловное указание векселедателя (трассанта) плательщику (трассату) уплатить определенную сумму денег предъявителю векселя или лицу, указанному в векселе, либо тому, кого оно укажет через установленный срок или по требованию.</w:t>
      </w:r>
    </w:p>
    <w:p w:rsidR="00AA630C" w:rsidRDefault="00AA630C">
      <w:pPr>
        <w:pStyle w:val="a5"/>
      </w:pPr>
    </w:p>
    <w:p w:rsidR="00AA630C" w:rsidRDefault="006878AE">
      <w:pPr>
        <w:pStyle w:val="a5"/>
      </w:pPr>
      <w:r>
        <w:t>Отличие между простым и переводным векселями заключается в распорядительной фразе векселедателя:</w:t>
      </w:r>
    </w:p>
    <w:p w:rsidR="00AA630C" w:rsidRDefault="006878AE">
      <w:pPr>
        <w:pStyle w:val="a5"/>
        <w:numPr>
          <w:ilvl w:val="0"/>
          <w:numId w:val="13"/>
        </w:numPr>
      </w:pPr>
      <w:r>
        <w:t>в простом векселе векселедатель указывает - «обязуюсь заплатить», «обязуюсь безусловно уплатить» или какую-либо равнозначную по смыслу фразу;</w:t>
      </w:r>
    </w:p>
    <w:p w:rsidR="00AA630C" w:rsidRDefault="006878AE">
      <w:pPr>
        <w:pStyle w:val="a5"/>
        <w:numPr>
          <w:ilvl w:val="0"/>
          <w:numId w:val="13"/>
        </w:numPr>
      </w:pPr>
      <w:r>
        <w:t>в переводном векселе векселедатель совершает вексельный приказ: «платите». Для того чтобы трассат уплатил по переводному векселю, векселедателю необходимо это долговое обязательство представить к акцепту. Акцепт должен быть простым и ничем не обусловленным. Исключение составляет то, что акцепт может быть ограничен частью суммы.</w:t>
      </w:r>
    </w:p>
    <w:p w:rsidR="00AA630C" w:rsidRDefault="00AA630C">
      <w:pPr>
        <w:pStyle w:val="a5"/>
      </w:pPr>
    </w:p>
    <w:p w:rsidR="00AA630C" w:rsidRDefault="006878AE">
      <w:pPr>
        <w:pStyle w:val="a5"/>
      </w:pPr>
      <w:r>
        <w:t>4) По способам отражения в долговом обязательстве вексельной суммы:</w:t>
      </w:r>
    </w:p>
    <w:p w:rsidR="00AA630C" w:rsidRDefault="006878AE">
      <w:pPr>
        <w:pStyle w:val="a5"/>
        <w:numPr>
          <w:ilvl w:val="0"/>
          <w:numId w:val="13"/>
        </w:numPr>
      </w:pPr>
      <w:r>
        <w:t>Процентные – это векселя, обязательство платить по которым составляет сумму денежных средств и процентов, начисляемых на эту сумму.</w:t>
      </w:r>
    </w:p>
    <w:p w:rsidR="00AA630C" w:rsidRDefault="006878AE">
      <w:pPr>
        <w:pStyle w:val="a5"/>
        <w:numPr>
          <w:ilvl w:val="0"/>
          <w:numId w:val="13"/>
        </w:numPr>
      </w:pPr>
      <w:r>
        <w:t>Дисконтные – это векселя, обязательство платить по которым составляет определенную сумму денежных средств (номинал векселя), обращающиеся на рынке со скидкой с номинала.</w:t>
      </w:r>
    </w:p>
    <w:p w:rsidR="00AA630C" w:rsidRDefault="00AA630C">
      <w:pPr>
        <w:pStyle w:val="a5"/>
      </w:pPr>
    </w:p>
    <w:p w:rsidR="00AA630C" w:rsidRDefault="006878AE">
      <w:pPr>
        <w:pStyle w:val="a5"/>
      </w:pPr>
      <w:r>
        <w:t>5) По наличию либо отсутствию залога:</w:t>
      </w:r>
    </w:p>
    <w:p w:rsidR="00AA630C" w:rsidRDefault="006878AE">
      <w:pPr>
        <w:pStyle w:val="a5"/>
        <w:numPr>
          <w:ilvl w:val="0"/>
          <w:numId w:val="13"/>
        </w:numPr>
      </w:pPr>
      <w:r>
        <w:t>обеспеченные залогом;</w:t>
      </w:r>
    </w:p>
    <w:p w:rsidR="00AA630C" w:rsidRDefault="006878AE">
      <w:pPr>
        <w:pStyle w:val="a5"/>
        <w:numPr>
          <w:ilvl w:val="0"/>
          <w:numId w:val="13"/>
        </w:numPr>
      </w:pPr>
      <w:r>
        <w:t>необеспеченные залогом.</w:t>
      </w:r>
    </w:p>
    <w:p w:rsidR="00AA630C" w:rsidRDefault="00AA630C">
      <w:pPr>
        <w:pStyle w:val="a5"/>
      </w:pPr>
    </w:p>
    <w:p w:rsidR="00AA630C" w:rsidRDefault="006878AE">
      <w:pPr>
        <w:pStyle w:val="a5"/>
      </w:pPr>
      <w:r>
        <w:t>6) По срокам платежа:</w:t>
      </w:r>
    </w:p>
    <w:p w:rsidR="00AA630C" w:rsidRDefault="006878AE">
      <w:pPr>
        <w:pStyle w:val="a5"/>
        <w:numPr>
          <w:ilvl w:val="0"/>
          <w:numId w:val="28"/>
        </w:numPr>
      </w:pPr>
      <w:r>
        <w:t>срочные.</w:t>
      </w:r>
    </w:p>
    <w:p w:rsidR="00AA630C" w:rsidRDefault="006878AE">
      <w:pPr>
        <w:pStyle w:val="a5"/>
        <w:numPr>
          <w:ilvl w:val="0"/>
          <w:numId w:val="28"/>
        </w:numPr>
      </w:pPr>
      <w:r>
        <w:t>по предъявлении.</w:t>
      </w:r>
    </w:p>
    <w:p w:rsidR="00AA630C" w:rsidRDefault="00AA630C">
      <w:pPr>
        <w:pStyle w:val="a5"/>
      </w:pPr>
    </w:p>
    <w:p w:rsidR="00AA630C" w:rsidRDefault="006878AE">
      <w:pPr>
        <w:pStyle w:val="a5"/>
      </w:pPr>
      <w:r>
        <w:t xml:space="preserve">В соответствии с положениями Единообразного закона переводный вексель, срок платежа по которому не обозначен, рассматривается как подлежащий оплате по предъявлении. </w:t>
      </w:r>
    </w:p>
    <w:p w:rsidR="00AA630C" w:rsidRDefault="00AA630C">
      <w:pPr>
        <w:pStyle w:val="a5"/>
      </w:pPr>
    </w:p>
    <w:p w:rsidR="00AA630C" w:rsidRDefault="006878AE">
      <w:pPr>
        <w:pStyle w:val="a5"/>
      </w:pPr>
      <w:r>
        <w:t>7) По возможности индоссации:</w:t>
      </w:r>
    </w:p>
    <w:p w:rsidR="00AA630C" w:rsidRDefault="006878AE">
      <w:pPr>
        <w:pStyle w:val="a5"/>
        <w:numPr>
          <w:ilvl w:val="0"/>
          <w:numId w:val="29"/>
        </w:numPr>
      </w:pPr>
      <w:r>
        <w:t>индоссируемые.</w:t>
      </w:r>
    </w:p>
    <w:p w:rsidR="00AA630C" w:rsidRDefault="006878AE">
      <w:pPr>
        <w:pStyle w:val="a5"/>
        <w:numPr>
          <w:ilvl w:val="0"/>
          <w:numId w:val="29"/>
        </w:numPr>
      </w:pPr>
      <w:r>
        <w:t>не индоссируемые.</w:t>
      </w:r>
    </w:p>
    <w:p w:rsidR="00AA630C" w:rsidRDefault="00AA630C">
      <w:pPr>
        <w:pStyle w:val="a5"/>
      </w:pPr>
    </w:p>
    <w:p w:rsidR="00AA630C" w:rsidRDefault="006878AE">
      <w:pPr>
        <w:pStyle w:val="a5"/>
      </w:pPr>
      <w:r>
        <w:t xml:space="preserve">Индоссамент (от итал. </w:t>
      </w:r>
      <w:r>
        <w:rPr>
          <w:lang w:val="en-US"/>
        </w:rPr>
        <w:t>in dorso</w:t>
      </w:r>
      <w:r>
        <w:t xml:space="preserve"> – на спине, на обороте) – это передаточная надпись на векселе, посредством которой оформляется передача прав по нему от одного лица (индоссанта) в пользу другого лица (индоссата). Индоссамент проставляется на оборотной стороне векселя или на добавочном листе.  </w:t>
      </w:r>
    </w:p>
    <w:p w:rsidR="00AA630C" w:rsidRDefault="006878AE">
      <w:pPr>
        <w:pStyle w:val="a5"/>
      </w:pPr>
      <w:r>
        <w:t xml:space="preserve">Вексель, в том числе выданный без прямой оговорки о приказе, может быть передан посредством индоссамента (индоссируемый вексель). Если векселедатель поместил в векселе слова «не по приказу» или какое-либо равнозначное выражение, то это делает долговое обязательство не индоссируемым.     </w:t>
      </w:r>
    </w:p>
    <w:p w:rsidR="00AA630C" w:rsidRDefault="00AA630C">
      <w:pPr>
        <w:pStyle w:val="a5"/>
        <w:rPr>
          <w:sz w:val="28"/>
        </w:rPr>
      </w:pPr>
    </w:p>
    <w:p w:rsidR="00AA630C" w:rsidRDefault="006878AE">
      <w:pPr>
        <w:pStyle w:val="a5"/>
        <w:rPr>
          <w:sz w:val="28"/>
        </w:rPr>
      </w:pPr>
      <w:r>
        <w:rPr>
          <w:sz w:val="28"/>
        </w:rPr>
        <w:t>2.2. Основные функции векселя.</w:t>
      </w:r>
    </w:p>
    <w:p w:rsidR="00AA630C" w:rsidRDefault="00AA630C">
      <w:pPr>
        <w:pStyle w:val="a5"/>
        <w:rPr>
          <w:sz w:val="28"/>
        </w:rPr>
      </w:pPr>
    </w:p>
    <w:p w:rsidR="00AA630C" w:rsidRDefault="006878AE">
      <w:pPr>
        <w:pStyle w:val="a5"/>
      </w:pPr>
      <w:r>
        <w:t>Вексель следует рассматривать как расчетно-платежное средство, т.е. он может выполнять функции денег как средство платежа и как средство обращения.</w:t>
      </w:r>
    </w:p>
    <w:p w:rsidR="00AA630C" w:rsidRDefault="006878AE">
      <w:pPr>
        <w:pStyle w:val="a5"/>
      </w:pPr>
      <w:r>
        <w:t>В нормально функционирующей рыночной экономике вексель стал неотъемлемым элементом многих операций. В условиях переходной экономики субъекты хозяйствования вынуждены применять вексельное право с учетом множества нормативных ограничений предпринимательской деятельности. Наибольших результатов, пожалуй, достигли специалисты в Российской Федерации. Этому способствовал богатый опыт, накопленный в дореволюционный период в России и более высокие, по сравнению с другими странами СНГ, темпы развития предпринимательства. Негативным</w:t>
      </w:r>
      <w:r>
        <w:rPr>
          <w:lang w:val="en-US"/>
        </w:rPr>
        <w:t xml:space="preserve"> </w:t>
      </w:r>
      <w:r>
        <w:t xml:space="preserve">экономическим фактором, положительно повлиявшим на судьбу векселя, стала слабо развитая финансовая система России. Неплатежи, захлестнувшие все государство, вынудили искать пути выхода. Изучение зарубежного опыта привело к выводу, что вексель – одно из наиболее эффективных средств, которое может способствовать развязке неплатежей. </w:t>
      </w:r>
    </w:p>
    <w:p w:rsidR="00AA630C" w:rsidRDefault="00AA630C">
      <w:pPr>
        <w:pStyle w:val="a5"/>
      </w:pPr>
    </w:p>
    <w:p w:rsidR="00AA630C" w:rsidRDefault="006878AE">
      <w:pPr>
        <w:pStyle w:val="a5"/>
        <w:rPr>
          <w:lang w:val="en-US"/>
        </w:rPr>
      </w:pPr>
      <w:r>
        <w:sym w:font="Symbol" w:char="F049"/>
      </w:r>
      <w:r>
        <w:t xml:space="preserve">. Основная функция векселя – служить средством расчета, так как является наиболее эффективным средством, способствующим развязке неплатежей. </w:t>
      </w:r>
      <w:r>
        <w:rPr>
          <w:lang w:val="en-US"/>
        </w:rPr>
        <w:t>[11]</w:t>
      </w:r>
    </w:p>
    <w:p w:rsidR="00AA630C" w:rsidRDefault="006878AE">
      <w:pPr>
        <w:pStyle w:val="a5"/>
      </w:pPr>
      <w:r>
        <w:tab/>
        <w:t>Применение векселя позволяет ускорить процедуру расчетов, ибо нет необходимости ждать, пока деньги за товар поступят из банка покупателя в банк продавца. Посредством векселя осуществляется перевод ценностей из распоряжения одного лица в распоряжение другого. Получив вексель, продавец может учесть его в банке и получить деньги.</w:t>
      </w:r>
    </w:p>
    <w:p w:rsidR="00AA630C" w:rsidRDefault="00AA630C">
      <w:pPr>
        <w:pStyle w:val="a5"/>
      </w:pPr>
    </w:p>
    <w:p w:rsidR="00AA630C" w:rsidRDefault="006878AE">
      <w:pPr>
        <w:pStyle w:val="a5"/>
      </w:pPr>
      <w:r>
        <w:tab/>
        <w:t>Некоторые предприятия и банки создают для удобства расчетов вексельные союзы, синдикаты и другие объединения. Такие объединения возникают, как правило, на базе концернов, консорциумов и других объединений с крупными финансовыми потоками, а так же вокруг предприятий стратегических отраслей.</w:t>
      </w:r>
    </w:p>
    <w:p w:rsidR="00AA630C" w:rsidRDefault="00AA630C">
      <w:pPr>
        <w:pStyle w:val="a5"/>
      </w:pPr>
    </w:p>
    <w:p w:rsidR="00AA630C" w:rsidRDefault="006878AE">
      <w:pPr>
        <w:pStyle w:val="a5"/>
        <w:rPr>
          <w:lang w:val="en-US"/>
        </w:rPr>
      </w:pPr>
      <w:r>
        <w:tab/>
      </w:r>
      <w:r>
        <w:sym w:font="Symbol" w:char="F049"/>
      </w:r>
      <w:r>
        <w:sym w:font="Symbol" w:char="F049"/>
      </w:r>
      <w:r>
        <w:t>. Вексель применяется для зачета долговых требований как долговое обязательство.</w:t>
      </w:r>
      <w:r>
        <w:rPr>
          <w:lang w:val="en-US"/>
        </w:rPr>
        <w:t xml:space="preserve"> </w:t>
      </w:r>
    </w:p>
    <w:p w:rsidR="00AA630C" w:rsidRDefault="006878AE">
      <w:pPr>
        <w:pStyle w:val="a5"/>
      </w:pPr>
      <w:r>
        <w:t xml:space="preserve">В соответствии с нормами гражданского законодательства обязательство может быть прекращено полностью или в части путем зачета встречных однородных требований, срок которых наступил либо определен моментом востребования. В настоящее время существует ряд предприятий, оказывающих услуги по установлению цепочек кредиторов и дебиторов и организации проведения зачета по определенным схемам, в том числе и посредством векселей.   </w:t>
      </w:r>
    </w:p>
    <w:p w:rsidR="00AA630C" w:rsidRDefault="00AA630C">
      <w:pPr>
        <w:pStyle w:val="a5"/>
      </w:pPr>
    </w:p>
    <w:p w:rsidR="00AA630C" w:rsidRDefault="006878AE">
      <w:pPr>
        <w:pStyle w:val="a5"/>
      </w:pPr>
      <w:r>
        <w:tab/>
      </w:r>
      <w:r>
        <w:sym w:font="Symbol" w:char="F049"/>
      </w:r>
      <w:r>
        <w:sym w:font="Symbol" w:char="F049"/>
      </w:r>
      <w:r>
        <w:sym w:font="Symbol" w:char="F049"/>
      </w:r>
      <w:r>
        <w:t xml:space="preserve">. В некоторых случаях вексель применяется для предоставления кредитов. </w:t>
      </w:r>
    </w:p>
    <w:p w:rsidR="00AA630C" w:rsidRDefault="006878AE">
      <w:pPr>
        <w:pStyle w:val="a5"/>
      </w:pPr>
      <w:r>
        <w:t xml:space="preserve">При отсутствии у покупателя средств для оплаты товара, он выписывает вексель с обязательством уплатить определенную сумму в определенный срок. Продавец может учесть вексель в банке и получит причитающуюся сумму, а может заложить его в банке и получить в кредит. </w:t>
      </w:r>
    </w:p>
    <w:p w:rsidR="00AA630C" w:rsidRDefault="006878AE">
      <w:pPr>
        <w:pStyle w:val="a5"/>
      </w:pPr>
      <w:r>
        <w:t>Вексель опосредует кредитные отношения. В основе такой операции лежит сделка  - предоставление денег взаймы на некоторый срок под определенный процент.</w:t>
      </w:r>
    </w:p>
    <w:p w:rsidR="00AA630C" w:rsidRDefault="006878AE">
      <w:pPr>
        <w:pStyle w:val="a5"/>
      </w:pPr>
      <w:r>
        <w:tab/>
      </w:r>
      <w:r>
        <w:sym w:font="Symbol" w:char="F049"/>
      </w:r>
      <w:r>
        <w:rPr>
          <w:lang w:val="en-US"/>
        </w:rPr>
        <w:t>V</w:t>
      </w:r>
      <w:r>
        <w:t xml:space="preserve">. Банки, реже другие организации, выступают в качестве гарантов по вексельному обязательству. </w:t>
      </w:r>
    </w:p>
    <w:p w:rsidR="00AA630C" w:rsidRDefault="006878AE">
      <w:pPr>
        <w:pStyle w:val="a5"/>
      </w:pPr>
      <w:r>
        <w:t>Оформляется такая гарантия путем проставления на векселе аваля. В случае неисполнения обязательства по авалированному векселю требование может быть удовлетворено за счет средств банка (авалиста). Подобная гарантия сопряжена с дополнительными расходами, потому что дается только при условии выплаты банку вознаграждения, но приводит к повышению ликвидности.</w:t>
      </w:r>
    </w:p>
    <w:p w:rsidR="00AA630C" w:rsidRDefault="00AA630C">
      <w:pPr>
        <w:pStyle w:val="a5"/>
      </w:pPr>
    </w:p>
    <w:p w:rsidR="00AA630C" w:rsidRDefault="006878AE">
      <w:pPr>
        <w:pStyle w:val="a5"/>
        <w:rPr>
          <w:b/>
        </w:rPr>
      </w:pPr>
      <w:r>
        <w:t>Вексель применим при осуществлении факторинговых и форфейтинговых операций, которые получили широкое применение в развитых странах. Проведение этих операции требует определенного уровня развития экономических отношений и соответствующей законодательной базы.</w:t>
      </w:r>
    </w:p>
    <w:p w:rsidR="00AA630C" w:rsidRDefault="00AA630C">
      <w:pPr>
        <w:pStyle w:val="a5"/>
      </w:pPr>
    </w:p>
    <w:p w:rsidR="00AA630C" w:rsidRDefault="006878AE">
      <w:pPr>
        <w:pStyle w:val="a5"/>
      </w:pPr>
      <w:r>
        <w:t xml:space="preserve">Всплеск вексельной активности наблюдался в Республике Беларусь в 1996-1997 годах. Заполнялись правовые пробелы, принимались государственные вексельные программы, но, к сожалению, на сегодняшний день векселя крайне редко применяются в Беларуси. </w:t>
      </w:r>
    </w:p>
    <w:p w:rsidR="00AA630C" w:rsidRDefault="006878AE">
      <w:pPr>
        <w:pStyle w:val="a5"/>
      </w:pPr>
      <w:r>
        <w:t>Однозначно определить причину такой «невостребованности» трудно. Скорее всего, повлияла государственная политика в сфере регулирования внешнеэкономической деятельности и валютного законодательства. Утверждалось одно ограничение за другим, устанавливались жесткие, иногда непропорциональные штрафы, налагаемые как на предприятия, так и на должностных лиц этих предприятий. Итогом стало снижение активности белорусских предприятий на внешних рынках, а на внутреннем рынке вексель не используется, как правило, по причине плохой осведомленности управленческого персонала о механизмах вексельного обращения и об их правовом регулировании.</w:t>
      </w:r>
    </w:p>
    <w:p w:rsidR="00AA630C" w:rsidRDefault="00AA630C">
      <w:pPr>
        <w:pStyle w:val="a5"/>
      </w:pPr>
    </w:p>
    <w:p w:rsidR="00AA630C" w:rsidRDefault="006878AE">
      <w:pPr>
        <w:pStyle w:val="a5"/>
      </w:pPr>
      <w:r>
        <w:t xml:space="preserve">В первом полугодии 1999 г. Правительство Республики Беларусь предприняло попытку оживить вексельный рынок, приняв постановление «Об утверждении порядка выпуска, учета и авалирования векселей субъектами хозяйствования», за ним последовал приказ Государственного комитета Республики Беларусь по ценным бумагам, которым утверждалось «Положение о порядке использования долговых обязательств для сокращения задолженностей между субъектами хозяйствования». </w:t>
      </w:r>
    </w:p>
    <w:p w:rsidR="00AA630C" w:rsidRDefault="006878AE">
      <w:pPr>
        <w:pStyle w:val="a5"/>
      </w:pPr>
      <w:r>
        <w:t xml:space="preserve">Характерной особенностью системы вексельного обращения в РБ является доминирование двух видов вексельных обязательств </w:t>
      </w:r>
      <w:r>
        <w:rPr>
          <w:lang w:val="en-US"/>
        </w:rPr>
        <w:t>[14]</w:t>
      </w:r>
      <w:r>
        <w:t>:</w:t>
      </w:r>
    </w:p>
    <w:p w:rsidR="00AA630C" w:rsidRDefault="006878AE">
      <w:pPr>
        <w:pStyle w:val="a5"/>
        <w:numPr>
          <w:ilvl w:val="0"/>
          <w:numId w:val="30"/>
        </w:numPr>
      </w:pPr>
      <w:r>
        <w:t>товарные векселя, обеспеченные произведенными на предприятии товарами;</w:t>
      </w:r>
    </w:p>
    <w:p w:rsidR="00AA630C" w:rsidRDefault="006878AE">
      <w:pPr>
        <w:pStyle w:val="a5"/>
        <w:numPr>
          <w:ilvl w:val="0"/>
          <w:numId w:val="30"/>
        </w:numPr>
      </w:pPr>
      <w:r>
        <w:t xml:space="preserve">финансовые векселя, выпускаемые НБ РБ или другими негосударственными коммерческими структурами в целях мобилизации дополнительных денежных средств.  </w:t>
      </w:r>
    </w:p>
    <w:p w:rsidR="00AA630C" w:rsidRDefault="00AA630C">
      <w:pPr>
        <w:pStyle w:val="a5"/>
      </w:pPr>
    </w:p>
    <w:p w:rsidR="00AA630C" w:rsidRDefault="006878AE">
      <w:pPr>
        <w:pStyle w:val="a5"/>
      </w:pPr>
      <w:r>
        <w:t>В 1996 – 1997 годах товарные векселя получают широкое распространение в практике местных органов самоуправления, способствуя устранению неплатежей с проведением расчетов через местные бюджеты. НБ РБ предпринимает попытки создания  для банков адекватных условий для устранения неплатежей. К концу 1998 года доля векселей НБ в общем объеме выпущенных векселей возросла с 18.2% до 28.3%. Товарных векселей в 1998 г. было выпущено на сумму порядка 500 млрд.</w:t>
      </w:r>
      <w:r>
        <w:rPr>
          <w:lang w:val="en-US"/>
        </w:rPr>
        <w:t xml:space="preserve"> </w:t>
      </w:r>
      <w:r>
        <w:t>руб. по данным ГК ЦБ РБ.</w:t>
      </w:r>
    </w:p>
    <w:p w:rsidR="00AA630C" w:rsidRDefault="006878AE">
      <w:pPr>
        <w:pStyle w:val="a5"/>
      </w:pPr>
      <w:r>
        <w:t>К этому времени явно проявились и все негативные характеристики вексельного рынка РБ:</w:t>
      </w:r>
    </w:p>
    <w:p w:rsidR="00AA630C" w:rsidRDefault="006878AE">
      <w:pPr>
        <w:pStyle w:val="a5"/>
        <w:numPr>
          <w:ilvl w:val="0"/>
          <w:numId w:val="29"/>
        </w:numPr>
      </w:pPr>
      <w:r>
        <w:t>практически полностью отсутствует вексельная инфраструктура в РБ;</w:t>
      </w:r>
    </w:p>
    <w:p w:rsidR="00AA630C" w:rsidRDefault="006878AE">
      <w:pPr>
        <w:pStyle w:val="a5"/>
        <w:numPr>
          <w:ilvl w:val="0"/>
          <w:numId w:val="29"/>
        </w:numPr>
      </w:pPr>
      <w:r>
        <w:t>несовершенная нормативно-правовая база, не позволяющая интегрировать  страну в международное вексельное пространство;</w:t>
      </w:r>
    </w:p>
    <w:p w:rsidR="00AA630C" w:rsidRDefault="006878AE">
      <w:pPr>
        <w:pStyle w:val="a5"/>
        <w:numPr>
          <w:ilvl w:val="0"/>
          <w:numId w:val="29"/>
        </w:numPr>
      </w:pPr>
      <w:r>
        <w:t xml:space="preserve">злоупотребления участниками вексельного фондового рынка, повышающие риск вексельных операций и т.д.  </w:t>
      </w:r>
    </w:p>
    <w:p w:rsidR="00AA630C" w:rsidRDefault="00AA630C">
      <w:pPr>
        <w:pStyle w:val="a5"/>
        <w:rPr>
          <w:b/>
        </w:rPr>
      </w:pPr>
    </w:p>
    <w:p w:rsidR="00AA630C" w:rsidRDefault="006878AE">
      <w:pPr>
        <w:pStyle w:val="a5"/>
      </w:pPr>
      <w:r>
        <w:t xml:space="preserve">В мае 1998 года НБ РБ принимается «Положение об операциях банков с использованием векселей на территории Республики Беларусь» №38, устанавливающее порядок работы коммерческих банков с векселями. </w:t>
      </w:r>
    </w:p>
    <w:p w:rsidR="00AA630C" w:rsidRDefault="006878AE">
      <w:pPr>
        <w:pStyle w:val="a5"/>
      </w:pPr>
      <w:r>
        <w:t>Положение позволило коммерческим банкам производить операции кредитования клиентов на суммы, равные суммам векселей с процентами, если таковые были обусловлены, - клиенту выдается кредит, но не деньгами, а векселем этого же банка. Устанавливается право коммерческим банкам осуществлять операцию продажи своих векселей с отсрочкой оплаты и утверждается в обращении банковский вексель.</w:t>
      </w:r>
    </w:p>
    <w:p w:rsidR="00AA630C" w:rsidRDefault="006878AE">
      <w:pPr>
        <w:pStyle w:val="a5"/>
      </w:pPr>
      <w:r>
        <w:t xml:space="preserve">Введение банков в вексельное обращение и разрешение им заниматься операциями вексельного кредитования (коммерческого) и учетного финансирования благотворно влияет на решение проблемы неплатежей. </w:t>
      </w:r>
      <w:r>
        <w:rPr>
          <w:lang w:val="en-US"/>
        </w:rPr>
        <w:t>[12]</w:t>
      </w:r>
    </w:p>
    <w:p w:rsidR="00AA630C" w:rsidRDefault="00AA630C">
      <w:pPr>
        <w:pStyle w:val="a5"/>
      </w:pPr>
    </w:p>
    <w:p w:rsidR="00AA630C" w:rsidRDefault="006878AE">
      <w:pPr>
        <w:pStyle w:val="a5"/>
      </w:pPr>
      <w:r>
        <w:t xml:space="preserve">Банковский вексель – простой вексель, это ценная бумага, представляющая собой безусловное обязательство векселедателя уплатить определенную сумму денег лицу, указанному на векселе, либо лицу, указанному посредством передаточной надписи, в установленный срок либо по предъявлению.  </w:t>
      </w:r>
    </w:p>
    <w:p w:rsidR="00AA630C" w:rsidRDefault="006878AE">
      <w:pPr>
        <w:pStyle w:val="a5"/>
      </w:pPr>
      <w:r>
        <w:t xml:space="preserve">С правовой точки зрения, вексель опосредует гражданско-правовое денежное обязательство займа. С экономической точки зрения, кредитные отношения между векселедателем и векселедержателем. </w:t>
      </w:r>
    </w:p>
    <w:p w:rsidR="00AA630C" w:rsidRDefault="006878AE">
      <w:pPr>
        <w:pStyle w:val="a5"/>
        <w:rPr>
          <w:lang w:val="en-US"/>
        </w:rPr>
      </w:pPr>
      <w:r>
        <w:t xml:space="preserve">Финансовые векселя (казначейские, банковские) содержат в своей основе облигационную сущность, поэтому, наряду с коммерческими  векселями (товарными) выступают средством оформления кредитных отношений. Из чего следует, что при продаже банком своего векселя клиенту между банком и клиентом возникают отношения кредита - банк должен клиенту сумму, уплаченную им за вексель, и плату за пользование этой суммой в виде процентов (дисконта). </w:t>
      </w:r>
    </w:p>
    <w:p w:rsidR="00AA630C" w:rsidRDefault="00AA630C">
      <w:pPr>
        <w:pStyle w:val="a5"/>
      </w:pPr>
    </w:p>
    <w:p w:rsidR="00AA630C" w:rsidRDefault="006878AE">
      <w:pPr>
        <w:pStyle w:val="a5"/>
      </w:pPr>
      <w:r>
        <w:t>Это обязательство банка четко зафиксировано в выданном векселе.</w:t>
      </w:r>
      <w:r>
        <w:rPr>
          <w:lang w:val="en-US"/>
        </w:rPr>
        <w:t>[13]</w:t>
      </w:r>
      <w:r>
        <w:t xml:space="preserve"> </w:t>
      </w:r>
    </w:p>
    <w:p w:rsidR="00AA630C" w:rsidRDefault="006878AE">
      <w:pPr>
        <w:pStyle w:val="a5"/>
      </w:pPr>
      <w:r>
        <w:t xml:space="preserve">Банк эмитирует свои векселя и продает их за деньги. Заплатив  за банковский вексель, векселедержатель уступает (посредством передачи своих денег) право доступа к товарам векселедателю, а через него тому, кто получит в этом же банке денежный кредит. Сам же векселедержатель получает взамен ликвидное расчетно-платежное средство, которое восстанавливает его право на приобретение товаров и услуг. Таким образом, повышается платежеспособность (спрос) при сохранении прежней товарной массы, что в свою очередь свидетельствует о наличии скрытой эмиссии излишних денег с двойным давлением на товарный рынок.  Однако эта опасность может возникнуть только в случае перманентных выпусков банковских векселей, которые заменяют друг друга, так как сроки оплаты отдельных векселей конечны. Выпуск векселей банками для финансирования оборотных средств предприятий допустим до тех пор, пока его отрицательные последствия не станут преобладать над положительными. [12] </w:t>
      </w:r>
    </w:p>
    <w:p w:rsidR="00AA630C" w:rsidRDefault="00AA630C">
      <w:pPr>
        <w:pStyle w:val="a5"/>
        <w:jc w:val="center"/>
        <w:outlineLvl w:val="0"/>
        <w:rPr>
          <w:b/>
        </w:rPr>
      </w:pPr>
    </w:p>
    <w:p w:rsidR="00AA630C" w:rsidRDefault="00AA630C">
      <w:pPr>
        <w:pStyle w:val="a5"/>
        <w:jc w:val="center"/>
        <w:outlineLvl w:val="0"/>
        <w:rPr>
          <w:b/>
        </w:rPr>
      </w:pPr>
    </w:p>
    <w:p w:rsidR="00AA630C" w:rsidRDefault="00AA630C">
      <w:pPr>
        <w:pStyle w:val="a5"/>
        <w:jc w:val="center"/>
        <w:outlineLvl w:val="0"/>
        <w:rPr>
          <w:b/>
        </w:rPr>
      </w:pPr>
    </w:p>
    <w:p w:rsidR="00AA630C" w:rsidRDefault="00AA630C">
      <w:pPr>
        <w:pStyle w:val="a5"/>
        <w:jc w:val="center"/>
        <w:outlineLvl w:val="0"/>
        <w:rPr>
          <w:b/>
        </w:rPr>
      </w:pPr>
    </w:p>
    <w:p w:rsidR="00AA630C" w:rsidRDefault="006878AE">
      <w:pPr>
        <w:pStyle w:val="a5"/>
        <w:jc w:val="center"/>
        <w:outlineLvl w:val="0"/>
        <w:rPr>
          <w:b/>
        </w:rPr>
      </w:pPr>
      <w:r>
        <w:rPr>
          <w:b/>
        </w:rPr>
        <w:t>Список используемой литературы:</w:t>
      </w:r>
    </w:p>
    <w:p w:rsidR="00AA630C" w:rsidRDefault="00AA630C">
      <w:pPr>
        <w:pStyle w:val="a5"/>
      </w:pPr>
    </w:p>
    <w:p w:rsidR="00AA630C" w:rsidRDefault="006878AE">
      <w:pPr>
        <w:pStyle w:val="a5"/>
        <w:numPr>
          <w:ilvl w:val="0"/>
          <w:numId w:val="12"/>
        </w:numPr>
        <w:tabs>
          <w:tab w:val="clear" w:pos="360"/>
          <w:tab w:val="num" w:pos="0"/>
        </w:tabs>
        <w:ind w:left="0" w:firstLine="709"/>
      </w:pPr>
      <w:r>
        <w:t>Г. Барздов. Особенности организации вторичного рынка государственных ценных бумаг в Республике Беларусь – Банковский вестник,  №2/98.</w:t>
      </w:r>
    </w:p>
    <w:p w:rsidR="00AA630C" w:rsidRDefault="006878AE">
      <w:pPr>
        <w:pStyle w:val="a5"/>
        <w:numPr>
          <w:ilvl w:val="0"/>
          <w:numId w:val="12"/>
        </w:numPr>
        <w:tabs>
          <w:tab w:val="clear" w:pos="360"/>
          <w:tab w:val="num" w:pos="0"/>
        </w:tabs>
        <w:ind w:left="0" w:firstLine="709"/>
      </w:pPr>
      <w:r>
        <w:t xml:space="preserve">Банковский кодекс Республики Беларусь, ст. 53. </w:t>
      </w:r>
    </w:p>
    <w:p w:rsidR="00AA630C" w:rsidRDefault="006878AE">
      <w:pPr>
        <w:pStyle w:val="a5"/>
        <w:numPr>
          <w:ilvl w:val="0"/>
          <w:numId w:val="12"/>
        </w:numPr>
        <w:tabs>
          <w:tab w:val="clear" w:pos="360"/>
          <w:tab w:val="num" w:pos="0"/>
        </w:tabs>
        <w:ind w:left="0" w:firstLine="709"/>
      </w:pPr>
      <w:r>
        <w:t>Курс экономической теории. Под общей редакцией: Чепурина М.Х., Киселевой Е.А., Изд-во «АСА», Киров, 1995 г.</w:t>
      </w:r>
    </w:p>
    <w:p w:rsidR="00AA630C" w:rsidRDefault="006878AE">
      <w:pPr>
        <w:pStyle w:val="a5"/>
        <w:numPr>
          <w:ilvl w:val="0"/>
          <w:numId w:val="12"/>
        </w:numPr>
        <w:tabs>
          <w:tab w:val="clear" w:pos="360"/>
          <w:tab w:val="num" w:pos="0"/>
        </w:tabs>
        <w:ind w:left="0" w:firstLine="709"/>
      </w:pPr>
      <w:r>
        <w:t xml:space="preserve">И.Нечаева « Курс на безинфляционное финансирование дефицита бюджета», НЭГ №13  1997 г. </w:t>
      </w:r>
    </w:p>
    <w:p w:rsidR="00AA630C" w:rsidRDefault="006878AE">
      <w:pPr>
        <w:pStyle w:val="a5"/>
        <w:numPr>
          <w:ilvl w:val="0"/>
          <w:numId w:val="12"/>
        </w:numPr>
        <w:tabs>
          <w:tab w:val="clear" w:pos="360"/>
          <w:tab w:val="num" w:pos="0"/>
        </w:tabs>
        <w:ind w:left="0" w:firstLine="709"/>
      </w:pPr>
      <w:r>
        <w:t>Экономические тенденции в Беларуси. Квартальное обозрение, Информационный отдел ТАСИС</w:t>
      </w:r>
    </w:p>
    <w:p w:rsidR="00AA630C" w:rsidRDefault="006878AE">
      <w:pPr>
        <w:pStyle w:val="a5"/>
        <w:numPr>
          <w:ilvl w:val="0"/>
          <w:numId w:val="12"/>
        </w:numPr>
        <w:tabs>
          <w:tab w:val="clear" w:pos="360"/>
          <w:tab w:val="num" w:pos="0"/>
        </w:tabs>
        <w:ind w:left="0" w:firstLine="709"/>
      </w:pPr>
      <w:r>
        <w:t>И. Василевич. «Инфляция помогла», Белорусский рынок, №1, 1999 г.</w:t>
      </w:r>
    </w:p>
    <w:p w:rsidR="00AA630C" w:rsidRDefault="006878AE">
      <w:pPr>
        <w:pStyle w:val="a5"/>
        <w:numPr>
          <w:ilvl w:val="0"/>
          <w:numId w:val="12"/>
        </w:numPr>
        <w:tabs>
          <w:tab w:val="clear" w:pos="360"/>
          <w:tab w:val="num" w:pos="0"/>
        </w:tabs>
        <w:ind w:left="0" w:firstLine="709"/>
      </w:pPr>
      <w:r>
        <w:t>Д. Климко «Год великого перелома», НЭГ №7, 1999 г.</w:t>
      </w:r>
    </w:p>
    <w:p w:rsidR="00AA630C" w:rsidRDefault="006878AE">
      <w:pPr>
        <w:pStyle w:val="a5"/>
        <w:numPr>
          <w:ilvl w:val="0"/>
          <w:numId w:val="12"/>
        </w:numPr>
        <w:tabs>
          <w:tab w:val="clear" w:pos="360"/>
          <w:tab w:val="num" w:pos="0"/>
        </w:tabs>
        <w:ind w:left="0" w:firstLine="709"/>
      </w:pPr>
      <w:r>
        <w:t xml:space="preserve">Р.Ю. Тихонов, Ю.А. Антоненко «Рынок государственных ценных бумаг», Минск, 1998 г. </w:t>
      </w:r>
    </w:p>
    <w:p w:rsidR="00AA630C" w:rsidRDefault="006878AE">
      <w:pPr>
        <w:pStyle w:val="a5"/>
        <w:numPr>
          <w:ilvl w:val="0"/>
          <w:numId w:val="12"/>
        </w:numPr>
        <w:tabs>
          <w:tab w:val="clear" w:pos="360"/>
          <w:tab w:val="num" w:pos="0"/>
        </w:tabs>
        <w:ind w:left="0" w:firstLine="709"/>
        <w:rPr>
          <w:lang w:val="en-US"/>
        </w:rPr>
      </w:pPr>
      <w:r>
        <w:t>Д.Климко «Фондовый рынок Республики Беларусь: состояние и перспективы», - Банковский вестник, №4 1999 г.</w:t>
      </w:r>
    </w:p>
    <w:p w:rsidR="00AA630C" w:rsidRDefault="006878AE">
      <w:pPr>
        <w:pStyle w:val="a5"/>
        <w:numPr>
          <w:ilvl w:val="0"/>
          <w:numId w:val="12"/>
        </w:numPr>
        <w:tabs>
          <w:tab w:val="clear" w:pos="360"/>
          <w:tab w:val="num" w:pos="0"/>
        </w:tabs>
        <w:ind w:left="0" w:firstLine="709"/>
      </w:pPr>
      <w:r>
        <w:t>Основные направления денежно-кредитной политики Республики Беларусь на 1999 год. Утв. Протоколом заседания Правления НБ РБ №41 от 01.03.1999 г.</w:t>
      </w:r>
    </w:p>
    <w:p w:rsidR="00AA630C" w:rsidRDefault="006878AE">
      <w:pPr>
        <w:pStyle w:val="a5"/>
        <w:numPr>
          <w:ilvl w:val="0"/>
          <w:numId w:val="12"/>
        </w:numPr>
        <w:tabs>
          <w:tab w:val="clear" w:pos="360"/>
          <w:tab w:val="num" w:pos="0"/>
        </w:tabs>
        <w:ind w:left="0" w:firstLine="709"/>
      </w:pPr>
      <w:r>
        <w:t>Р.Ю. Тихонов, И.Н. Панферов «Вексель: генезис, функции, механизм»,  Минск, 1997 г.</w:t>
      </w:r>
    </w:p>
    <w:p w:rsidR="00AA630C" w:rsidRDefault="006878AE">
      <w:pPr>
        <w:pStyle w:val="a5"/>
        <w:numPr>
          <w:ilvl w:val="0"/>
          <w:numId w:val="12"/>
        </w:numPr>
        <w:tabs>
          <w:tab w:val="clear" w:pos="360"/>
          <w:tab w:val="num" w:pos="0"/>
        </w:tabs>
        <w:ind w:left="0" w:firstLine="709"/>
      </w:pPr>
      <w:r>
        <w:t xml:space="preserve">А.В.Давыдов «Роль банков в вексельном обращении», Вестник Ассоциации белорусских банков, №7 от 19.02.1999 г.   </w:t>
      </w:r>
    </w:p>
    <w:p w:rsidR="00AA630C" w:rsidRDefault="006878AE">
      <w:pPr>
        <w:pStyle w:val="a5"/>
        <w:numPr>
          <w:ilvl w:val="0"/>
          <w:numId w:val="12"/>
        </w:numPr>
        <w:tabs>
          <w:tab w:val="clear" w:pos="360"/>
          <w:tab w:val="num" w:pos="0"/>
        </w:tabs>
        <w:ind w:left="0" w:firstLine="709"/>
      </w:pPr>
      <w:r>
        <w:t xml:space="preserve">И.Михайлова, Т.Купрюшина «Банковские кредиты векселями: проблемы и последствия», Вестник Ассоциации белорусских банков, №3 от 22.01.1999 г.   </w:t>
      </w:r>
    </w:p>
    <w:p w:rsidR="00AA630C" w:rsidRDefault="006878AE">
      <w:pPr>
        <w:pStyle w:val="a5"/>
        <w:numPr>
          <w:ilvl w:val="0"/>
          <w:numId w:val="12"/>
        </w:numPr>
        <w:tabs>
          <w:tab w:val="clear" w:pos="360"/>
          <w:tab w:val="num" w:pos="0"/>
        </w:tabs>
        <w:ind w:left="0" w:firstLine="709"/>
      </w:pPr>
      <w:r>
        <w:t xml:space="preserve">В.А.Котова «Инфраструктура вексельного рынка: основные принципы создания и функционирования», Вестник Ассоциации белорусских банков, №30 от 30.08.1999 г.   </w:t>
      </w:r>
      <w:bookmarkStart w:id="0" w:name="_GoBack"/>
      <w:bookmarkEnd w:id="0"/>
    </w:p>
    <w:sectPr w:rsidR="00AA630C">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3FDE"/>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
    <w:nsid w:val="0C69415C"/>
    <w:multiLevelType w:val="singleLevel"/>
    <w:tmpl w:val="338E1AF2"/>
    <w:lvl w:ilvl="0">
      <w:start w:val="1"/>
      <w:numFmt w:val="bullet"/>
      <w:pStyle w:val="-"/>
      <w:lvlText w:val="–"/>
      <w:legacy w:legacy="1" w:legacySpace="0" w:legacyIndent="340"/>
      <w:lvlJc w:val="left"/>
      <w:pPr>
        <w:ind w:left="1049" w:hanging="340"/>
      </w:pPr>
      <w:rPr>
        <w:rFonts w:ascii="Times New Roman" w:hAnsi="Times New Roman" w:hint="default"/>
      </w:rPr>
    </w:lvl>
  </w:abstractNum>
  <w:abstractNum w:abstractNumId="2">
    <w:nsid w:val="0DC61EFC"/>
    <w:multiLevelType w:val="multilevel"/>
    <w:tmpl w:val="A2426BE8"/>
    <w:lvl w:ilvl="0">
      <w:start w:val="1"/>
      <w:numFmt w:val="decimal"/>
      <w:pStyle w:val="1"/>
      <w:lvlText w:val="%1."/>
      <w:lvlJc w:val="left"/>
      <w:pPr>
        <w:tabs>
          <w:tab w:val="num" w:pos="360"/>
        </w:tabs>
        <w:ind w:left="360" w:hanging="360"/>
      </w:pPr>
      <w:rPr>
        <w:rFonts w:ascii="Arial" w:hAnsi="Arial" w:hint="default"/>
        <w:b/>
        <w:i w:val="0"/>
        <w:sz w:val="24"/>
      </w:rPr>
    </w:lvl>
    <w:lvl w:ilvl="1">
      <w:start w:val="1"/>
      <w:numFmt w:val="decimal"/>
      <w:lvlRestart w:val="0"/>
      <w:pStyle w:val="2"/>
      <w:lvlText w:val="%1.%2."/>
      <w:lvlJc w:val="left"/>
      <w:pPr>
        <w:tabs>
          <w:tab w:val="num" w:pos="1080"/>
        </w:tabs>
        <w:ind w:left="709" w:hanging="349"/>
      </w:pPr>
      <w:rPr>
        <w:rFonts w:ascii="Arial" w:hAnsi="Arial" w:hint="default"/>
        <w:b/>
        <w:i w:val="0"/>
        <w:sz w:val="24"/>
      </w:rPr>
    </w:lvl>
    <w:lvl w:ilvl="2">
      <w:start w:val="1"/>
      <w:numFmt w:val="decimal"/>
      <w:lvlRestart w:val="0"/>
      <w:pStyle w:val="3"/>
      <w:lvlText w:val="%1.%2.%3."/>
      <w:lvlJc w:val="left"/>
      <w:pPr>
        <w:tabs>
          <w:tab w:val="num" w:pos="1440"/>
        </w:tabs>
        <w:ind w:left="1224" w:hanging="504"/>
      </w:pPr>
      <w:rPr>
        <w:rFonts w:ascii="Arial" w:hAnsi="Arial" w:hint="default"/>
        <w:b/>
        <w:i w:val="0"/>
        <w:caps w:val="0"/>
        <w:sz w:val="24"/>
      </w:rPr>
    </w:lvl>
    <w:lvl w:ilvl="3">
      <w:start w:val="1"/>
      <w:numFmt w:val="decimal"/>
      <w:pStyle w:val="4"/>
      <w:lvlText w:val="%1.%2.%3.%4."/>
      <w:lvlJc w:val="left"/>
      <w:pPr>
        <w:tabs>
          <w:tab w:val="num" w:pos="1728"/>
        </w:tabs>
        <w:ind w:left="1728" w:hanging="991"/>
      </w:pPr>
      <w:rPr>
        <w:rFonts w:ascii="Arial" w:hAnsi="Arial" w:hint="default"/>
        <w:b w:val="0"/>
        <w:i w:val="0"/>
        <w:caps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54C43A7"/>
    <w:multiLevelType w:val="singleLevel"/>
    <w:tmpl w:val="5C825782"/>
    <w:lvl w:ilvl="0">
      <w:start w:val="10"/>
      <w:numFmt w:val="bullet"/>
      <w:lvlText w:val="-"/>
      <w:lvlJc w:val="left"/>
      <w:pPr>
        <w:tabs>
          <w:tab w:val="num" w:pos="1080"/>
        </w:tabs>
        <w:ind w:left="1080" w:hanging="360"/>
      </w:pPr>
      <w:rPr>
        <w:rFonts w:ascii="Times New Roman" w:hAnsi="Times New Roman" w:hint="default"/>
      </w:rPr>
    </w:lvl>
  </w:abstractNum>
  <w:abstractNum w:abstractNumId="4">
    <w:nsid w:val="1AF84417"/>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5">
    <w:nsid w:val="1F4607B9"/>
    <w:multiLevelType w:val="multilevel"/>
    <w:tmpl w:val="73C008F2"/>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1080"/>
        </w:tabs>
        <w:ind w:left="709" w:hanging="349"/>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0A57ED7"/>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7">
    <w:nsid w:val="24306DF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F0106DB"/>
    <w:multiLevelType w:val="multilevel"/>
    <w:tmpl w:val="EB7A39E4"/>
    <w:lvl w:ilvl="0">
      <w:start w:val="1"/>
      <w:numFmt w:val="decimal"/>
      <w:lvlText w:val="%1."/>
      <w:lvlJc w:val="left"/>
      <w:pPr>
        <w:tabs>
          <w:tab w:val="num" w:pos="360"/>
        </w:tabs>
        <w:ind w:left="360" w:hanging="360"/>
      </w:pPr>
      <w:rPr>
        <w:rFonts w:ascii="Arial" w:hAnsi="Arial" w:hint="default"/>
        <w:b/>
        <w:i w:val="0"/>
        <w:sz w:val="24"/>
      </w:rPr>
    </w:lvl>
    <w:lvl w:ilvl="1">
      <w:start w:val="1"/>
      <w:numFmt w:val="decimal"/>
      <w:lvlRestart w:val="0"/>
      <w:lvlText w:val="%1.%2."/>
      <w:lvlJc w:val="left"/>
      <w:pPr>
        <w:tabs>
          <w:tab w:val="num" w:pos="1080"/>
        </w:tabs>
        <w:ind w:left="709" w:hanging="349"/>
      </w:pPr>
      <w:rPr>
        <w:rFonts w:ascii="Arial" w:hAnsi="Arial" w:hint="default"/>
        <w:b/>
        <w:i w:val="0"/>
        <w:sz w:val="24"/>
      </w:rPr>
    </w:lvl>
    <w:lvl w:ilvl="2">
      <w:start w:val="1"/>
      <w:numFmt w:val="decimal"/>
      <w:lvlRestart w:val="0"/>
      <w:lvlText w:val="%1.%2.%3."/>
      <w:lvlJc w:val="left"/>
      <w:pPr>
        <w:tabs>
          <w:tab w:val="num" w:pos="1440"/>
        </w:tabs>
        <w:ind w:left="1224" w:hanging="504"/>
      </w:pPr>
      <w:rPr>
        <w:rFonts w:ascii="Arial" w:hAnsi="Arial" w:hint="default"/>
        <w:b/>
        <w:i w:val="0"/>
        <w:caps w:val="0"/>
        <w:sz w:val="24"/>
      </w:r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9455709"/>
    <w:multiLevelType w:val="multilevel"/>
    <w:tmpl w:val="7AA0D574"/>
    <w:lvl w:ilvl="0">
      <w:start w:val="1"/>
      <w:numFmt w:val="decimal"/>
      <w:lvlText w:val="%1."/>
      <w:lvlJc w:val="left"/>
      <w:pPr>
        <w:tabs>
          <w:tab w:val="num" w:pos="360"/>
        </w:tabs>
        <w:ind w:left="360" w:hanging="360"/>
      </w:pPr>
      <w:rPr>
        <w:rFonts w:ascii="Arial" w:hAnsi="Arial" w:hint="default"/>
        <w:b/>
        <w:i w:val="0"/>
        <w:sz w:val="24"/>
      </w:rPr>
    </w:lvl>
    <w:lvl w:ilvl="1">
      <w:start w:val="1"/>
      <w:numFmt w:val="decimal"/>
      <w:lvlRestart w:val="0"/>
      <w:lvlText w:val="%1.%2."/>
      <w:lvlJc w:val="left"/>
      <w:pPr>
        <w:tabs>
          <w:tab w:val="num" w:pos="1080"/>
        </w:tabs>
        <w:ind w:left="709" w:hanging="349"/>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ABE4F34"/>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1">
    <w:nsid w:val="41E51E83"/>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2">
    <w:nsid w:val="4523147E"/>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3">
    <w:nsid w:val="46723A27"/>
    <w:multiLevelType w:val="singleLevel"/>
    <w:tmpl w:val="7464A31C"/>
    <w:lvl w:ilvl="0">
      <w:start w:val="1"/>
      <w:numFmt w:val="decimal"/>
      <w:lvlText w:val="%1."/>
      <w:lvlJc w:val="left"/>
      <w:pPr>
        <w:tabs>
          <w:tab w:val="num" w:pos="1080"/>
        </w:tabs>
        <w:ind w:left="1080" w:hanging="360"/>
      </w:pPr>
      <w:rPr>
        <w:rFonts w:hint="default"/>
      </w:rPr>
    </w:lvl>
  </w:abstractNum>
  <w:abstractNum w:abstractNumId="14">
    <w:nsid w:val="4E1001F4"/>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5">
    <w:nsid w:val="4F232BBE"/>
    <w:multiLevelType w:val="singleLevel"/>
    <w:tmpl w:val="9A38C01E"/>
    <w:lvl w:ilvl="0">
      <w:start w:val="1"/>
      <w:numFmt w:val="decimal"/>
      <w:lvlText w:val="%1."/>
      <w:lvlJc w:val="left"/>
      <w:pPr>
        <w:tabs>
          <w:tab w:val="num" w:pos="1080"/>
        </w:tabs>
        <w:ind w:left="1080" w:hanging="360"/>
      </w:pPr>
      <w:rPr>
        <w:rFonts w:hint="default"/>
      </w:rPr>
    </w:lvl>
  </w:abstractNum>
  <w:abstractNum w:abstractNumId="16">
    <w:nsid w:val="4F6D41A3"/>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7">
    <w:nsid w:val="5B813D2A"/>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8">
    <w:nsid w:val="5C9C1C91"/>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19">
    <w:nsid w:val="5E7B6B39"/>
    <w:multiLevelType w:val="singleLevel"/>
    <w:tmpl w:val="04190011"/>
    <w:lvl w:ilvl="0">
      <w:start w:val="1"/>
      <w:numFmt w:val="decimal"/>
      <w:lvlText w:val="%1)"/>
      <w:lvlJc w:val="left"/>
      <w:pPr>
        <w:tabs>
          <w:tab w:val="num" w:pos="360"/>
        </w:tabs>
        <w:ind w:left="360" w:hanging="360"/>
      </w:pPr>
    </w:lvl>
  </w:abstractNum>
  <w:abstractNum w:abstractNumId="20">
    <w:nsid w:val="6108393F"/>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21">
    <w:nsid w:val="63E04958"/>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22">
    <w:nsid w:val="655527D7"/>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23">
    <w:nsid w:val="677B324A"/>
    <w:multiLevelType w:val="singleLevel"/>
    <w:tmpl w:val="3EFCA078"/>
    <w:lvl w:ilvl="0">
      <w:start w:val="1"/>
      <w:numFmt w:val="decimal"/>
      <w:pStyle w:val="a"/>
      <w:lvlText w:val="%1)"/>
      <w:lvlJc w:val="left"/>
      <w:pPr>
        <w:tabs>
          <w:tab w:val="num" w:pos="360"/>
        </w:tabs>
        <w:ind w:left="360" w:hanging="360"/>
      </w:pPr>
      <w:rPr>
        <w:rFonts w:ascii="Arial" w:hAnsi="Arial" w:hint="default"/>
        <w:b w:val="0"/>
        <w:i w:val="0"/>
        <w:sz w:val="24"/>
      </w:rPr>
    </w:lvl>
  </w:abstractNum>
  <w:abstractNum w:abstractNumId="24">
    <w:nsid w:val="6A144896"/>
    <w:multiLevelType w:val="singleLevel"/>
    <w:tmpl w:val="7464A31C"/>
    <w:lvl w:ilvl="0">
      <w:start w:val="1"/>
      <w:numFmt w:val="decimal"/>
      <w:lvlText w:val="%1."/>
      <w:lvlJc w:val="left"/>
      <w:pPr>
        <w:tabs>
          <w:tab w:val="num" w:pos="1080"/>
        </w:tabs>
        <w:ind w:left="1080" w:hanging="360"/>
      </w:pPr>
      <w:rPr>
        <w:rFonts w:hint="default"/>
      </w:rPr>
    </w:lvl>
  </w:abstractNum>
  <w:abstractNum w:abstractNumId="25">
    <w:nsid w:val="6BCB28FD"/>
    <w:multiLevelType w:val="singleLevel"/>
    <w:tmpl w:val="99F6E424"/>
    <w:lvl w:ilvl="0">
      <w:start w:val="2"/>
      <w:numFmt w:val="bullet"/>
      <w:lvlText w:val="-"/>
      <w:lvlJc w:val="left"/>
      <w:pPr>
        <w:tabs>
          <w:tab w:val="num" w:pos="1080"/>
        </w:tabs>
        <w:ind w:left="1080" w:hanging="360"/>
      </w:pPr>
      <w:rPr>
        <w:rFonts w:ascii="Times New Roman" w:hAnsi="Times New Roman" w:hint="default"/>
      </w:rPr>
    </w:lvl>
  </w:abstractNum>
  <w:abstractNum w:abstractNumId="26">
    <w:nsid w:val="6E2435D2"/>
    <w:multiLevelType w:val="singleLevel"/>
    <w:tmpl w:val="CE263430"/>
    <w:lvl w:ilvl="0">
      <w:start w:val="1"/>
      <w:numFmt w:val="decimal"/>
      <w:lvlText w:val="%1."/>
      <w:lvlJc w:val="left"/>
      <w:pPr>
        <w:tabs>
          <w:tab w:val="num" w:pos="1080"/>
        </w:tabs>
        <w:ind w:left="1080" w:hanging="360"/>
      </w:pPr>
      <w:rPr>
        <w:rFonts w:hint="default"/>
      </w:rPr>
    </w:lvl>
  </w:abstractNum>
  <w:abstractNum w:abstractNumId="27">
    <w:nsid w:val="71F63FD8"/>
    <w:multiLevelType w:val="singleLevel"/>
    <w:tmpl w:val="E5E87968"/>
    <w:lvl w:ilvl="0">
      <w:start w:val="1"/>
      <w:numFmt w:val="decimal"/>
      <w:lvlText w:val="%1)"/>
      <w:lvlJc w:val="left"/>
      <w:pPr>
        <w:tabs>
          <w:tab w:val="num" w:pos="1110"/>
        </w:tabs>
        <w:ind w:left="1110" w:hanging="390"/>
      </w:pPr>
      <w:rPr>
        <w:rFonts w:hint="default"/>
      </w:rPr>
    </w:lvl>
  </w:abstractNum>
  <w:abstractNum w:abstractNumId="28">
    <w:nsid w:val="7B6226C1"/>
    <w:multiLevelType w:val="singleLevel"/>
    <w:tmpl w:val="03EE14C8"/>
    <w:lvl w:ilvl="0">
      <w:start w:val="1"/>
      <w:numFmt w:val="bullet"/>
      <w:lvlText w:val="-"/>
      <w:lvlJc w:val="left"/>
      <w:pPr>
        <w:tabs>
          <w:tab w:val="num" w:pos="1140"/>
        </w:tabs>
        <w:ind w:left="1140" w:hanging="360"/>
      </w:pPr>
      <w:rPr>
        <w:rFonts w:ascii="Times New Roman" w:hAnsi="Times New Roman" w:hint="default"/>
      </w:rPr>
    </w:lvl>
  </w:abstractNum>
  <w:abstractNum w:abstractNumId="29">
    <w:nsid w:val="7D6D1A4B"/>
    <w:multiLevelType w:val="multilevel"/>
    <w:tmpl w:val="0C10017C"/>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1080"/>
        </w:tabs>
        <w:ind w:left="709" w:hanging="349"/>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3.%2..%4."/>
      <w:lvlJc w:val="left"/>
      <w:pPr>
        <w:tabs>
          <w:tab w:val="num" w:pos="1728"/>
        </w:tabs>
        <w:ind w:left="1728" w:hanging="99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29"/>
  </w:num>
  <w:num w:numId="3">
    <w:abstractNumId w:val="5"/>
  </w:num>
  <w:num w:numId="4">
    <w:abstractNumId w:val="9"/>
  </w:num>
  <w:num w:numId="5">
    <w:abstractNumId w:val="8"/>
  </w:num>
  <w:num w:numId="6">
    <w:abstractNumId w:val="2"/>
  </w:num>
  <w:num w:numId="7">
    <w:abstractNumId w:val="23"/>
  </w:num>
  <w:num w:numId="8">
    <w:abstractNumId w:val="26"/>
  </w:num>
  <w:num w:numId="9">
    <w:abstractNumId w:val="15"/>
  </w:num>
  <w:num w:numId="10">
    <w:abstractNumId w:val="13"/>
  </w:num>
  <w:num w:numId="11">
    <w:abstractNumId w:val="24"/>
  </w:num>
  <w:num w:numId="12">
    <w:abstractNumId w:val="19"/>
  </w:num>
  <w:num w:numId="13">
    <w:abstractNumId w:val="11"/>
  </w:num>
  <w:num w:numId="14">
    <w:abstractNumId w:val="7"/>
  </w:num>
  <w:num w:numId="15">
    <w:abstractNumId w:val="28"/>
  </w:num>
  <w:num w:numId="16">
    <w:abstractNumId w:val="3"/>
  </w:num>
  <w:num w:numId="17">
    <w:abstractNumId w:val="18"/>
  </w:num>
  <w:num w:numId="18">
    <w:abstractNumId w:val="4"/>
  </w:num>
  <w:num w:numId="19">
    <w:abstractNumId w:val="21"/>
  </w:num>
  <w:num w:numId="20">
    <w:abstractNumId w:val="25"/>
  </w:num>
  <w:num w:numId="21">
    <w:abstractNumId w:val="6"/>
  </w:num>
  <w:num w:numId="22">
    <w:abstractNumId w:val="14"/>
  </w:num>
  <w:num w:numId="23">
    <w:abstractNumId w:val="0"/>
  </w:num>
  <w:num w:numId="24">
    <w:abstractNumId w:val="17"/>
  </w:num>
  <w:num w:numId="25">
    <w:abstractNumId w:val="10"/>
  </w:num>
  <w:num w:numId="26">
    <w:abstractNumId w:val="16"/>
  </w:num>
  <w:num w:numId="27">
    <w:abstractNumId w:val="12"/>
  </w:num>
  <w:num w:numId="28">
    <w:abstractNumId w:val="20"/>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attachedTemplate r:id="rId1"/>
  <w:revisionView w:markup="0"/>
  <w:doNotTrackMoves/>
  <w:doNotTrackFormatting/>
  <w:defaultTabStop w:val="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8AE"/>
    <w:rsid w:val="006878AE"/>
    <w:rsid w:val="00883B0E"/>
    <w:rsid w:val="00AA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2F064-1929-4EDE-9D1E-40A25B40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qFormat/>
    <w:pPr>
      <w:keepNext/>
      <w:pageBreakBefore/>
      <w:numPr>
        <w:numId w:val="6"/>
      </w:numPr>
      <w:spacing w:before="480" w:after="360"/>
      <w:jc w:val="center"/>
      <w:outlineLvl w:val="0"/>
    </w:pPr>
    <w:rPr>
      <w:rFonts w:ascii="Arial" w:hAnsi="Arial"/>
      <w:b/>
      <w:caps/>
      <w:kern w:val="28"/>
      <w:sz w:val="24"/>
      <w:lang w:val="en-US"/>
    </w:rPr>
  </w:style>
  <w:style w:type="paragraph" w:styleId="2">
    <w:name w:val="heading 2"/>
    <w:next w:val="a0"/>
    <w:qFormat/>
    <w:pPr>
      <w:keepNext/>
      <w:numPr>
        <w:ilvl w:val="1"/>
        <w:numId w:val="6"/>
      </w:numPr>
      <w:spacing w:before="480" w:after="360"/>
      <w:ind w:left="0" w:firstLine="720"/>
      <w:jc w:val="both"/>
      <w:outlineLvl w:val="1"/>
    </w:pPr>
    <w:rPr>
      <w:rFonts w:ascii="Arial" w:hAnsi="Arial"/>
      <w:b/>
      <w:noProof/>
      <w:sz w:val="24"/>
    </w:rPr>
  </w:style>
  <w:style w:type="paragraph" w:styleId="3">
    <w:name w:val="heading 3"/>
    <w:next w:val="a0"/>
    <w:qFormat/>
    <w:pPr>
      <w:keepNext/>
      <w:numPr>
        <w:ilvl w:val="2"/>
        <w:numId w:val="6"/>
      </w:numPr>
      <w:spacing w:before="480" w:after="360"/>
      <w:jc w:val="both"/>
      <w:outlineLvl w:val="2"/>
    </w:pPr>
    <w:rPr>
      <w:rFonts w:ascii="Arial" w:hAnsi="Arial"/>
      <w:b/>
      <w:sz w:val="24"/>
      <w:lang w:val="en-US"/>
    </w:rPr>
  </w:style>
  <w:style w:type="paragraph" w:styleId="4">
    <w:name w:val="heading 4"/>
    <w:basedOn w:val="a0"/>
    <w:next w:val="a0"/>
    <w:qFormat/>
    <w:pPr>
      <w:keepNext/>
      <w:numPr>
        <w:ilvl w:val="3"/>
        <w:numId w:val="6"/>
      </w:numPr>
      <w:spacing w:before="480"/>
      <w:jc w:val="both"/>
      <w:outlineLvl w:val="3"/>
    </w:pPr>
    <w:rPr>
      <w:rFonts w:ascii="Arial" w:hAnsi="Arial"/>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ЕБИУС таблица"/>
    <w:basedOn w:val="a0"/>
    <w:next w:val="a0"/>
    <w:pPr>
      <w:keepNext/>
      <w:jc w:val="center"/>
    </w:pPr>
    <w:rPr>
      <w:rFonts w:ascii="Arial" w:hAnsi="Arial"/>
      <w:b/>
      <w:snapToGrid w:val="0"/>
    </w:rPr>
  </w:style>
  <w:style w:type="paragraph" w:customStyle="1" w:styleId="a5">
    <w:name w:val="меб_осн"/>
    <w:basedOn w:val="a0"/>
    <w:pPr>
      <w:ind w:firstLine="720"/>
      <w:jc w:val="both"/>
    </w:pPr>
    <w:rPr>
      <w:rFonts w:ascii="Arial" w:hAnsi="Arial"/>
      <w:sz w:val="24"/>
    </w:rPr>
  </w:style>
  <w:style w:type="paragraph" w:customStyle="1" w:styleId="-">
    <w:name w:val="-мебиус"/>
    <w:basedOn w:val="a5"/>
    <w:pPr>
      <w:numPr>
        <w:numId w:val="1"/>
      </w:numPr>
    </w:pPr>
  </w:style>
  <w:style w:type="paragraph" w:customStyle="1" w:styleId="a6">
    <w:name w:val="меб_центр"/>
    <w:pPr>
      <w:spacing w:before="480" w:after="360"/>
      <w:jc w:val="center"/>
    </w:pPr>
    <w:rPr>
      <w:rFonts w:ascii="Arial" w:hAnsi="Arial"/>
      <w:noProof/>
      <w:sz w:val="24"/>
    </w:rPr>
  </w:style>
  <w:style w:type="paragraph" w:customStyle="1" w:styleId="a7">
    <w:name w:val="МЕБИУС курсив"/>
    <w:basedOn w:val="a0"/>
    <w:next w:val="a0"/>
    <w:pPr>
      <w:spacing w:before="240" w:after="240"/>
      <w:ind w:firstLine="709"/>
      <w:jc w:val="both"/>
    </w:pPr>
    <w:rPr>
      <w:rFonts w:ascii="Arial" w:hAnsi="Arial"/>
      <w:i/>
      <w:snapToGrid w:val="0"/>
      <w:sz w:val="24"/>
    </w:rPr>
  </w:style>
  <w:style w:type="paragraph" w:customStyle="1" w:styleId="a8">
    <w:name w:val="прил"/>
    <w:basedOn w:val="a0"/>
    <w:pPr>
      <w:spacing w:before="120"/>
      <w:ind w:firstLine="6861"/>
      <w:jc w:val="center"/>
    </w:pPr>
    <w:rPr>
      <w:rFonts w:ascii="Arial" w:hAnsi="Arial"/>
      <w:b/>
      <w:snapToGrid w:val="0"/>
      <w:sz w:val="24"/>
    </w:rPr>
  </w:style>
  <w:style w:type="paragraph" w:styleId="10">
    <w:name w:val="toc 1"/>
    <w:next w:val="a0"/>
    <w:autoRedefine/>
    <w:semiHidden/>
    <w:pPr>
      <w:tabs>
        <w:tab w:val="right" w:leader="dot" w:pos="9973"/>
      </w:tabs>
      <w:spacing w:before="120"/>
    </w:pPr>
    <w:rPr>
      <w:rFonts w:ascii="Arial" w:hAnsi="Arial"/>
      <w:b/>
      <w:caps/>
      <w:noProof/>
      <w:sz w:val="24"/>
    </w:rPr>
  </w:style>
  <w:style w:type="paragraph" w:styleId="20">
    <w:name w:val="Body Text 2"/>
    <w:basedOn w:val="a0"/>
    <w:semiHidden/>
    <w:pPr>
      <w:jc w:val="both"/>
    </w:pPr>
    <w:rPr>
      <w:sz w:val="24"/>
    </w:rPr>
  </w:style>
  <w:style w:type="paragraph" w:styleId="21">
    <w:name w:val="toc 2"/>
    <w:next w:val="3"/>
    <w:autoRedefine/>
    <w:semiHidden/>
    <w:pPr>
      <w:tabs>
        <w:tab w:val="right" w:leader="dot" w:pos="9973"/>
      </w:tabs>
      <w:spacing w:before="120"/>
      <w:ind w:left="198"/>
    </w:pPr>
    <w:rPr>
      <w:rFonts w:ascii="Arial" w:hAnsi="Arial"/>
      <w:b/>
      <w:noProof/>
      <w:sz w:val="24"/>
    </w:rPr>
  </w:style>
  <w:style w:type="paragraph" w:styleId="30">
    <w:name w:val="toc 3"/>
    <w:basedOn w:val="a0"/>
    <w:next w:val="a0"/>
    <w:autoRedefine/>
    <w:semiHidden/>
    <w:pPr>
      <w:tabs>
        <w:tab w:val="right" w:leader="dot" w:pos="9973"/>
      </w:tabs>
      <w:ind w:left="403"/>
    </w:pPr>
    <w:rPr>
      <w:rFonts w:ascii="Arial" w:hAnsi="Arial"/>
      <w:b/>
      <w:sz w:val="24"/>
      <w:lang w:val="en-US"/>
    </w:rPr>
  </w:style>
  <w:style w:type="paragraph" w:customStyle="1" w:styleId="a9">
    <w:name w:val="содержание б/н"/>
    <w:next w:val="a5"/>
    <w:pPr>
      <w:pageBreakBefore/>
      <w:spacing w:before="480" w:after="360"/>
      <w:jc w:val="center"/>
    </w:pPr>
    <w:rPr>
      <w:rFonts w:ascii="Arial" w:hAnsi="Arial"/>
      <w:b/>
      <w:noProof/>
      <w:sz w:val="24"/>
    </w:rPr>
  </w:style>
  <w:style w:type="paragraph" w:customStyle="1" w:styleId="a">
    <w:name w:val="спис_меб"/>
    <w:next w:val="a5"/>
    <w:pPr>
      <w:numPr>
        <w:numId w:val="7"/>
      </w:numPr>
      <w:tabs>
        <w:tab w:val="left" w:pos="0"/>
        <w:tab w:val="num" w:pos="57"/>
      </w:tabs>
      <w:ind w:left="0" w:firstLine="680"/>
    </w:pPr>
    <w:rPr>
      <w:rFonts w:ascii="Arial" w:hAnsi="Arial"/>
      <w:noProof/>
      <w:sz w:val="24"/>
    </w:rPr>
  </w:style>
  <w:style w:type="paragraph" w:styleId="aa">
    <w:name w:val="Body Text"/>
    <w:basedOn w:val="a0"/>
    <w:semiHidden/>
    <w:pPr>
      <w:jc w:val="both"/>
    </w:pPr>
    <w:rPr>
      <w:sz w:val="26"/>
    </w:rPr>
  </w:style>
  <w:style w:type="paragraph" w:styleId="ab">
    <w:name w:val="Document Map"/>
    <w:basedOn w:val="a0"/>
    <w:semiHidden/>
    <w:pPr>
      <w:shd w:val="clear" w:color="auto" w:fill="000080"/>
    </w:pPr>
    <w:rPr>
      <w:rFonts w:ascii="Tahoma" w:hAnsi="Tahoma"/>
    </w:rPr>
  </w:style>
  <w:style w:type="character" w:styleId="ac">
    <w:name w:val="page number"/>
    <w:basedOn w:val="a1"/>
    <w:semiHidden/>
  </w:style>
  <w:style w:type="paragraph" w:styleId="ad">
    <w:name w:val="Body Text Indent"/>
    <w:basedOn w:val="a0"/>
    <w:semiHidden/>
    <w:pPr>
      <w:ind w:firstLine="720"/>
      <w:jc w:val="both"/>
    </w:pPr>
    <w:rPr>
      <w:sz w:val="24"/>
    </w:rPr>
  </w:style>
  <w:style w:type="paragraph" w:styleId="ae">
    <w:name w:val="Subtitle"/>
    <w:basedOn w:val="a0"/>
    <w:qFormat/>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97\&#1064;&#1072;&#1073;&#1083;&#1086;&#1085;&#1099;\docum9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docum97.dot</Template>
  <TotalTime>0</TotalTime>
  <Pages>1</Pages>
  <Words>5755</Words>
  <Characters>32805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mebius</Company>
  <LinksUpToDate>false</LinksUpToDate>
  <CharactersWithSpaces>38484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Marina</dc:creator>
  <cp:keywords/>
  <cp:lastModifiedBy>Irina</cp:lastModifiedBy>
  <cp:revision>2</cp:revision>
  <cp:lastPrinted>1999-10-11T09:14:00Z</cp:lastPrinted>
  <dcterms:created xsi:type="dcterms:W3CDTF">2014-08-04T13:29:00Z</dcterms:created>
  <dcterms:modified xsi:type="dcterms:W3CDTF">2014-08-04T13:29:00Z</dcterms:modified>
</cp:coreProperties>
</file>