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4E5" w:rsidRPr="00D224E5" w:rsidRDefault="00D224E5" w:rsidP="00D224E5">
      <w:pPr>
        <w:spacing w:before="120"/>
        <w:jc w:val="center"/>
        <w:rPr>
          <w:b/>
          <w:bCs/>
          <w:sz w:val="32"/>
          <w:szCs w:val="32"/>
        </w:rPr>
      </w:pPr>
      <w:r w:rsidRPr="0074102E">
        <w:rPr>
          <w:b/>
          <w:bCs/>
          <w:sz w:val="32"/>
          <w:szCs w:val="32"/>
        </w:rPr>
        <w:t xml:space="preserve">Фонвизин Денис Иванович </w:t>
      </w:r>
    </w:p>
    <w:p w:rsidR="00D224E5" w:rsidRPr="00D224E5" w:rsidRDefault="00D224E5" w:rsidP="00D224E5">
      <w:pPr>
        <w:spacing w:before="120"/>
        <w:ind w:firstLine="567"/>
        <w:jc w:val="both"/>
        <w:rPr>
          <w:sz w:val="28"/>
          <w:szCs w:val="28"/>
        </w:rPr>
      </w:pPr>
      <w:r w:rsidRPr="00D224E5">
        <w:rPr>
          <w:sz w:val="28"/>
          <w:szCs w:val="28"/>
        </w:rPr>
        <w:t xml:space="preserve">А. Кокорев </w:t>
      </w:r>
    </w:p>
    <w:p w:rsidR="00D224E5" w:rsidRPr="00227CD3" w:rsidRDefault="00D224E5" w:rsidP="00D224E5">
      <w:pPr>
        <w:spacing w:before="120"/>
        <w:ind w:firstLine="567"/>
        <w:jc w:val="both"/>
      </w:pPr>
      <w:r w:rsidRPr="00227CD3">
        <w:t xml:space="preserve">Фонвизин Денис Иванович </w:t>
      </w:r>
      <w:r>
        <w:t>(</w:t>
      </w:r>
      <w:r w:rsidRPr="00227CD3">
        <w:t>1745—1792</w:t>
      </w:r>
      <w:r>
        <w:t>)</w:t>
      </w:r>
      <w:r w:rsidRPr="00227CD3">
        <w:t xml:space="preserve"> — знаменитый русский писатель — происходил из обрусевших остзейских дворян (фон-Визин). </w:t>
      </w:r>
    </w:p>
    <w:p w:rsidR="00D224E5" w:rsidRPr="00227CD3" w:rsidRDefault="00D224E5" w:rsidP="00D224E5">
      <w:pPr>
        <w:spacing w:before="120"/>
        <w:ind w:firstLine="567"/>
        <w:jc w:val="both"/>
      </w:pPr>
      <w:r w:rsidRPr="00227CD3">
        <w:t xml:space="preserve">Детство Ф. прошло в патриархальной обстановке в доме отца-чиновника ревизион-коллегии. Образование получил в университетской гимназии и на философском факультете Московского университета </w:t>
      </w:r>
      <w:r>
        <w:t>(</w:t>
      </w:r>
      <w:r w:rsidRPr="00227CD3">
        <w:t>1759—1762</w:t>
      </w:r>
      <w:r>
        <w:t>)</w:t>
      </w:r>
      <w:r w:rsidRPr="00227CD3">
        <w:t xml:space="preserve">. По окончании ун-та Ф. поступил в иностранную коллегию в качестве переводчика, но уже в 1763 перешел на службу чиновником при кабинет-министре Елагине. С 1769 до 1783 Ф. служил у гр. Панина П. И., в коллегии иностранных дел в качестве секретаря. В 1785 Ф. разбил паралич. </w:t>
      </w:r>
    </w:p>
    <w:p w:rsidR="00D224E5" w:rsidRPr="00227CD3" w:rsidRDefault="00D224E5" w:rsidP="00D224E5">
      <w:pPr>
        <w:spacing w:before="120"/>
        <w:ind w:firstLine="567"/>
        <w:jc w:val="both"/>
      </w:pPr>
      <w:r w:rsidRPr="00227CD3">
        <w:t xml:space="preserve">«Друг свободы» (Пушкин), Ф. был просветителем-гуманистом второй половины XVIII века. Поклонник Вольтера, Руссо, Ф. был </w:t>
      </w:r>
      <w:r>
        <w:t xml:space="preserve"> </w:t>
      </w:r>
      <w:r w:rsidRPr="00227CD3">
        <w:t xml:space="preserve">врагом самодержавного деспотизма. Ф. возвысился до мысли о том, что «угнетать рабством себе подобных незаконно». Через всю свою жизнь Ф. пронес вражду к светскому об-ву, царскому двору, придворным вельможам, временщикам. Ф. был врагом невежества, борцом за культуру, поклонником петровских реформ, ратовавшим за усвоение западноевропейской культуры, но в то же время боровшимся со слепым подражанием иноземному. Ф. с детства слышал народные сказки, знал народные песни, любил петь их; любимой его песней была песня про смерть бедняка в пути: «Из-за леса, леса темного». Фонвизин прекрасно знал чисто народную речь и умело пользовался ею: русский народный язык, острые народные словечки, поговорки придавали силу лучшим произведениям Фонвизина. </w:t>
      </w:r>
    </w:p>
    <w:p w:rsidR="00D224E5" w:rsidRPr="00227CD3" w:rsidRDefault="00D224E5" w:rsidP="00D224E5">
      <w:pPr>
        <w:spacing w:before="120"/>
        <w:ind w:firstLine="567"/>
        <w:jc w:val="both"/>
      </w:pPr>
      <w:r>
        <w:t>Литературна</w:t>
      </w:r>
      <w:r w:rsidRPr="00227CD3">
        <w:t xml:space="preserve">я деятельность Ф. началась еще в бытность его студентом Московского ун-та. В 1761 он перевел с немецкого басни Гольберга, затем ряд нравоучительных сатирических произведений: «Торг семи муз», «Жизнь Сифа, царя египетского» Таррасона, «Альзиру» Вольтера и др. В 1762 Ф. переехал в Петербург и здесь развил усиленную лит-ую деятельность. Он был постоянным гостем кружка Козловского. В результате сближения с этим кружком Ф. написал «Послание к слугам», в котором обнаружил религиозный скептицизм и дал резкую характеристику духовенства. Хотя в дальнейшем замечается отход Ф. от атеистических взглядов, однако он навсегда остался врагом клерикализма, религиозного обскурантизма, всякого рода суеверия (см. Письма к родным, 1768). В 1764 Ф. выступил впервые с самостоятельным драматическим произведением, с комедией «Корион» (переделка Грессетова «Сиднея»). Через несколько лет после «Кориона» появляется социально-бытовая комедия «Бригадир» (написана 1766—1769, напечатана 1786). </w:t>
      </w:r>
    </w:p>
    <w:p w:rsidR="00D224E5" w:rsidRPr="00227CD3" w:rsidRDefault="00D224E5" w:rsidP="00D224E5">
      <w:pPr>
        <w:spacing w:before="120"/>
        <w:ind w:firstLine="567"/>
        <w:jc w:val="both"/>
      </w:pPr>
      <w:r w:rsidRPr="00227CD3">
        <w:t xml:space="preserve"> «Русская комедия началась задолго до Фонвизина, но началась только с Фонвизина: его „Бригадир“ и „Недоросль“ наделали страшного шума при своем появлении и навсегда останутся в истории русской литературы, как одно из примечательнейших явлений» — писал Белинский. Ф. дал очень живо типы современного ему дворянского общества, дал яркие картины быта, хотя построена комедия «Бригадир» по старым классическим образцам (соблюдены единство места, времени, резкое деление героев на положительных и отрицательных, 5-актный состав пьесы). </w:t>
      </w:r>
    </w:p>
    <w:p w:rsidR="00D224E5" w:rsidRPr="00227CD3" w:rsidRDefault="00D224E5" w:rsidP="00D224E5">
      <w:pPr>
        <w:spacing w:before="120"/>
        <w:ind w:firstLine="567"/>
        <w:jc w:val="both"/>
      </w:pPr>
      <w:r w:rsidRPr="00227CD3">
        <w:t xml:space="preserve">В развитии действия Ф. следовал французской классической теории, обрисовке характеров учился у Мольера, Гольберга, Детуша, Скаррона; толчок к созданию комедии на национальные темы был дан Лукиным (его комедией «Мот, любовью исправленный» и его критическими замечаниями о том, что нужно писать комедии «в наших нравах»). </w:t>
      </w:r>
    </w:p>
    <w:p w:rsidR="00D224E5" w:rsidRPr="00227CD3" w:rsidRDefault="00D224E5" w:rsidP="00D224E5">
      <w:pPr>
        <w:spacing w:before="120"/>
        <w:ind w:firstLine="567"/>
        <w:jc w:val="both"/>
      </w:pPr>
      <w:r w:rsidRPr="00227CD3">
        <w:t xml:space="preserve">В 1882 написана, а в 1883 напечатана вторая комедия Ф. «Недоросль» — кульминационный пункт в развитии творчества Ф. — «произведение ума сильного, острого, человека даровитого» (Белинский). В своей комедии Ф. отозвался на все те вопросы, </w:t>
      </w:r>
      <w:r>
        <w:t>котор</w:t>
      </w:r>
      <w:r w:rsidRPr="00227CD3">
        <w:t xml:space="preserve">ые волновали наиболее передовых людей того времени. Государственный и общественный строй, гражданские обязанности члена общества, крепостное право, семья, брак, воспитание детей — вот круг вопросов, поставленных в «Недоросле». На эти вопросы Ф. дал ответ с наиболее передовых позиций для своего времени. </w:t>
      </w:r>
    </w:p>
    <w:p w:rsidR="00D224E5" w:rsidRPr="00227CD3" w:rsidRDefault="00D224E5" w:rsidP="00D224E5">
      <w:pPr>
        <w:spacing w:before="120"/>
        <w:ind w:firstLine="567"/>
        <w:jc w:val="both"/>
      </w:pPr>
      <w:r w:rsidRPr="00227CD3">
        <w:t xml:space="preserve">Ф. был ближайшим в данном отношении предшественником Пушкина, Гоголя. Жизненность, типичность Скотининых, Митрофанушек, Простаковых не раз отмечались в позднейшей русской </w:t>
      </w:r>
      <w:r>
        <w:t>литератур</w:t>
      </w:r>
      <w:r w:rsidRPr="00227CD3">
        <w:t xml:space="preserve">е: на балу у Лариных выступает «Скотининых чета седая»; Лермонтов </w:t>
      </w:r>
      <w:r>
        <w:t xml:space="preserve"> </w:t>
      </w:r>
      <w:r w:rsidRPr="00227CD3">
        <w:t xml:space="preserve">в «Казначейше» показывает «времен новейших Митрофана»; Арина Петровна Головлева несомненно прямой потомок Простаковой. </w:t>
      </w:r>
    </w:p>
    <w:p w:rsidR="00D224E5" w:rsidRPr="00227CD3" w:rsidRDefault="00D224E5" w:rsidP="00D224E5">
      <w:pPr>
        <w:spacing w:before="120"/>
        <w:ind w:firstLine="567"/>
        <w:jc w:val="both"/>
      </w:pPr>
      <w:r w:rsidRPr="00227CD3">
        <w:t xml:space="preserve">Реалистической обрисовке действующих лиц в значительной степени содействовала четко выраженная индивидуализация языка персонажей. Положительные герои «Недоросля», резонеры — схематичны, они мало индивидуализированы. Однако в репликах резонеров мы слышим голос наиболее передовых людей XVIII в. В резонерах и добродетельных людях слышится для нас голос умных и благонамеренных людей того времени, — их понятия и образ мыслей. </w:t>
      </w:r>
    </w:p>
    <w:p w:rsidR="00D224E5" w:rsidRPr="00227CD3" w:rsidRDefault="00D224E5" w:rsidP="00D224E5">
      <w:pPr>
        <w:spacing w:before="120"/>
        <w:ind w:firstLine="567"/>
        <w:jc w:val="both"/>
      </w:pPr>
      <w:r w:rsidRPr="00227CD3">
        <w:t xml:space="preserve">Из положительных героев выделяется образ Стародума, </w:t>
      </w:r>
      <w:r>
        <w:t>котор</w:t>
      </w:r>
      <w:r w:rsidRPr="00227CD3">
        <w:t xml:space="preserve">ый излагает заветные идеи Ф. Стародум — враг продажных екатерининских вельмож, получавших чины, поместья за лесть, подхалимство. В противоположность паразитизму придворных царедворцев он выдвигает «трудолюбие». Стародум порвал с двором и ушел в Сибирь, «в ту землю, где достают деньги, не променивая их на совесть, без подлой выслуги, не грабя отечества». Стародум осуждает гнет и насилие, в словах его слышится прямое отрицание крепостных порядков. Стародум — враг невежественного воспитания. Он сторонник воспитания, которое в основе своей имеет сочетание культурности и благонравия: «наука в развращенном человеке, — говорит Стародум, — есть лютое оружие делать зло». «Прямую цену уму дает благонравие». Стародум защищает новый семейный уклад, основанный на взаимном доверии и дружбе между членами семьи. Будучи в основном сторонником французских просветителей, он не разделяет однако их материалистических идей. Стародум высоко ценит преобразовательную деятельность Петра Первого, и именно в этом смысле он был «стародумом». </w:t>
      </w:r>
    </w:p>
    <w:p w:rsidR="00D224E5" w:rsidRPr="00227CD3" w:rsidRDefault="00D224E5" w:rsidP="00D224E5">
      <w:pPr>
        <w:spacing w:before="120"/>
        <w:ind w:firstLine="567"/>
        <w:jc w:val="both"/>
      </w:pPr>
      <w:r w:rsidRPr="00227CD3">
        <w:t xml:space="preserve">При создании своей комедии Ф. использовал огромное количество источников: и статьи лучших сатирических журналов 70-х годов, и произведения современной ему русской литературы (произведения Лукина, Чулкова, Эмина и др.), и произведения английской и французской литератур XVII—XVIII вв. (Вольтер, Руссо, Дюкло, Лябрюйер и др.), но вместе с тем Ф. остался вполне самостоятельным. </w:t>
      </w:r>
    </w:p>
    <w:p w:rsidR="00D224E5" w:rsidRPr="00227CD3" w:rsidRDefault="00D224E5" w:rsidP="00D224E5">
      <w:pPr>
        <w:spacing w:before="120"/>
        <w:ind w:firstLine="567"/>
        <w:jc w:val="both"/>
      </w:pPr>
      <w:r w:rsidRPr="00227CD3">
        <w:t xml:space="preserve">В комедии «Недоросль» Ф. в значительной степени освободился от правил французской классической комедии. В комедии, правда, соблюдены единство места, времени, имеются резонеры, но развитие действия идет по-новому, приемы обрисовки героев иные. Ф. дает всестороннюю обрисовку действующих лиц, дает типические характеры в определенной исторической обстановке. Ф. вывел в комедии значительное количество лиц из «низов» (Тришка, Еремеевна, учителя), причем даны они по-новому, не для потехи слушателей, как это было во французской классической комедии; наоборот, он показывает их на сцене, чтобы вызвать к ним или сочувствие (Еремеевна, Тришка, Цифиркин), или отрицательное отношение (Вральман, Кутейкин). Первоначальный вариант комедии Ф. «Недоросль» (70-е гг.) говорит о длительной, упорной работе </w:t>
      </w:r>
      <w:r>
        <w:t xml:space="preserve"> </w:t>
      </w:r>
      <w:r w:rsidRPr="00227CD3">
        <w:t xml:space="preserve">Ф. над нею. Этот вариант заключает в себе ряд нравоописательных картин, без социально-политической заостренности и по характеру своему стоит ближе к «Бригадиру», чем к «Недорослю». В 1783 Ф. принимал деятельное участие в журнале «Собеседник», напечатал в нем «Опыт российского сословника», «Челобитную Российской Минерве от российских писателей», «Вопросы сочинителю былей и небылиц», «Поучение, говоренное в Духов день». Кроме того Ф. готовил к печати «Всеобщую придворную грамматику». В своих «смелых вопросах» (Добролюбов) автору «Былей и небылиц» Ф. дал резкую критику современных ему государственных порядков и общественных пороков: фаворитизма при дворе, морального упадка дворянства и т. п. Смелые вопросы Ф. вызвали у Екатерины большое недовольство. </w:t>
      </w:r>
    </w:p>
    <w:p w:rsidR="00D224E5" w:rsidRPr="00227CD3" w:rsidRDefault="00D224E5" w:rsidP="00D224E5">
      <w:pPr>
        <w:spacing w:before="120"/>
        <w:ind w:firstLine="567"/>
        <w:jc w:val="both"/>
      </w:pPr>
      <w:r w:rsidRPr="00227CD3">
        <w:t xml:space="preserve">В последнее десятилетие своего царствования Екатерина II открыто пошла по пути жестокой реакции, жертвой </w:t>
      </w:r>
      <w:r>
        <w:t>котор</w:t>
      </w:r>
      <w:r w:rsidRPr="00227CD3">
        <w:t xml:space="preserve">ой стал и Ф. Несмотря на тяжелую болезнь, Ф. рвался к деятельности. В 1788 он задумал издавать журнал «Стародум», получил разрешение и стал готовить материал, но по распоряжению Екатерины журнал был запрещен. Незадолго до смерти Ф. обращался с просьбой к Екатерине о разрешении ему издать перевод Тацита, но разрешения не было дано. </w:t>
      </w:r>
    </w:p>
    <w:p w:rsidR="00D224E5" w:rsidRPr="00227CD3" w:rsidRDefault="00D224E5" w:rsidP="00D224E5">
      <w:pPr>
        <w:spacing w:before="120"/>
        <w:ind w:firstLine="567"/>
        <w:jc w:val="both"/>
      </w:pPr>
      <w:r w:rsidRPr="00227CD3">
        <w:t xml:space="preserve">Материалы, предназначенные Фонвизиным к печатанию в журнале «Стародум», дают нам основание утверждать, что Фонвизин до конца своей жизни остался верен передовым взглядам. </w:t>
      </w:r>
    </w:p>
    <w:p w:rsidR="00D224E5" w:rsidRPr="00227CD3" w:rsidRDefault="00D224E5" w:rsidP="00D224E5">
      <w:pPr>
        <w:spacing w:before="120"/>
        <w:ind w:firstLine="567"/>
        <w:jc w:val="both"/>
      </w:pPr>
      <w:r w:rsidRPr="00227CD3">
        <w:t xml:space="preserve">Литературное наследство последнего периода деятельности Ф. состоит гл. обр. из статей для журнала (Письмо Взяткина, письмо Стародума, Всеобщая придворная грамматика и др.) и из драматических произведений — комедии «Выбор гувернера» и драматического фельетона «Разговор у княгини Халдиной». Кроме того Ф. последние годы своей жизни работал над автобиографией </w:t>
      </w:r>
    </w:p>
    <w:p w:rsidR="00D224E5" w:rsidRPr="00227CD3" w:rsidRDefault="00D224E5" w:rsidP="00D224E5">
      <w:pPr>
        <w:spacing w:before="120"/>
        <w:ind w:firstLine="567"/>
        <w:jc w:val="both"/>
      </w:pPr>
      <w:r w:rsidRPr="00227CD3">
        <w:t xml:space="preserve"> «Чистосердечное признание» (осталась незаконченной). В своих сатирических статьях Ф. бичевал нравы придворной знати, взяточничество чиновников, жестокость помещиков и т. п. В «Разговоре у княгини Халдиной» творческий гений Ф. проявился с особенно большой силой. А. С. Пушкин высоко ценил эту драматическую миниатюру Ф. «Прочитав „Разговор у княгини Халдиной“, — писал Пушкин, — пожалеешь невольно, что не Фонвизину досталось изображать новейшие наши нравы». </w:t>
      </w:r>
    </w:p>
    <w:p w:rsidR="00D224E5" w:rsidRPr="00227CD3" w:rsidRDefault="00D224E5" w:rsidP="00D224E5">
      <w:pPr>
        <w:spacing w:before="120"/>
        <w:ind w:firstLine="567"/>
        <w:jc w:val="both"/>
      </w:pPr>
      <w:r w:rsidRPr="00227CD3">
        <w:t xml:space="preserve">Лучшие произведения Ф. ярко и правдиво отражали жизнь, будили умы и помогали народу бороться за изменение своего тяжелого положения. </w:t>
      </w:r>
    </w:p>
    <w:p w:rsidR="00D224E5" w:rsidRPr="0074102E" w:rsidRDefault="00D224E5" w:rsidP="00D224E5">
      <w:pPr>
        <w:spacing w:before="120"/>
        <w:jc w:val="center"/>
        <w:rPr>
          <w:b/>
          <w:bCs/>
          <w:sz w:val="28"/>
          <w:szCs w:val="28"/>
        </w:rPr>
      </w:pPr>
      <w:r w:rsidRPr="0074102E">
        <w:rPr>
          <w:b/>
          <w:bCs/>
          <w:sz w:val="28"/>
          <w:szCs w:val="28"/>
        </w:rPr>
        <w:t xml:space="preserve">Список литературы  </w:t>
      </w:r>
    </w:p>
    <w:p w:rsidR="00D224E5" w:rsidRDefault="00D224E5" w:rsidP="00D224E5">
      <w:pPr>
        <w:spacing w:before="120"/>
        <w:ind w:firstLine="567"/>
        <w:jc w:val="both"/>
      </w:pPr>
      <w:r w:rsidRPr="00227CD3">
        <w:t>I. Полное собрание сочинений под ред. Пл. П. Бекетова, 4 ч., М., 1830</w:t>
      </w:r>
    </w:p>
    <w:p w:rsidR="00D224E5" w:rsidRDefault="00D224E5" w:rsidP="00D224E5">
      <w:pPr>
        <w:spacing w:before="120"/>
        <w:ind w:firstLine="567"/>
        <w:jc w:val="both"/>
      </w:pPr>
      <w:r w:rsidRPr="00227CD3">
        <w:t xml:space="preserve"> то же, изд. 2, М., 1838</w:t>
      </w:r>
    </w:p>
    <w:p w:rsidR="00D224E5" w:rsidRDefault="00D224E5" w:rsidP="00D224E5">
      <w:pPr>
        <w:spacing w:before="120"/>
        <w:ind w:firstLine="567"/>
        <w:jc w:val="both"/>
      </w:pPr>
      <w:r w:rsidRPr="00227CD3">
        <w:t xml:space="preserve"> Сочинения, изд. А. Смирдина, СПБ, 1846 (то же, изд. 2, СПБ, 1847</w:t>
      </w:r>
    </w:p>
    <w:p w:rsidR="00D224E5" w:rsidRDefault="00D224E5" w:rsidP="00D224E5">
      <w:pPr>
        <w:spacing w:before="120"/>
        <w:ind w:firstLine="567"/>
        <w:jc w:val="both"/>
      </w:pPr>
      <w:r w:rsidRPr="00227CD3">
        <w:t xml:space="preserve"> то же, изд. 3, СПБ, 1852)</w:t>
      </w:r>
    </w:p>
    <w:p w:rsidR="00D224E5" w:rsidRDefault="00D224E5" w:rsidP="00D224E5">
      <w:pPr>
        <w:spacing w:before="120"/>
        <w:ind w:firstLine="567"/>
        <w:jc w:val="both"/>
      </w:pPr>
      <w:r w:rsidRPr="00227CD3">
        <w:t xml:space="preserve"> Избранные сочинения (Собрание сочинений русских писателей, издаваемое П. Перевлесским, вып. 4), СПБ, 1858</w:t>
      </w:r>
    </w:p>
    <w:p w:rsidR="00D224E5" w:rsidRDefault="00D224E5" w:rsidP="00D224E5">
      <w:pPr>
        <w:spacing w:before="120"/>
        <w:ind w:firstLine="567"/>
        <w:jc w:val="both"/>
      </w:pPr>
      <w:r w:rsidRPr="00227CD3">
        <w:t xml:space="preserve"> Сочинения, письма и избранные переводы, под ред. П. А. Ефремова, со вступительной статьей А. П. Пятковского, изд. И. И. Глазунова, СПБ, 1866 </w:t>
      </w:r>
      <w:r>
        <w:t>(</w:t>
      </w:r>
      <w:r w:rsidRPr="00227CD3">
        <w:t>лучшее издание, приложена библиография сочинений, писем и переводов Ф. и статей о нем</w:t>
      </w:r>
      <w:r>
        <w:t>)</w:t>
      </w:r>
    </w:p>
    <w:p w:rsidR="00D224E5" w:rsidRDefault="00D224E5" w:rsidP="00D224E5">
      <w:pPr>
        <w:spacing w:before="120"/>
        <w:ind w:firstLine="567"/>
        <w:jc w:val="both"/>
      </w:pPr>
      <w:r w:rsidRPr="00227CD3">
        <w:t xml:space="preserve"> Первое полное собрание сочинений как оригинальных, так и переводных</w:t>
      </w:r>
    </w:p>
    <w:p w:rsidR="00D224E5" w:rsidRDefault="00D224E5" w:rsidP="00D224E5">
      <w:pPr>
        <w:spacing w:before="120"/>
        <w:ind w:firstLine="567"/>
        <w:jc w:val="both"/>
      </w:pPr>
      <w:r w:rsidRPr="00227CD3">
        <w:t xml:space="preserve"> изд. К. К. Шамова, 1888</w:t>
      </w:r>
    </w:p>
    <w:p w:rsidR="00D224E5" w:rsidRDefault="00D224E5" w:rsidP="00D224E5">
      <w:pPr>
        <w:spacing w:before="120"/>
        <w:ind w:firstLine="567"/>
        <w:jc w:val="both"/>
      </w:pPr>
      <w:r w:rsidRPr="00227CD3">
        <w:t xml:space="preserve"> Полное собрание оригинальных произведений, под ред. А. И. Введенского, изд. А. Ф. Маркса, СПБ, 1893</w:t>
      </w:r>
    </w:p>
    <w:p w:rsidR="00D224E5" w:rsidRDefault="00D224E5" w:rsidP="00D224E5">
      <w:pPr>
        <w:spacing w:before="120"/>
        <w:ind w:firstLine="567"/>
        <w:jc w:val="both"/>
      </w:pPr>
      <w:r w:rsidRPr="00227CD3">
        <w:t xml:space="preserve"> Тихонравов Н. С., акад., Материалы для полного собрания сочинений Д. И. Фонвизина, СПБ, 1894</w:t>
      </w:r>
    </w:p>
    <w:p w:rsidR="00D224E5" w:rsidRPr="00227CD3" w:rsidRDefault="00D224E5" w:rsidP="00D224E5">
      <w:pPr>
        <w:spacing w:before="120"/>
        <w:ind w:firstLine="567"/>
        <w:jc w:val="both"/>
      </w:pPr>
      <w:r w:rsidRPr="00227CD3">
        <w:t xml:space="preserve"> Ранняя комедия Д. И. Фонвизина, публикация Г. Коровина, «Литературное наследство», 9—10, М., 1933. </w:t>
      </w:r>
    </w:p>
    <w:p w:rsidR="00D224E5" w:rsidRDefault="00D224E5" w:rsidP="00D224E5">
      <w:pPr>
        <w:spacing w:before="120"/>
        <w:ind w:firstLine="567"/>
        <w:jc w:val="both"/>
      </w:pPr>
      <w:r w:rsidRPr="00227CD3">
        <w:t>II. Вяземский П., Фонвизин, СПБ, 1848 (то же в Полн. собр. соч. П. Вяземского, т. V, СПБ, 1880)</w:t>
      </w:r>
    </w:p>
    <w:p w:rsidR="00D224E5" w:rsidRDefault="00D224E5" w:rsidP="00D224E5">
      <w:pPr>
        <w:spacing w:before="120"/>
        <w:ind w:firstLine="567"/>
        <w:jc w:val="both"/>
      </w:pPr>
      <w:r w:rsidRPr="00227CD3">
        <w:t xml:space="preserve"> Белинский В., Полное собрание сочинений, под ред. С. А. Венгерова, т. I, СПБ, 1900, стр. 340—341</w:t>
      </w:r>
    </w:p>
    <w:p w:rsidR="00D224E5" w:rsidRDefault="00D224E5" w:rsidP="00D224E5">
      <w:pPr>
        <w:spacing w:before="120"/>
        <w:ind w:firstLine="567"/>
        <w:jc w:val="both"/>
      </w:pPr>
      <w:r w:rsidRPr="00227CD3">
        <w:t xml:space="preserve"> т. VII, СПБ, 1904, стр. 15—16 и 412</w:t>
      </w:r>
    </w:p>
    <w:p w:rsidR="00D224E5" w:rsidRDefault="00D224E5" w:rsidP="00D224E5">
      <w:pPr>
        <w:spacing w:before="120"/>
        <w:ind w:firstLine="567"/>
        <w:jc w:val="both"/>
      </w:pPr>
      <w:r w:rsidRPr="00227CD3">
        <w:t xml:space="preserve"> Чернышевский Н., Полное собрание сочинений, том X, ч. 2, СПБ, 1906, стр. 1—20 (статья «О „Бригадире“» фон-Визина)</w:t>
      </w:r>
    </w:p>
    <w:p w:rsidR="00D224E5" w:rsidRDefault="00D224E5" w:rsidP="00D224E5">
      <w:pPr>
        <w:spacing w:before="120"/>
        <w:ind w:firstLine="567"/>
        <w:jc w:val="both"/>
      </w:pPr>
      <w:r w:rsidRPr="00227CD3">
        <w:t xml:space="preserve"> Добролюбов Н., Полное собрание сочинений, т. I, ГИХЛ, 1934 (статья «Собеседник любителей российского слова»)</w:t>
      </w:r>
    </w:p>
    <w:p w:rsidR="00D224E5" w:rsidRDefault="00D224E5" w:rsidP="00D224E5">
      <w:pPr>
        <w:spacing w:before="120"/>
        <w:ind w:firstLine="567"/>
        <w:jc w:val="both"/>
      </w:pPr>
      <w:r w:rsidRPr="00227CD3">
        <w:t xml:space="preserve"> Его же, Полное собрание сочинений, т. II, ГИХЛ, 1935 (статья «Русская сатира в век Екатерины»)</w:t>
      </w:r>
    </w:p>
    <w:p w:rsidR="00D224E5" w:rsidRDefault="00D224E5" w:rsidP="00D224E5">
      <w:pPr>
        <w:spacing w:before="120"/>
        <w:ind w:firstLine="567"/>
        <w:jc w:val="both"/>
      </w:pPr>
      <w:r w:rsidRPr="00227CD3">
        <w:t xml:space="preserve"> Грыцко </w:t>
      </w:r>
      <w:r>
        <w:t>(</w:t>
      </w:r>
      <w:r w:rsidRPr="00227CD3">
        <w:t>Очерки истории русской литературы по современным исследованиям, «Современник», 1865, №№ 10 и 11, 1866, № 1 (Грыцко — псевдоним Г. З. Елисеева)</w:t>
      </w:r>
      <w:r>
        <w:t>)</w:t>
      </w:r>
    </w:p>
    <w:p w:rsidR="00D224E5" w:rsidRDefault="00D224E5" w:rsidP="00D224E5">
      <w:pPr>
        <w:spacing w:before="120"/>
        <w:ind w:firstLine="567"/>
        <w:jc w:val="both"/>
      </w:pPr>
      <w:r w:rsidRPr="00227CD3">
        <w:t xml:space="preserve"> Шашков С. С., Фон-Визин и его время, «Дело», 1879, №№ 7, 8 и 10</w:t>
      </w:r>
    </w:p>
    <w:p w:rsidR="00D224E5" w:rsidRDefault="00D224E5" w:rsidP="00D224E5">
      <w:pPr>
        <w:spacing w:before="120"/>
        <w:ind w:firstLine="567"/>
        <w:jc w:val="both"/>
      </w:pPr>
      <w:r w:rsidRPr="00227CD3">
        <w:t xml:space="preserve"> Языков Д., «Недоросль» на сцене и в литературе», «Исторический вестник», 1882, № 10</w:t>
      </w:r>
    </w:p>
    <w:p w:rsidR="00D224E5" w:rsidRDefault="00D224E5" w:rsidP="00D224E5">
      <w:pPr>
        <w:spacing w:before="120"/>
        <w:ind w:firstLine="567"/>
        <w:jc w:val="both"/>
      </w:pPr>
      <w:r w:rsidRPr="00227CD3">
        <w:t xml:space="preserve"> Веселовский Алексей, Этюды и характеристики, М., 1894</w:t>
      </w:r>
    </w:p>
    <w:p w:rsidR="00D224E5" w:rsidRDefault="00D224E5" w:rsidP="00D224E5">
      <w:pPr>
        <w:spacing w:before="120"/>
        <w:ind w:firstLine="567"/>
        <w:jc w:val="both"/>
      </w:pPr>
      <w:r w:rsidRPr="00227CD3">
        <w:t xml:space="preserve"> то же, изд. 4, том I, М., 1912 (статья «Памяти Фонвизина»)</w:t>
      </w:r>
    </w:p>
    <w:p w:rsidR="00D224E5" w:rsidRDefault="00D224E5" w:rsidP="00D224E5">
      <w:pPr>
        <w:spacing w:before="120"/>
        <w:ind w:firstLine="567"/>
        <w:jc w:val="both"/>
      </w:pPr>
      <w:r w:rsidRPr="00227CD3">
        <w:t xml:space="preserve"> Ключевский В., «Недоросль» Фонвизина, «Искусство и наука», 1896, № 1 </w:t>
      </w:r>
      <w:r>
        <w:t>(</w:t>
      </w:r>
      <w:r w:rsidRPr="00227CD3">
        <w:t>то же в кн.: Ключевский В., Очерки и речи (второй сборник статей), М., 1913</w:t>
      </w:r>
    </w:p>
    <w:p w:rsidR="00D224E5" w:rsidRDefault="00D224E5" w:rsidP="00D224E5">
      <w:pPr>
        <w:spacing w:before="120"/>
        <w:ind w:firstLine="567"/>
        <w:jc w:val="both"/>
      </w:pPr>
      <w:r w:rsidRPr="00227CD3">
        <w:t xml:space="preserve"> то же, II, 1918</w:t>
      </w:r>
      <w:r>
        <w:t>)</w:t>
      </w:r>
    </w:p>
    <w:p w:rsidR="00D224E5" w:rsidRDefault="00D224E5" w:rsidP="00D224E5">
      <w:pPr>
        <w:spacing w:before="120"/>
        <w:ind w:firstLine="567"/>
        <w:jc w:val="both"/>
      </w:pPr>
      <w:r w:rsidRPr="00227CD3">
        <w:t xml:space="preserve"> Истомин В., Главнейшие особенности языка и слога произведений Ден. Ив. фон-Визина, «Русский филологический вестник», 1897, т. XXXVIII, № 3—4</w:t>
      </w:r>
    </w:p>
    <w:p w:rsidR="00D224E5" w:rsidRDefault="00D224E5" w:rsidP="00D224E5">
      <w:pPr>
        <w:spacing w:before="120"/>
        <w:ind w:firstLine="567"/>
        <w:jc w:val="both"/>
      </w:pPr>
      <w:r w:rsidRPr="00227CD3">
        <w:t xml:space="preserve"> Тихонравов Н., Сочинения, т. III, ч. 1, изд. М. и С. Сабашниковых, М., 1898 (статья «Д. И. Фон-Визин»)</w:t>
      </w:r>
    </w:p>
    <w:p w:rsidR="00D224E5" w:rsidRDefault="00D224E5" w:rsidP="00D224E5">
      <w:pPr>
        <w:spacing w:before="120"/>
        <w:ind w:firstLine="567"/>
        <w:jc w:val="both"/>
      </w:pPr>
      <w:r w:rsidRPr="00227CD3">
        <w:t xml:space="preserve"> Пыпин А. Н., История русской литературы, т. IV, СПБ, 1899 (то же</w:t>
      </w:r>
    </w:p>
    <w:p w:rsidR="00D224E5" w:rsidRDefault="00D224E5" w:rsidP="00D224E5">
      <w:pPr>
        <w:spacing w:before="120"/>
        <w:ind w:firstLine="567"/>
        <w:jc w:val="both"/>
      </w:pPr>
      <w:r w:rsidRPr="00227CD3">
        <w:t xml:space="preserve"> изд. 4, СПБ, 1913</w:t>
      </w:r>
    </w:p>
    <w:p w:rsidR="00D224E5" w:rsidRDefault="00D224E5" w:rsidP="00D224E5">
      <w:pPr>
        <w:spacing w:before="120"/>
        <w:ind w:firstLine="567"/>
        <w:jc w:val="both"/>
      </w:pPr>
      <w:r w:rsidRPr="00227CD3">
        <w:t xml:space="preserve"> Русский биографический словарь, том «Фабер — Цявловский», СПБ, 1901 (статья «Фонвизин» И. Н. Жданова</w:t>
      </w:r>
    </w:p>
    <w:p w:rsidR="00D224E5" w:rsidRDefault="00D224E5" w:rsidP="00D224E5">
      <w:pPr>
        <w:spacing w:before="120"/>
        <w:ind w:firstLine="567"/>
        <w:jc w:val="both"/>
      </w:pPr>
      <w:r w:rsidRPr="00227CD3">
        <w:t xml:space="preserve"> то же в кн.: Жданов И. Н., Сочинения, том II, изд. Отделения русского языка и словесности Академии наук, СПБ, 1907</w:t>
      </w:r>
    </w:p>
    <w:p w:rsidR="00D224E5" w:rsidRDefault="00D224E5" w:rsidP="00D224E5">
      <w:pPr>
        <w:spacing w:before="120"/>
        <w:ind w:firstLine="567"/>
        <w:jc w:val="both"/>
      </w:pPr>
      <w:r w:rsidRPr="00227CD3">
        <w:t xml:space="preserve"> Сакулин П., Русская литература, ч. 2, М., 1929 </w:t>
      </w:r>
      <w:r>
        <w:t>(</w:t>
      </w:r>
      <w:r w:rsidRPr="00227CD3">
        <w:t>по указателю</w:t>
      </w:r>
      <w:r>
        <w:t>)</w:t>
      </w:r>
    </w:p>
    <w:p w:rsidR="00D224E5" w:rsidRDefault="00D224E5" w:rsidP="00D224E5">
      <w:pPr>
        <w:spacing w:before="120"/>
        <w:ind w:firstLine="567"/>
        <w:jc w:val="both"/>
      </w:pPr>
      <w:r w:rsidRPr="00227CD3">
        <w:t xml:space="preserve"> Гуковский Г., «Недоросль» Фонвизина, «Русский язык и литература в средней школе», 1935, № 1</w:t>
      </w:r>
    </w:p>
    <w:p w:rsidR="00D224E5" w:rsidRDefault="00D224E5" w:rsidP="00D224E5">
      <w:pPr>
        <w:spacing w:before="120"/>
        <w:ind w:firstLine="567"/>
        <w:jc w:val="both"/>
      </w:pPr>
      <w:r w:rsidRPr="00227CD3">
        <w:t xml:space="preserve"> Его же, Очерки по истории русской литературы XVIII века (Дворянская фронда в литературе 1750-х — 1760-х годов), изд. Академии наук, М. — Л., 1936</w:t>
      </w:r>
    </w:p>
    <w:p w:rsidR="00D224E5" w:rsidRPr="00227CD3" w:rsidRDefault="00D224E5" w:rsidP="00D224E5">
      <w:pPr>
        <w:spacing w:before="120"/>
        <w:ind w:firstLine="567"/>
        <w:jc w:val="both"/>
      </w:pPr>
      <w:r w:rsidRPr="00227CD3">
        <w:t xml:space="preserve"> Энциклопедический словарь русского Библиографического института Гранат, седьмое издание, том 44, М., без года (статья «Фонвизин» Г. Гуковского). </w:t>
      </w:r>
    </w:p>
    <w:p w:rsidR="00D224E5" w:rsidRDefault="00D224E5" w:rsidP="00D224E5">
      <w:pPr>
        <w:spacing w:before="120"/>
        <w:ind w:firstLine="567"/>
        <w:jc w:val="both"/>
      </w:pPr>
      <w:r w:rsidRPr="00227CD3">
        <w:t>III. Фонвизин Д., Сочинения, письма и избранные переводы под ред. П. А. Ефремова, изд. И. И. Глазунова, СПБ, 1866</w:t>
      </w:r>
    </w:p>
    <w:p w:rsidR="00D224E5" w:rsidRPr="00227CD3" w:rsidRDefault="00D224E5" w:rsidP="00D224E5">
      <w:pPr>
        <w:spacing w:before="120"/>
        <w:ind w:firstLine="567"/>
        <w:jc w:val="both"/>
      </w:pPr>
      <w:r w:rsidRPr="00227CD3">
        <w:t xml:space="preserve"> Мезиер А. В., Русская словесность с XI по XIX столетия включительно, ч. II, СПБ, 1902, стр. 437—439 и 627.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4E5"/>
    <w:rsid w:val="00002B5A"/>
    <w:rsid w:val="0010437E"/>
    <w:rsid w:val="00227CD3"/>
    <w:rsid w:val="002D0A39"/>
    <w:rsid w:val="005F4946"/>
    <w:rsid w:val="00616072"/>
    <w:rsid w:val="006A5004"/>
    <w:rsid w:val="00710178"/>
    <w:rsid w:val="0074102E"/>
    <w:rsid w:val="008B35EE"/>
    <w:rsid w:val="00905CC1"/>
    <w:rsid w:val="00B42C45"/>
    <w:rsid w:val="00B47B6A"/>
    <w:rsid w:val="00D224E5"/>
    <w:rsid w:val="00F10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B0E3EB-E7B8-4253-B699-35E3D350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4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224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1874</Words>
  <Characters>10688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Фонвизин Денис Иванович </vt:lpstr>
    </vt:vector>
  </TitlesOfParts>
  <Company>Home</Company>
  <LinksUpToDate>false</LinksUpToDate>
  <CharactersWithSpaces>12537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Фонвизин Денис Иванович </dc:title>
  <dc:subject/>
  <dc:creator>User</dc:creator>
  <cp:keywords/>
  <dc:description/>
  <cp:lastModifiedBy>admin</cp:lastModifiedBy>
  <cp:revision>2</cp:revision>
  <dcterms:created xsi:type="dcterms:W3CDTF">2014-02-15T03:21:00Z</dcterms:created>
  <dcterms:modified xsi:type="dcterms:W3CDTF">2014-02-15T03:21:00Z</dcterms:modified>
</cp:coreProperties>
</file>