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37C" w:rsidRDefault="000D7273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На правах рукописи</w:t>
      </w:r>
    </w:p>
    <w:p w:rsidR="0035137C" w:rsidRDefault="0035137C">
      <w:pPr>
        <w:ind w:firstLine="567"/>
        <w:jc w:val="center"/>
        <w:rPr>
          <w:sz w:val="24"/>
          <w:szCs w:val="24"/>
        </w:rPr>
      </w:pPr>
    </w:p>
    <w:p w:rsidR="0035137C" w:rsidRDefault="0035137C">
      <w:pPr>
        <w:ind w:firstLine="567"/>
        <w:jc w:val="center"/>
        <w:rPr>
          <w:sz w:val="24"/>
          <w:szCs w:val="24"/>
        </w:rPr>
      </w:pPr>
    </w:p>
    <w:p w:rsidR="0035137C" w:rsidRDefault="0035137C">
      <w:pPr>
        <w:ind w:firstLine="567"/>
        <w:jc w:val="center"/>
        <w:rPr>
          <w:sz w:val="24"/>
          <w:szCs w:val="24"/>
        </w:rPr>
      </w:pPr>
    </w:p>
    <w:p w:rsidR="0035137C" w:rsidRDefault="0035137C">
      <w:pPr>
        <w:ind w:firstLine="567"/>
        <w:jc w:val="center"/>
        <w:rPr>
          <w:sz w:val="24"/>
          <w:szCs w:val="24"/>
        </w:rPr>
      </w:pPr>
    </w:p>
    <w:p w:rsidR="0035137C" w:rsidRDefault="0035137C">
      <w:pPr>
        <w:ind w:firstLine="567"/>
        <w:jc w:val="center"/>
        <w:rPr>
          <w:sz w:val="24"/>
          <w:szCs w:val="24"/>
        </w:rPr>
      </w:pPr>
    </w:p>
    <w:p w:rsidR="0035137C" w:rsidRDefault="000D7273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Куликов Владимир Петрович</w:t>
      </w:r>
    </w:p>
    <w:p w:rsidR="0035137C" w:rsidRDefault="0035137C">
      <w:pPr>
        <w:ind w:firstLine="567"/>
        <w:jc w:val="center"/>
        <w:rPr>
          <w:sz w:val="24"/>
          <w:szCs w:val="24"/>
        </w:rPr>
      </w:pPr>
    </w:p>
    <w:p w:rsidR="0035137C" w:rsidRDefault="0035137C">
      <w:pPr>
        <w:ind w:firstLine="567"/>
        <w:jc w:val="center"/>
        <w:rPr>
          <w:sz w:val="24"/>
          <w:szCs w:val="24"/>
        </w:rPr>
      </w:pPr>
    </w:p>
    <w:p w:rsidR="0035137C" w:rsidRDefault="0035137C">
      <w:pPr>
        <w:ind w:firstLine="567"/>
        <w:jc w:val="center"/>
        <w:rPr>
          <w:sz w:val="24"/>
          <w:szCs w:val="24"/>
        </w:rPr>
      </w:pPr>
    </w:p>
    <w:p w:rsidR="0035137C" w:rsidRDefault="0035137C">
      <w:pPr>
        <w:ind w:firstLine="567"/>
        <w:jc w:val="center"/>
        <w:rPr>
          <w:sz w:val="24"/>
          <w:szCs w:val="24"/>
        </w:rPr>
      </w:pPr>
    </w:p>
    <w:p w:rsidR="0035137C" w:rsidRDefault="000D7273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КЛИНИКО-БАКТЕРИОЛОГИЧЕСКАЯ ХАРАКТЕРИСТИКА </w:t>
      </w:r>
    </w:p>
    <w:p w:rsidR="0035137C" w:rsidRDefault="0035137C">
      <w:pPr>
        <w:ind w:firstLine="567"/>
        <w:jc w:val="center"/>
        <w:rPr>
          <w:sz w:val="24"/>
          <w:szCs w:val="24"/>
        </w:rPr>
      </w:pPr>
    </w:p>
    <w:p w:rsidR="0035137C" w:rsidRDefault="000D7273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ТЯЖЕЛЫХ ФОРМ ДИЗЕНТЕРИИ ФЛЕКСНЕРА С УЧЕТОМ </w:t>
      </w:r>
    </w:p>
    <w:p w:rsidR="0035137C" w:rsidRDefault="0035137C">
      <w:pPr>
        <w:ind w:firstLine="567"/>
        <w:jc w:val="center"/>
        <w:rPr>
          <w:sz w:val="24"/>
          <w:szCs w:val="24"/>
        </w:rPr>
      </w:pPr>
    </w:p>
    <w:p w:rsidR="0035137C" w:rsidRDefault="000D7273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ПОКАЗАТЕЛЕЙ ГЕМОСТАЗА</w:t>
      </w:r>
    </w:p>
    <w:p w:rsidR="0035137C" w:rsidRDefault="0035137C">
      <w:pPr>
        <w:ind w:firstLine="567"/>
        <w:jc w:val="center"/>
        <w:rPr>
          <w:sz w:val="24"/>
          <w:szCs w:val="24"/>
        </w:rPr>
      </w:pPr>
    </w:p>
    <w:p w:rsidR="0035137C" w:rsidRDefault="0035137C">
      <w:pPr>
        <w:ind w:firstLine="567"/>
        <w:jc w:val="center"/>
        <w:rPr>
          <w:sz w:val="24"/>
          <w:szCs w:val="24"/>
        </w:rPr>
      </w:pPr>
    </w:p>
    <w:p w:rsidR="0035137C" w:rsidRDefault="0035137C">
      <w:pPr>
        <w:ind w:firstLine="567"/>
        <w:jc w:val="center"/>
        <w:rPr>
          <w:sz w:val="24"/>
          <w:szCs w:val="24"/>
        </w:rPr>
      </w:pPr>
    </w:p>
    <w:p w:rsidR="0035137C" w:rsidRDefault="000D7273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14</w:t>
      </w:r>
      <w:r>
        <w:rPr>
          <w:sz w:val="24"/>
          <w:szCs w:val="24"/>
        </w:rPr>
        <w:t>. 00. 10 - инфекционные болезни</w:t>
      </w:r>
    </w:p>
    <w:p w:rsidR="0035137C" w:rsidRDefault="0035137C">
      <w:pPr>
        <w:ind w:firstLine="567"/>
        <w:jc w:val="center"/>
        <w:rPr>
          <w:sz w:val="24"/>
          <w:szCs w:val="24"/>
          <w:lang w:val="en-US"/>
        </w:rPr>
      </w:pPr>
    </w:p>
    <w:p w:rsidR="0035137C" w:rsidRDefault="0035137C">
      <w:pPr>
        <w:ind w:firstLine="567"/>
        <w:jc w:val="center"/>
        <w:rPr>
          <w:sz w:val="24"/>
          <w:szCs w:val="24"/>
          <w:lang w:val="en-US"/>
        </w:rPr>
      </w:pPr>
    </w:p>
    <w:p w:rsidR="0035137C" w:rsidRDefault="0035137C">
      <w:pPr>
        <w:ind w:firstLine="567"/>
        <w:jc w:val="center"/>
        <w:rPr>
          <w:sz w:val="24"/>
          <w:szCs w:val="24"/>
        </w:rPr>
      </w:pPr>
    </w:p>
    <w:p w:rsidR="0035137C" w:rsidRDefault="0035137C">
      <w:pPr>
        <w:ind w:firstLine="567"/>
        <w:jc w:val="center"/>
        <w:rPr>
          <w:sz w:val="24"/>
          <w:szCs w:val="24"/>
        </w:rPr>
      </w:pPr>
    </w:p>
    <w:p w:rsidR="0035137C" w:rsidRDefault="0035137C">
      <w:pPr>
        <w:ind w:firstLine="567"/>
        <w:jc w:val="center"/>
        <w:rPr>
          <w:sz w:val="24"/>
          <w:szCs w:val="24"/>
        </w:rPr>
      </w:pPr>
    </w:p>
    <w:p w:rsidR="0035137C" w:rsidRDefault="0035137C">
      <w:pPr>
        <w:ind w:firstLine="567"/>
        <w:jc w:val="center"/>
        <w:rPr>
          <w:sz w:val="24"/>
          <w:szCs w:val="24"/>
        </w:rPr>
      </w:pPr>
    </w:p>
    <w:p w:rsidR="0035137C" w:rsidRDefault="0035137C">
      <w:pPr>
        <w:ind w:firstLine="567"/>
        <w:jc w:val="center"/>
        <w:rPr>
          <w:sz w:val="24"/>
          <w:szCs w:val="24"/>
        </w:rPr>
      </w:pPr>
    </w:p>
    <w:p w:rsidR="0035137C" w:rsidRDefault="0035137C">
      <w:pPr>
        <w:ind w:firstLine="567"/>
        <w:jc w:val="center"/>
        <w:rPr>
          <w:sz w:val="24"/>
          <w:szCs w:val="24"/>
        </w:rPr>
      </w:pPr>
    </w:p>
    <w:p w:rsidR="0035137C" w:rsidRDefault="0035137C">
      <w:pPr>
        <w:ind w:firstLine="567"/>
        <w:jc w:val="center"/>
        <w:rPr>
          <w:sz w:val="24"/>
          <w:szCs w:val="24"/>
        </w:rPr>
      </w:pPr>
    </w:p>
    <w:p w:rsidR="0035137C" w:rsidRDefault="0035137C">
      <w:pPr>
        <w:ind w:firstLine="567"/>
        <w:jc w:val="center"/>
        <w:rPr>
          <w:sz w:val="24"/>
          <w:szCs w:val="24"/>
        </w:rPr>
      </w:pPr>
    </w:p>
    <w:p w:rsidR="0035137C" w:rsidRDefault="0035137C">
      <w:pPr>
        <w:ind w:firstLine="567"/>
        <w:jc w:val="center"/>
        <w:rPr>
          <w:sz w:val="24"/>
          <w:szCs w:val="24"/>
        </w:rPr>
      </w:pPr>
    </w:p>
    <w:p w:rsidR="0035137C" w:rsidRDefault="0035137C">
      <w:pPr>
        <w:ind w:firstLine="567"/>
        <w:jc w:val="center"/>
        <w:rPr>
          <w:sz w:val="24"/>
          <w:szCs w:val="24"/>
        </w:rPr>
      </w:pPr>
    </w:p>
    <w:p w:rsidR="0035137C" w:rsidRDefault="0035137C">
      <w:pPr>
        <w:ind w:firstLine="567"/>
        <w:jc w:val="center"/>
        <w:rPr>
          <w:sz w:val="24"/>
          <w:szCs w:val="24"/>
        </w:rPr>
      </w:pPr>
    </w:p>
    <w:p w:rsidR="0035137C" w:rsidRDefault="000D7273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Автореферат</w:t>
      </w:r>
    </w:p>
    <w:p w:rsidR="0035137C" w:rsidRDefault="0035137C">
      <w:pPr>
        <w:ind w:firstLine="567"/>
        <w:jc w:val="center"/>
        <w:rPr>
          <w:sz w:val="24"/>
          <w:szCs w:val="24"/>
        </w:rPr>
      </w:pPr>
    </w:p>
    <w:p w:rsidR="0035137C" w:rsidRDefault="000D7273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диссертации на соискание ученой степени </w:t>
      </w:r>
    </w:p>
    <w:p w:rsidR="0035137C" w:rsidRDefault="000D7273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кандидата медицинских наук</w:t>
      </w:r>
      <w:r>
        <w:rPr>
          <w:sz w:val="24"/>
          <w:szCs w:val="24"/>
          <w:lang w:val="en-US"/>
        </w:rPr>
        <w:t xml:space="preserve"> </w:t>
      </w:r>
    </w:p>
    <w:p w:rsidR="0035137C" w:rsidRDefault="0035137C">
      <w:pPr>
        <w:ind w:firstLine="567"/>
        <w:jc w:val="center"/>
        <w:rPr>
          <w:sz w:val="24"/>
          <w:szCs w:val="24"/>
          <w:lang w:val="en-US"/>
        </w:rPr>
      </w:pPr>
    </w:p>
    <w:p w:rsidR="0035137C" w:rsidRDefault="0035137C">
      <w:pPr>
        <w:ind w:firstLine="567"/>
        <w:jc w:val="center"/>
        <w:rPr>
          <w:sz w:val="24"/>
          <w:szCs w:val="24"/>
          <w:lang w:val="en-US"/>
        </w:rPr>
      </w:pPr>
    </w:p>
    <w:p w:rsidR="0035137C" w:rsidRDefault="000D7273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Санкт-Петербург - 1997 г.</w:t>
      </w:r>
    </w:p>
    <w:p w:rsidR="0035137C" w:rsidRDefault="0035137C">
      <w:pPr>
        <w:ind w:firstLine="567"/>
        <w:jc w:val="center"/>
        <w:rPr>
          <w:sz w:val="24"/>
          <w:szCs w:val="24"/>
          <w:lang w:val="en-US"/>
        </w:rPr>
      </w:pPr>
    </w:p>
    <w:p w:rsidR="0035137C" w:rsidRDefault="0035137C">
      <w:pPr>
        <w:ind w:firstLine="567"/>
        <w:jc w:val="right"/>
        <w:rPr>
          <w:sz w:val="24"/>
          <w:szCs w:val="24"/>
        </w:rPr>
      </w:pPr>
    </w:p>
    <w:p w:rsidR="0035137C" w:rsidRDefault="0035137C">
      <w:pPr>
        <w:ind w:firstLine="567"/>
        <w:jc w:val="center"/>
        <w:rPr>
          <w:sz w:val="24"/>
          <w:szCs w:val="24"/>
          <w:lang w:val="en-US"/>
        </w:rPr>
      </w:pPr>
    </w:p>
    <w:p w:rsidR="0035137C" w:rsidRDefault="000D7273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Работа выполнена на кафедре инфекционных болезней с курсом лабораторной диагностики СПИД СПбМАПО.</w:t>
      </w:r>
    </w:p>
    <w:p w:rsidR="0035137C" w:rsidRDefault="0035137C">
      <w:pPr>
        <w:spacing w:line="360" w:lineRule="auto"/>
        <w:ind w:firstLine="567"/>
        <w:rPr>
          <w:sz w:val="24"/>
          <w:szCs w:val="24"/>
        </w:rPr>
      </w:pPr>
    </w:p>
    <w:p w:rsidR="0035137C" w:rsidRDefault="000D7273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Научные руководители:                                                              </w:t>
      </w:r>
    </w:p>
    <w:p w:rsidR="0035137C" w:rsidRDefault="000D7273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академик МАНЭБ, доктор медицинских наук, профессор А.Г. Рахманова</w:t>
      </w:r>
    </w:p>
    <w:p w:rsidR="0035137C" w:rsidRDefault="0035137C">
      <w:pPr>
        <w:spacing w:line="360" w:lineRule="auto"/>
        <w:ind w:firstLine="567"/>
        <w:rPr>
          <w:sz w:val="24"/>
          <w:szCs w:val="24"/>
          <w:lang w:val="en-US"/>
        </w:rPr>
      </w:pPr>
    </w:p>
    <w:p w:rsidR="0035137C" w:rsidRDefault="000D7273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доктор медицинских наук</w:t>
      </w:r>
      <w:r>
        <w:rPr>
          <w:sz w:val="24"/>
          <w:szCs w:val="24"/>
          <w:lang w:val="en-US"/>
        </w:rPr>
        <w:t xml:space="preserve">                      </w:t>
      </w:r>
      <w:r>
        <w:rPr>
          <w:sz w:val="24"/>
          <w:szCs w:val="24"/>
        </w:rPr>
        <w:t xml:space="preserve">                               А.С. Шитикова</w:t>
      </w:r>
    </w:p>
    <w:p w:rsidR="0035137C" w:rsidRDefault="0035137C">
      <w:pPr>
        <w:spacing w:line="360" w:lineRule="auto"/>
        <w:ind w:firstLine="567"/>
        <w:rPr>
          <w:sz w:val="24"/>
          <w:szCs w:val="24"/>
        </w:rPr>
      </w:pPr>
    </w:p>
    <w:p w:rsidR="0035137C" w:rsidRDefault="000D7273">
      <w:pPr>
        <w:spacing w:line="360" w:lineRule="auto"/>
        <w:ind w:firstLine="567"/>
        <w:rPr>
          <w:sz w:val="24"/>
          <w:szCs w:val="24"/>
          <w:lang w:val="en-US"/>
        </w:rPr>
      </w:pPr>
      <w:r>
        <w:rPr>
          <w:sz w:val="24"/>
          <w:szCs w:val="24"/>
        </w:rPr>
        <w:t>Официальные оппоненты:</w:t>
      </w:r>
      <w:r>
        <w:rPr>
          <w:sz w:val="24"/>
          <w:szCs w:val="24"/>
          <w:lang w:val="en-US"/>
        </w:rPr>
        <w:t xml:space="preserve"> </w:t>
      </w:r>
    </w:p>
    <w:p w:rsidR="0035137C" w:rsidRDefault="000D7273">
      <w:pPr>
        <w:spacing w:line="360" w:lineRule="auto"/>
        <w:ind w:firstLine="567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член-корреспондент РАЕН, академик МАНЭБ,                                              </w:t>
      </w:r>
    </w:p>
    <w:p w:rsidR="0035137C" w:rsidRDefault="000D7273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доктор медицинских наук, профессор                                       Ю.В. Лобзин </w:t>
      </w:r>
    </w:p>
    <w:p w:rsidR="0035137C" w:rsidRDefault="000D7273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доктор медицинских наук, профессор                                         Т.В. Сологуб </w:t>
      </w:r>
    </w:p>
    <w:p w:rsidR="0035137C" w:rsidRDefault="0035137C">
      <w:pPr>
        <w:spacing w:line="360" w:lineRule="auto"/>
        <w:ind w:firstLine="567"/>
        <w:rPr>
          <w:sz w:val="24"/>
          <w:szCs w:val="24"/>
        </w:rPr>
      </w:pPr>
    </w:p>
    <w:p w:rsidR="0035137C" w:rsidRDefault="000D7273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Ведущее учереждение:</w:t>
      </w:r>
    </w:p>
    <w:p w:rsidR="0035137C" w:rsidRDefault="000D7273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Санкт-Петербургская государственная педиатрическая медицинская            академия</w:t>
      </w:r>
    </w:p>
    <w:p w:rsidR="0035137C" w:rsidRDefault="0035137C">
      <w:pPr>
        <w:spacing w:line="360" w:lineRule="auto"/>
        <w:ind w:firstLine="567"/>
        <w:rPr>
          <w:sz w:val="24"/>
          <w:szCs w:val="24"/>
        </w:rPr>
      </w:pPr>
    </w:p>
    <w:p w:rsidR="0035137C" w:rsidRDefault="000D7273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Защита диссертации состоится “__”___________1998 г.  в___час.</w:t>
      </w:r>
    </w:p>
    <w:p w:rsidR="0035137C" w:rsidRDefault="000D7273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на заседании диссертационного совета Д. 074. 16. 05 в</w:t>
      </w:r>
    </w:p>
    <w:p w:rsidR="0035137C" w:rsidRDefault="000D7273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Санкт-Петербургской медицинской академии последипломного</w:t>
      </w:r>
    </w:p>
    <w:p w:rsidR="0035137C" w:rsidRDefault="000D7273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образования (193015, Санкт-Петербург, ул. Салтыкова-Щедрина, 41)</w:t>
      </w:r>
    </w:p>
    <w:p w:rsidR="0035137C" w:rsidRDefault="000D7273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5137C" w:rsidRDefault="000D7273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 диссертацией можно ознакомиться в фундаментальной библиотеке         академии.</w:t>
      </w:r>
    </w:p>
    <w:p w:rsidR="0035137C" w:rsidRDefault="000D7273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35137C" w:rsidRDefault="000D7273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Автореферат разослан “ ”_____________ 1998 г.</w:t>
      </w:r>
    </w:p>
    <w:p w:rsidR="0035137C" w:rsidRDefault="0035137C">
      <w:pPr>
        <w:spacing w:line="360" w:lineRule="auto"/>
        <w:ind w:firstLine="567"/>
        <w:rPr>
          <w:sz w:val="24"/>
          <w:szCs w:val="24"/>
        </w:rPr>
      </w:pPr>
    </w:p>
    <w:p w:rsidR="0035137C" w:rsidRDefault="000D7273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Ученый секретарь диссертационного совета </w:t>
      </w:r>
    </w:p>
    <w:p w:rsidR="0035137C" w:rsidRDefault="000D7273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кандидат медицинских наук, доцент                               В.К. Пригожина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АКТУАЛЬНОСТЬ ТЕМЫ.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Среди этиологически верифицированных форм острых кишечных инфекций дизентерия имеет в нашей стране наибольший удельный вес. В начале 90-х годов после нескольких десятилетий относительного благополучия в Санкт-Петербурге был отмечен значительный рост заболеваемости дизентерией с преобладанием в этиологической структуре шигеллеза Флекснера 2а. Наблюдалось увеличение тяжелых форм болезни и рост летальности.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(Рахманова А.Г. и соавт., 1993; Поплавская Ж.В. и соавт., 1994; Беляева Т.В., 1995; Журкин А.Т. и соавт., 1995; Ставицкая Е.Л., 1997).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последние годы было показано, что утяжеление клинического течения дизентерии сопровождалось повышением устойчивости шигелл к антибактериальным средствам (Гаранин Б.А., 1990; Круглов Ю.В. и соавт., 1991; Рахманова А.Г. и соавт., 1993; </w:t>
      </w:r>
      <w:r>
        <w:rPr>
          <w:sz w:val="24"/>
          <w:szCs w:val="24"/>
          <w:lang w:val="en-US"/>
        </w:rPr>
        <w:t>Aleksic S. et al.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 xml:space="preserve"> 1993</w:t>
      </w:r>
      <w:r>
        <w:rPr>
          <w:sz w:val="24"/>
          <w:szCs w:val="24"/>
        </w:rPr>
        <w:t>;</w:t>
      </w:r>
      <w:r>
        <w:rPr>
          <w:sz w:val="24"/>
          <w:szCs w:val="24"/>
          <w:lang w:val="en-US"/>
        </w:rPr>
        <w:t xml:space="preserve"> 1993</w:t>
      </w:r>
      <w:r>
        <w:rPr>
          <w:sz w:val="24"/>
          <w:szCs w:val="24"/>
        </w:rPr>
        <w:t>;</w:t>
      </w:r>
      <w:r>
        <w:rPr>
          <w:sz w:val="24"/>
          <w:szCs w:val="24"/>
          <w:lang w:val="en-US"/>
        </w:rPr>
        <w:t xml:space="preserve"> Ling J.M. et al.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 xml:space="preserve"> 1993</w:t>
      </w:r>
      <w:r>
        <w:rPr>
          <w:sz w:val="24"/>
          <w:szCs w:val="24"/>
        </w:rPr>
        <w:t>;</w:t>
      </w:r>
      <w:r>
        <w:rPr>
          <w:sz w:val="24"/>
          <w:szCs w:val="24"/>
          <w:lang w:val="en-US"/>
        </w:rPr>
        <w:t xml:space="preserve"> Rawashdeh M.O. et al.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 xml:space="preserve"> 1994</w:t>
      </w:r>
      <w:r>
        <w:rPr>
          <w:sz w:val="24"/>
          <w:szCs w:val="24"/>
        </w:rPr>
        <w:t>;</w:t>
      </w:r>
      <w:r>
        <w:rPr>
          <w:sz w:val="24"/>
          <w:szCs w:val="24"/>
          <w:lang w:val="en-US"/>
        </w:rPr>
        <w:t xml:space="preserve"> Lima A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et al</w:t>
      </w:r>
      <w:r>
        <w:rPr>
          <w:sz w:val="24"/>
          <w:szCs w:val="24"/>
        </w:rPr>
        <w:t xml:space="preserve">., 1995). С начала 80-х годов началось внедрение в клиническую практику новой группы антимикробных препаратов - фторхинолонов. Их эффективность в отношении энтеробактерий оказалась значительно выше традиционно применяемых антибиотиков широкого спектра действия (Падейская Е.Н., 1995). Однако, накопленный опыт показал, что даже при  использовании таких высокоэффективных препаратов нередко наблюдаются различные осложнения, связанные с тяжелыми нарушениями гемостаза, такие как геморрагический инфаркт и перфорация стенки кишки, кишечные кровотечения, а также осложнения, обусловленные развитием дисбактериоза и присоединением вторичной инфекции: пневмонии, кандидозы и др. (Комарова Д.В. и соавт., 1995; Неверов В.А. и соавт., 1995; Цинзерлинг В.А. и соавт., 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>995; Захаренко С.М., 1997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 Вышеизложенное определило необходимость изучения изменений гемостаза у больных тяжелыми формами дизентерии.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Фундаментальные исследования состояния свертывающей системы крови у инфекционных больных в основном были выполнены отечественными учеными в 70-80-х годах. Работы В.Г. Патеюк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 соавт. (1976; 1984), Б.И. Кузника и соавт. (1984) показали, что изменения свертываемости крови при инфекционных заболеваниях независимо от этиологии возбудителя носят фазный характер и  протекают по типу тромбогеморрагического синдрома, который, по мнению авторов, является обязательным для патогенеза инфекционных заболеваний. Выявленные Т.В. Жернаковой и соавт. (1984) изменения гемостаза у больных шигеллезами были расценены авторами как ДВС синдром 1-2 стадии. Для коррекции наблюдаемых нарушений авторами был предложен гепарин, иногда в сочетании с переливаниями свежей плазмы или крови. Однако, данные об эффективности гепаринотерапии при дизентерии немногочисленны и часто носят противоречивый характер. Как известно, наиболее важным направлением в профилактике и лечении ДВС синдрома является  своевременное и адекватное лечение причинного заболевания, вызвавшего это состояние (Баркаган З.С., 19</w:t>
      </w:r>
      <w:r>
        <w:rPr>
          <w:sz w:val="24"/>
          <w:szCs w:val="24"/>
          <w:lang w:val="en-US"/>
        </w:rPr>
        <w:t>80</w:t>
      </w:r>
      <w:r>
        <w:rPr>
          <w:sz w:val="24"/>
          <w:szCs w:val="24"/>
        </w:rPr>
        <w:t xml:space="preserve">). В терапии шигеллезов это может быть достигнуто проведением адекватной антибиотикотерапии в возможно более ранние сроки.  </w:t>
      </w:r>
    </w:p>
    <w:p w:rsidR="0035137C" w:rsidRDefault="0035137C">
      <w:pPr>
        <w:spacing w:line="360" w:lineRule="auto"/>
        <w:ind w:firstLine="567"/>
        <w:jc w:val="both"/>
        <w:rPr>
          <w:sz w:val="24"/>
          <w:szCs w:val="24"/>
        </w:rPr>
      </w:pPr>
    </w:p>
    <w:p w:rsidR="0035137C" w:rsidRDefault="000D7273">
      <w:pPr>
        <w:spacing w:line="360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ЦЕЛЬ ИССЛЕДОВАНИЯ.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Изучить состояние гемостаза у больных тяжелыми формами дизентерии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Флекснера 2а, в сопоставлении с микробиологическими особенностями возбудителей для совершенствования методов терапии. </w:t>
      </w:r>
    </w:p>
    <w:p w:rsidR="0035137C" w:rsidRDefault="0035137C">
      <w:pPr>
        <w:spacing w:line="360" w:lineRule="auto"/>
        <w:ind w:firstLine="567"/>
        <w:jc w:val="both"/>
        <w:rPr>
          <w:sz w:val="24"/>
          <w:szCs w:val="24"/>
        </w:rPr>
      </w:pPr>
    </w:p>
    <w:p w:rsidR="0035137C" w:rsidRDefault="000D7273">
      <w:pPr>
        <w:spacing w:line="360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ОСНОВНЫЕ ЗАДАЧИ ИССЛЕДОВАНИЯ :</w:t>
      </w:r>
    </w:p>
    <w:p w:rsidR="0035137C" w:rsidRDefault="000D7273">
      <w:pPr>
        <w:numPr>
          <w:ilvl w:val="0"/>
          <w:numId w:val="1"/>
        </w:num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Представить клиническое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течение среднетяжелых и тяжелых форм дизентерии Флекснера 2а.</w:t>
      </w:r>
    </w:p>
    <w:p w:rsidR="0035137C" w:rsidRDefault="000D7273">
      <w:pPr>
        <w:numPr>
          <w:ilvl w:val="0"/>
          <w:numId w:val="1"/>
        </w:num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Оценить в динамике заболевания характер изменений показателей гемостаза у больных тяжелыми и среднетяжелыми формами дизентерии с учетом применения фторхинолонов.</w:t>
      </w:r>
    </w:p>
    <w:p w:rsidR="0035137C" w:rsidRDefault="000D7273">
      <w:pPr>
        <w:numPr>
          <w:ilvl w:val="0"/>
          <w:numId w:val="1"/>
        </w:num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Изучить биологические свойства шигелл Флекснера 2а и их чувствительность к антибактериальным препаратам.</w:t>
      </w:r>
    </w:p>
    <w:p w:rsidR="0035137C" w:rsidRDefault="0035137C">
      <w:pPr>
        <w:spacing w:line="360" w:lineRule="auto"/>
        <w:ind w:firstLine="567"/>
        <w:jc w:val="both"/>
        <w:rPr>
          <w:sz w:val="24"/>
          <w:szCs w:val="24"/>
        </w:rPr>
      </w:pPr>
    </w:p>
    <w:p w:rsidR="0035137C" w:rsidRDefault="000D7273">
      <w:pPr>
        <w:spacing w:line="360" w:lineRule="auto"/>
        <w:ind w:firstLine="567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НАУЧНАЯ НОВИЗНА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Впервые в сравнительном аспекте представлены особенности нарушений гемостаза у больных со среднетяжелым и тяжелым течением дизентерии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Флекснера 2а, в том числе у больных с летальными исходами заболевания. 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Впервые у больных дизентерией был применен метод визуальной оценки внутрисосудистой активации тромбоцитов и установлено, что у больных тяжелыми формами дизентерии Флекснера 2а в период разгара заболевания на фоне снижения количества тромбоцитов наблюдается усиление их внутрисосудистой активации и агрегации. Это может приводить к нарушению микроциркуляции в жизненно важных органах и являться основой формирования внутрисосудистых тромбозов.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дополнение к данным литературы расширены представления о взаимосвязи выраженности синдрома диссеминированного внутрисосудистого свертывания с тяжестью течения дизентерии и научно обоснована необходимость этиотропной терапии для предупреждения осложнений.</w:t>
      </w:r>
    </w:p>
    <w:p w:rsidR="0035137C" w:rsidRDefault="0035137C">
      <w:pPr>
        <w:spacing w:line="360" w:lineRule="auto"/>
        <w:ind w:firstLine="567"/>
        <w:jc w:val="both"/>
        <w:rPr>
          <w:sz w:val="24"/>
          <w:szCs w:val="24"/>
          <w:lang w:val="en-US"/>
        </w:rPr>
      </w:pPr>
    </w:p>
    <w:p w:rsidR="0035137C" w:rsidRDefault="000D7273">
      <w:pPr>
        <w:spacing w:line="360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ПРАКТИЧЕСКАЯ ЦЕННОСТЬ РАБОТЫ.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Описаны основные факторы, способствующие развитию тромбозов и геморрагических осложнений у больных дизентерией, и определены критерии прогноза. 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Установлена эффективность антибактериальных препаратов из группы фторхинолонов (офлоксацина и ципрофлоксацина) и отработаны схемы лечения фторхинолонами больных со среднетяжелыми и тяжелыми формами дизентерии Флекснера 2а. Проведен анализ антибактериальной терапии у больных, умерших от дизентерии Флекснера 2а.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определения чувствительности к антибактериальным препаратам штаммов шигелл Флекснера 2а, выделенных от больных тяжелыми и среднетяжелыми формами дизентерии, а также полученных в результате  постмортальных бактериологических исследований кишечного содержимого показана их чувствительность к фторхинолоноам и в меньшей степени к другим антимикробным препаратам (цефалоспоринам, аминогликозидам). </w:t>
      </w:r>
    </w:p>
    <w:p w:rsidR="0035137C" w:rsidRDefault="0035137C">
      <w:pPr>
        <w:spacing w:line="360" w:lineRule="auto"/>
        <w:ind w:firstLine="567"/>
        <w:jc w:val="both"/>
        <w:rPr>
          <w:sz w:val="24"/>
          <w:szCs w:val="24"/>
        </w:rPr>
      </w:pPr>
    </w:p>
    <w:p w:rsidR="0035137C" w:rsidRDefault="000D7273">
      <w:pPr>
        <w:spacing w:line="360" w:lineRule="auto"/>
        <w:ind w:firstLine="567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ОСНОВНЫЕ ПОЛОЖЕНИЯ, ВЫНОСИМЫЕ НА ЗАЩИТУ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Обосновывается положение о зависимости частоты возникновения геморрагического синдрома от тяжести течения дизентерии и наличия инфекционно-токсического шока.</w:t>
      </w:r>
      <w:r>
        <w:rPr>
          <w:sz w:val="24"/>
          <w:szCs w:val="24"/>
          <w:lang w:val="en-US"/>
        </w:rPr>
        <w:t xml:space="preserve"> 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Клиническая картина у больных тяжелым течением дизентерии Флекснера 2а в период эпидемического подъема 1994-1996 гг. характеризовалась выраженными симптомами интоксикации с развитием инфекционно-токсического шока, синдрома диссеминированного внутрисосудистого свертывания, острой почечной недостаточности. Причиной смерти больных являлась тяжелая интоксикация, связанная с распространенными восполительными изменениями в кишке, развитие осложнений, обусловленных нарушениями гемостаза, среди которых наиболее характерными были геморрагическое инфарцирование стенки подвздошной кишки, перитониты, кишечные кровотечения, тромбэмболии, а также осложнений, связанных с развитием дисбактериоза и присоединением вторичной инфекции.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Показано, что популяция штаммов шигелл Флекснера 2а, циркулировавших в 1994-1995 годах в Санкт-Петербурге, была неоднородна по своим биологическим свойствам. Установлена циркуляция 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 xml:space="preserve"> ферментативных вариантов и </w:t>
      </w:r>
      <w:r>
        <w:rPr>
          <w:sz w:val="24"/>
          <w:szCs w:val="24"/>
          <w:lang w:val="en-US"/>
        </w:rPr>
        <w:t>11</w:t>
      </w:r>
      <w:r>
        <w:rPr>
          <w:sz w:val="24"/>
          <w:szCs w:val="24"/>
        </w:rPr>
        <w:t xml:space="preserve"> вариантов по чувствительности к колицинам из коллекции Фредерика. Наблюдалась высокая устойчивость выделенных культур Флекснера 2а к антимикробным препаратам, наиболее высокая чувствительность отмечена к фторхинолонам (офлоксацину, ципрофлоксацину). Связи между микробиологическими особенностями возбудителя и характером течения заболевания выявлено не было.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защиту выносится положение о высокой терапевтической эффективности фторхинолонов при шигеллезе Флекснера 2а. Своевременное использование данных препаратов приводит к элиминации возбудителя, ранней реконвалесценции, сопровождается улучшением показателей гемостаза и тем самым способствует предупреждению тромбогеморрагических осложнений.</w:t>
      </w:r>
    </w:p>
    <w:p w:rsidR="0035137C" w:rsidRDefault="0035137C">
      <w:pPr>
        <w:spacing w:line="360" w:lineRule="auto"/>
        <w:ind w:firstLine="567"/>
        <w:jc w:val="both"/>
        <w:rPr>
          <w:sz w:val="24"/>
          <w:szCs w:val="24"/>
        </w:rPr>
      </w:pPr>
    </w:p>
    <w:p w:rsidR="0035137C" w:rsidRDefault="000D7273">
      <w:pPr>
        <w:spacing w:line="360" w:lineRule="auto"/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АПРОБАЦИЯ И РЕАЛИЗАЦИЯ РАБОТЫ</w:t>
      </w:r>
      <w:r>
        <w:rPr>
          <w:sz w:val="24"/>
          <w:szCs w:val="24"/>
        </w:rPr>
        <w:t>.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положения настоящего исследования были доложены на Международной конференции “Идеи Пастера в борьбе с инфекциями” (СПб, 1996), Международном симпозиуме “Таривид - 10 лет в России” в г. Суздале, 1996 г. Апробация диссертации проведена на кафедре инфекционных болезней с курсом лабораторной диагностики СПИД СПбМАПО. 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материалам диссертации опубликовано 4 научные работы.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исследования используются в учебном процессе на кафедре инфекционных болезней СПбМАПО. Разработанные схемы лечения использованы при составлении методических рекомендаций по лечению острых кишечных инфекций (1996) и внедрены в практику работы Городской инфекционной больницы № 30 им. С.П. Боткина и Республиканской инфекционной клинической больницы. </w:t>
      </w:r>
    </w:p>
    <w:p w:rsidR="0035137C" w:rsidRDefault="0035137C">
      <w:pPr>
        <w:spacing w:line="360" w:lineRule="auto"/>
        <w:ind w:firstLine="567"/>
        <w:jc w:val="both"/>
        <w:rPr>
          <w:sz w:val="24"/>
          <w:szCs w:val="24"/>
        </w:rPr>
      </w:pPr>
    </w:p>
    <w:p w:rsidR="0035137C" w:rsidRDefault="000D7273">
      <w:pPr>
        <w:spacing w:line="360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ОБЪЕМ И СТРУКТУРА ДИССЕРТАЦИИ.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Диссертация изложена на 112 страницах машинописного текста и состоит из введения, 6 глав, обсуждения, выводов и практических рекомендаций и списка литературы, включающего в себя 132 отечественных и 80 иностранных источника. В диссертации имеется... таблиц и 5 рисунков. </w:t>
      </w:r>
    </w:p>
    <w:p w:rsidR="0035137C" w:rsidRDefault="000D7273">
      <w:pPr>
        <w:spacing w:line="360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МАТЕРИАЛЫ И МЕТОДЫ ИССЛЕДОВАНИЯ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исследование выполнено в 1994-1997 гг. на базе Городской инфекционной больницы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30 им. С.П. Боткина (Главный врач - профессор А.А. Яковлев).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работе представлены результаты клинического и лабораторного обследования 112 больных с бактериологически подтвержденной дизентерией Флекснера 2а. Среди них было </w:t>
      </w:r>
      <w:r>
        <w:rPr>
          <w:sz w:val="24"/>
          <w:szCs w:val="24"/>
          <w:lang w:val="en-US"/>
        </w:rPr>
        <w:t>52</w:t>
      </w:r>
      <w:r>
        <w:rPr>
          <w:sz w:val="24"/>
          <w:szCs w:val="24"/>
        </w:rPr>
        <w:t xml:space="preserve"> мужчины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 60 женщин. Оценка тяжести течения дизентерии производилась на основании критериев, изложенных в монографии В.И. Покровского и Н.Д. Ющука (1994). Были выделены следующие группы больных: первая группа - больные со среднетяжелым течением дизентерии (</w:t>
      </w:r>
      <w:r>
        <w:rPr>
          <w:sz w:val="24"/>
          <w:szCs w:val="24"/>
          <w:lang w:val="en-US"/>
        </w:rPr>
        <w:t>48</w:t>
      </w:r>
      <w:r>
        <w:rPr>
          <w:sz w:val="24"/>
          <w:szCs w:val="24"/>
        </w:rPr>
        <w:t xml:space="preserve"> человек), вторая группа - больные с тяжелым течением дизентерии (64 человека). В зависимости от исхода заболевания больные с тяжелым течением разделились на тех, у которых заболевание закончилось выздоровлением (28 человек), и больных с летальными исходами (36 человек). Возраст пациентов находился в диапазоне от 30 до 80 лет. Средний возраст больных был 55,1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 xml:space="preserve">2,1 лет. Достоверных различий по полу, возрасту в указанных группах больных выявлено не было. Во всех случаях заболеваний диагноз был подтвержден бактериологически. Сроки госпитализации от начала заболевания составили в среднем у больных со среднетяжелым течением - 5,1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 xml:space="preserve">0,4 дней, у выздоровевших больных тяжелым течением -6,2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 xml:space="preserve">0,6 дней, в группе умерших больных - 6,8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>0,5 дней. Состояние при поступлении в группе больных со среднетяжелым течением заболевания было расценено как удовлетворительное у 1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(25</w:t>
      </w:r>
      <w:r>
        <w:rPr>
          <w:sz w:val="24"/>
          <w:szCs w:val="24"/>
        </w:rPr>
        <w:t>,0</w:t>
      </w:r>
      <w:r>
        <w:rPr>
          <w:sz w:val="24"/>
          <w:szCs w:val="24"/>
          <w:lang w:val="en-US"/>
        </w:rPr>
        <w:t xml:space="preserve"> %) </w:t>
      </w:r>
      <w:r>
        <w:rPr>
          <w:sz w:val="24"/>
          <w:szCs w:val="24"/>
        </w:rPr>
        <w:t>больных и как среднетяжелое у 3</w:t>
      </w:r>
      <w:r>
        <w:rPr>
          <w:sz w:val="24"/>
          <w:szCs w:val="24"/>
          <w:lang w:val="en-US"/>
        </w:rPr>
        <w:t>6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(75</w:t>
      </w:r>
      <w:r>
        <w:rPr>
          <w:sz w:val="24"/>
          <w:szCs w:val="24"/>
        </w:rPr>
        <w:t>,0</w:t>
      </w:r>
      <w:r>
        <w:rPr>
          <w:sz w:val="24"/>
          <w:szCs w:val="24"/>
          <w:lang w:val="en-US"/>
        </w:rPr>
        <w:t xml:space="preserve"> %) </w:t>
      </w:r>
      <w:r>
        <w:rPr>
          <w:sz w:val="24"/>
          <w:szCs w:val="24"/>
        </w:rPr>
        <w:t>больных. В группе выздоровевших больных с тяжелым течением заболевания 8 (28,6 %) больных поступили в среднетяжелом и 20 (71,4 %) в тяжелом состоянии. Среди  умерших больных среднетяжелое состояние при поступлении отмечалось у 9 (25,0 %) и тяжелое у 27 (75,0 %) человек . Признаки инфекционно-токсического шока при поступлении наблюдались у 44 (68,8 %) больных с тяжелым течением дизентерии. При изучении анамнеза, клиническом и лабораторном обследовании, а также на основании данных секционных исследований, выполненных у умерших больных, было выявлено наличие сопутствующих хронических заболеваний более чем у половины пациентов среднетяжелыми формами и практически у  всех больных тяжелыми формами дизентерии. Среди сопутствующих заболеваний наиболее распространенным был хронический алкоголизм, который наблюдался преимущественно среди мужчин, чаще у больных с тяжелым течением заболевания. Так, в группе со среднетяжелым течением дизентерии 17 (35,4 %) больных систематически злоупотребляли алкоголем. В группе больных с тяжелым течением 12 (42,9 %) выздоровевших больных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 xml:space="preserve">7 </w:t>
      </w:r>
      <w:r>
        <w:rPr>
          <w:sz w:val="24"/>
          <w:szCs w:val="24"/>
        </w:rPr>
        <w:t>мужчин и 5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женщин) и 23 (63,9 %) умерших (15 мужчин и 8 женщин) были хроническими алкоголиками. У 12 (33,3 %) умерших и у 4 (14,3 %) выздоровевших больных с тяжелым течением выявлены признаки истощения. Заболевания сердечно-сосудистой системы отмечались преимущественно у женщин, наиболее часто (61,1 %) в группе умерших пациентов. Таким образом, у большинства больных с тяжелым течением отмечалось наличие отягощенного преморбидного фона, что по-видимому во многом обусловливало тяжесть течения заболевания и влияло на его исход. При этом, были исключены больные хроническим вирусным гепатитом, туберкулезом, онкологическими заболеваниями. Следует отметить, что высокая частота сопутствующих заболеваний в группе умерших больных объясняется также более полным выявлением их при секционном исследовании. 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Лечение больных включало в себя: антимикробную терапию, инфузионную терапию глюкозо-солевыми растворами, витамины. Большинство больных с тяжелым течением помимо этого получали коллоидные растворы, по показаниям плазму, препараты крови, внутривенно преднизолон. Кроме того, 1 выздоровевшей и 5 умершим больным с тяжелым течением заболевания проводились оперативные вмешательства, необходимость которых была обусловлена появлением перитониальных симптомов или симптомов острой кишечной непроходимости. Необходимо отметить, что 14 выздоровевшим и 21 умершему больному с тяжелым течением производилась катетеризация магистральных вен, в связи с чем они получали внутривенно минимальные дозы гепарина (в среднем 2,5 тысячи единиц в сутки). 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терапии больных дизентерией использовались следующие антимикробные препараты: ципрофлоксацин (внутривенно и перорально), гентамицин, цефалоспорины (1, 2 и 3 поколения), фуразолидон, ампициллин. Следует отметить, что больные с тяжелым течением дизентерии получали антимикробные препараты преимущественно парентеральным путем, что было связано с наличием у них инфекционно-токсического шока и нарушениями сознания. В группе больных со среднетяжелым течением заболевания чаще применялись пероральные формы антимикробных преаратов.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лечения группы больных среднетяжелыми формами дизентерии Флекснера 2а (</w:t>
      </w:r>
      <w:r>
        <w:rPr>
          <w:sz w:val="24"/>
          <w:szCs w:val="24"/>
          <w:lang w:val="en-US"/>
        </w:rPr>
        <w:t>30</w:t>
      </w:r>
      <w:r>
        <w:rPr>
          <w:sz w:val="24"/>
          <w:szCs w:val="24"/>
        </w:rPr>
        <w:t xml:space="preserve"> человек) был использован один из наиболее активных препаратов группы фторхинолонов - “Таривид” (офлоксацин). С целью выбора наиболее эффективной схемы этиотропной терапии были предложены следующие схемы введения: первая группа больных (18 человек) получала офлоксацин перорально по 200 мг 2 раза в день, в течение 5-7 дней; вторая группа (12 человек) получала вначале внутривенные инфузии офлоксацина по 200 мг 2 раза в день, в течение 2-3 дней, затем перорально 200 мг 2 раза, в теченние 5 дней. Третью группу (20 человек) составили больные дизентерией, в терапии которых использовались комбинации из нескольких антибактериальных препаратов, не включавшие фторхинолонов. Группы формировались методом случайной выборки.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Лабораторное обследование включало в себя наряду с общеклиническими и биохимическими анализами исследование показателей плазменно-коагуляционного гемостаза: определение времени свертывания крови производилось по </w:t>
      </w:r>
      <w:r>
        <w:rPr>
          <w:sz w:val="24"/>
          <w:szCs w:val="24"/>
          <w:lang w:val="en-US"/>
        </w:rPr>
        <w:t xml:space="preserve">Lee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White</w:t>
      </w:r>
      <w:r>
        <w:rPr>
          <w:sz w:val="24"/>
          <w:szCs w:val="24"/>
        </w:rPr>
        <w:t xml:space="preserve">; определение времени рекальцификации цитратной плазмы определялось по методу </w:t>
      </w:r>
      <w:r>
        <w:rPr>
          <w:sz w:val="24"/>
          <w:szCs w:val="24"/>
          <w:lang w:val="en-US"/>
        </w:rPr>
        <w:t xml:space="preserve">Bergerhof 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Roka</w:t>
      </w:r>
      <w:r>
        <w:rPr>
          <w:sz w:val="24"/>
          <w:szCs w:val="24"/>
        </w:rPr>
        <w:t xml:space="preserve">; определение протромбинового времени производилось по методу Квика; определение фибриногена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в плазме крови (модификация В.П. Балуда); этаноловый тест (модификация В.Г. Лычева); определение активности антитромбин-</w:t>
      </w:r>
      <w:r>
        <w:rPr>
          <w:sz w:val="24"/>
          <w:szCs w:val="24"/>
          <w:lang w:val="en-US"/>
        </w:rPr>
        <w:t>III-</w:t>
      </w:r>
      <w:r>
        <w:rPr>
          <w:sz w:val="24"/>
          <w:szCs w:val="24"/>
        </w:rPr>
        <w:t xml:space="preserve">гепаринового комплекса проводилось по </w:t>
      </w:r>
      <w:r>
        <w:rPr>
          <w:sz w:val="24"/>
          <w:szCs w:val="24"/>
          <w:lang w:val="en-US"/>
        </w:rPr>
        <w:t xml:space="preserve">Marbet </w:t>
      </w:r>
      <w:r>
        <w:rPr>
          <w:sz w:val="24"/>
          <w:szCs w:val="24"/>
        </w:rPr>
        <w:t>и</w:t>
      </w:r>
      <w:r>
        <w:rPr>
          <w:sz w:val="24"/>
          <w:szCs w:val="24"/>
          <w:lang w:val="en-US"/>
        </w:rPr>
        <w:t xml:space="preserve"> Winterstein</w:t>
      </w:r>
      <w:r>
        <w:rPr>
          <w:sz w:val="24"/>
          <w:szCs w:val="24"/>
        </w:rPr>
        <w:t xml:space="preserve"> (модификация Ю.Л. Кацадзе и М.А. Котовщиковой). Для изучения состояния тромбоцитарного звена гемостаза был использован метод морфологической оценки повышенной внутрисосудистой активации тромбоцитов (Шитикова А.С.,  1991). Изучение показателей гемостаза проводилось в динамике заболевания: на 5-10 день болезни (обычно после идентификации возбудителя) и на 15-21 день болезни. Контрольную группу составили 40 практически здоровых мужчин и женщин в возрасте 40 - 65 лет, сопоставимые по условиям жизни и быта с обследованными больными. 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Ректороманоскопическое исследование проводилось на 7-14 день болезни 32 больным со среднетяжелым течением и 24 больным с тяжелым течением (1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 xml:space="preserve"> выздоровевшим и </w:t>
      </w:r>
      <w:r>
        <w:rPr>
          <w:sz w:val="24"/>
          <w:szCs w:val="24"/>
          <w:lang w:val="en-US"/>
        </w:rPr>
        <w:t>9</w:t>
      </w:r>
      <w:r>
        <w:rPr>
          <w:sz w:val="24"/>
          <w:szCs w:val="24"/>
        </w:rPr>
        <w:t xml:space="preserve"> умершим.)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Микробиологическое исследование культур шигелл выполнено в лаборатории кишечных инфекций НИИЭМ им. Пастера (Заведующая отделением - канд. мед. наук Н.В. Сафонова). Исследовано 80 штаммов шигелл Флекснера 2а, из которых 40  были выделены при поступлении в стационар, от больных среднетяжелым  (24 штамма) и тяжелым течением дизентерии (16 штаммов), а другие  40 штаммов получены при постмортальных бактериологических исследованиях кишечного содержимого. Были изучены ферментативные свойства шигелл, чувствительность к 17 колицинам из коллекции Фредерика и чувствительность к антибактериальным препаратам.  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клинических, лабораторных и других дополнительных исследований заносились в специально созданную для этих целей базу данных на основе компьютерной программы разработки СУБД “</w:t>
      </w:r>
      <w:r>
        <w:rPr>
          <w:sz w:val="24"/>
          <w:szCs w:val="24"/>
          <w:lang w:val="en-US"/>
        </w:rPr>
        <w:t>Microsoft Access 7.0</w:t>
      </w:r>
      <w:r>
        <w:rPr>
          <w:sz w:val="24"/>
          <w:szCs w:val="24"/>
        </w:rPr>
        <w:t>”, входящей в пакет “</w:t>
      </w:r>
      <w:r>
        <w:rPr>
          <w:sz w:val="24"/>
          <w:szCs w:val="24"/>
          <w:lang w:val="en-US"/>
        </w:rPr>
        <w:t>Microsoft Office 95 Professional Edition</w:t>
      </w:r>
      <w:r>
        <w:rPr>
          <w:sz w:val="24"/>
          <w:szCs w:val="24"/>
        </w:rPr>
        <w:t xml:space="preserve">”. 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Статистическая обработка результатов исследования проводилась с вычислением средних величин, относительных показателей, средней ошибки, среднего квадратичного отклонения. Статистическая достоверность оценивалась по критерию Стьюдента (Каминский Л.С. 1964). </w:t>
      </w:r>
    </w:p>
    <w:p w:rsidR="0035137C" w:rsidRDefault="0035137C">
      <w:pPr>
        <w:spacing w:line="360" w:lineRule="auto"/>
        <w:ind w:firstLine="567"/>
        <w:jc w:val="both"/>
        <w:rPr>
          <w:sz w:val="24"/>
          <w:szCs w:val="24"/>
        </w:rPr>
      </w:pPr>
    </w:p>
    <w:p w:rsidR="0035137C" w:rsidRDefault="000D7273">
      <w:pPr>
        <w:spacing w:line="360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РЕЗУЛЬТАТЫ СОБСТВЕННЫХ ИССЛЕДОВАНИЙ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Анализ результатов показал, что клиническая картина у больных со среднетяжелым и тяжелым течением дизентерии Флекснера 2а были  представлена преимущественно синдромом интоксикации и колитическим синдромом. Симптомы интоксикации были выражены значительно сильнее у больных с тяжелым течением заболевания. У 9 (32,1 %) выздоровевших больных с тяжелым течением и у 20 (55,6 %) умерших при поступлении в стационар отмечалось нарушение сознания, у 13 (46,4 %) выздоровевших и 28 (77,8 %) умерших больных имелась выраженная адинамия. Рвота наблюдалась преимущественно в дебюте заболевания у 1</w:t>
      </w:r>
      <w:r>
        <w:rPr>
          <w:sz w:val="24"/>
          <w:szCs w:val="24"/>
          <w:lang w:val="en-US"/>
        </w:rPr>
        <w:t>/2</w:t>
      </w:r>
      <w:r>
        <w:rPr>
          <w:sz w:val="24"/>
          <w:szCs w:val="24"/>
        </w:rPr>
        <w:t xml:space="preserve"> больных с тяжелым течением и у 1/4 больных со среднетяжелым течением заболевания. Наиболее часто, в 22 случаях (61,1 %), рвота выявлялась в группе умерших больных. Максимальная температура тела в период разгара заболевания более чем у половины больных среднетяжелыми и тяжелыми формами находилась в диапазоне от 38,1 до 39,0 С. Повышение температуры выше 39,0 С чаще выявлялось в группе со среднетяжелым течением заболевания - у 15 больных (35,7 %), тогда как среди больных тяжелым течением  лишь у 5 выздоровевших (20,9 %) и 4 (14,3 %) умерших. Субфебрильная температура (от 37,1 до 38,0 С) определялась наиболее часто среди умерших больных - у 10 (35,7 %) пациентов. Описывая особенности  колитического синдрома, необходимо отметить, что частота стула более чем у 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>/2 пациентов со среднетяжелым течением и у 1/4 больных с тяжелым течением дизентерии не превышала 10 раз в сутки. Боли в животе встречались в обеих группах больных практически с одинаковой частотой, более чем в 80 % случаев заболеваний. В группе со среднетяжелыми формами заболевания боли носили чаще схваткообразный (периодический) характер - у 28 (58,3 %) больных, ноющие (постоянные) боли наблюдались у 12 (25,0 %) больных этой группы. В группе больных с тяжелым течением заболевания у 12 (42,9 %) выздоровевших и у 23 (63,9 %) умерших пациентов были ноющие боли в животе.  Болезненность при пальпации живота при поступлении в больницу выявлена у 41 (85,4 %) больного со среднетяжелым течением и у 58 (90,6 %) больных с тяжелым течением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дизентерии. При этом у пациентов со среднетяжелым течением болезненность определялась преимущественно в области сигмовидной кишки. Среди больных с тяжелым течением у 19 (67,9 %) выздоровевших и 16    (44,4 %) умерших отмечалась болезненность при пальпации по ходу всей толстой кишки, а у 3 (10,7 %) выздоровевших 12 (33,3 %) умерших - болезненность во всех отделах живота без четкой локализации. Данные различия можно объяснить большей распространенностью и выраженностью патологического процесса среди тяжелых больных. Признаки геморрагического синдрома отмечались у 1/3 больных с тяжелым течением заболевания, в том числе возникновение геморрагий в местах инъекций наблюдалось у 8   (28,6 %) выздоровевших и 14 (38,9 %) умерших больных, появление крови в стуле на фоне проводимой терапии отмечено у 4 (14,3 %) выздоровевших и 8 (22,2 %) умерших пациентов. У 5 пациентов с тяжелым течением (1выздоровевшего и 4 умерших) развивались желудочно-кишечные кровотечения.  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Анализ данных ректороманоскопического исследования показал, что у больных со среднетяжелым течением дизентерии наблюдался преимущественно катарально-геморрагический </w:t>
      </w:r>
      <w:r>
        <w:rPr>
          <w:sz w:val="24"/>
          <w:szCs w:val="24"/>
          <w:lang w:val="en-US"/>
        </w:rPr>
        <w:t>(46</w:t>
      </w:r>
      <w:r>
        <w:rPr>
          <w:sz w:val="24"/>
          <w:szCs w:val="24"/>
        </w:rPr>
        <w:t xml:space="preserve">,9 %) и катарально-эрозивный       (34,4 %) проктосигмоидит. У больных с тяжелым течением чаще обнаруживались деструктивные изменения в дистальном отделе толстой кишки. В группе выздоровевших пациентов данный характер воспаления был выявлен у 56,3 % больных, а у 43,8 % был обнаружен катарально-геморрагический проктосигмоидит. Из 9 умерших больных у 4 был выявлен язвенно-геморрагический, у 3 - катарально-геморрагический и у 2 катарально-эрозивный проктосигмоидит. 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Изучение данных патологоанатомических исследований показало, что у 91,7 % умерших наряду с тотальным поражением толстой кишки воспалительный процесс распространялся на подвздошную, реже тощую кишки. Преобладали смешанные формы воспаления.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Наиболее выраженные изменения наблюдались обычно в толстой кишке, где у 55,6 %  умерших обнаружен язвенный процесс, а в 16,7 % случаев наблюдался флегмонозно-некротический характер воспаления. В подвздошной кишке чаще выявлялись катаральный, катарально-геморрагический и фибринозный характер воспаления. В большинстве случаев (66,7 %) непосредственной причиной смерти больных была острая сердечно-сосудистая недостаточность на фоне тяжелой интоксикации, связанной с воспалительными изменениями в кишке. 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осложнений у больных с летальными исходами показал, что наиболее частым осложнением, связанным непосредственно с желудочно-кишечным трактом был перитонит (7 случаев), тяжесть которого варьировала от ограниченных серозно-фибринозных до разлитых гнойных форм с перфорацией стенки кишки (2 случая.). Реже наблюдались желудочно-кишечные кровотечения (4 случая), геморрагическое инфарцирование стенки подвздошной кишки (4 случая), парез кишечника (4 случая). Среди осложнений не связанных непосредственно с желудочно-кишечным трактом чаще всего встречались: отек легких (16 случаев) и отек мозговых оболочек (10 случаев), пневмонии (8 случаев), которые в 3 случаях имели септическую природу.  У 4 больных была обнаружена септикопиемия, которая в 2 случаях была обусловлена грибами рода Кандида, а в двух других была вызвана золотистым стафилококком. Тромбоэмболии мелких и средних ветвей легочной артерии выявлены в 4 случаях, в 1 случае выявлен сегментарный тромбоз верхней брызжеечной артерии. Практически у всех умерших имелась паренхиматозная дистрофия печени, почек, миокарда. 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анализе показателей гемоглобина и гематокрита на 5-10 день болезни достоверных различий по сравнению с таковыми у здоровых лиц выявлено не было. У пациентов со среднетяжелым течением и у выздоровевших пациентов с тяжелым течением отмечалась тенденция к увеличению средней концентрации гемоглобина обусловленная сгущением крови в связи с потерей жидкости. 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Изучение данных показателей в динамике заболевания показало, что на 15-21 день у больных отмечалось снижение среднего содержания гемоглобина по сравнению со здоровыми, которое в группах с тяжелым течением заболевания было достоверным (</w:t>
      </w:r>
      <w:r>
        <w:rPr>
          <w:sz w:val="24"/>
          <w:szCs w:val="24"/>
          <w:lang w:val="en-US"/>
        </w:rPr>
        <w:t>p &lt;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>,001), и снижение среднего показателя гематокрита, которое было статистически значимым в группе умерших больных (</w:t>
      </w:r>
      <w:r>
        <w:rPr>
          <w:sz w:val="24"/>
          <w:szCs w:val="24"/>
          <w:lang w:val="en-US"/>
        </w:rPr>
        <w:t>p &lt;</w:t>
      </w:r>
      <w:r>
        <w:rPr>
          <w:sz w:val="24"/>
          <w:szCs w:val="24"/>
        </w:rPr>
        <w:t xml:space="preserve"> 0,01).  Наиболее выраженное снижение концентрации гемоглобина (83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 xml:space="preserve">7,2 г/л) и показателя гематокрита (32,4 %) в группе умерших свидетельствует о развитии анемии у этих пациентов. 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исследовании концентрации креатинина в плазме на 5-10 день болезни было установлено, что у больных с тяжелым течением дизентерии наблюдалось статистически значимое увеличение среднего показателя концентрации креатинина по сравнению с контрольной группой (</w:t>
      </w:r>
      <w:r>
        <w:rPr>
          <w:sz w:val="24"/>
          <w:szCs w:val="24"/>
          <w:lang w:val="en-US"/>
        </w:rPr>
        <w:t xml:space="preserve">p &lt; </w:t>
      </w:r>
      <w:r>
        <w:rPr>
          <w:sz w:val="24"/>
          <w:szCs w:val="24"/>
        </w:rPr>
        <w:t>0,001). В дальнейшем, на 15-21 день болезни у больных с тяжелым течением наблюдалась тенденция к снижению среднего показателя концентрации креатинина. Однако, в группе  умерших больных данный показатель оставался достоверно выше по сравнению с таковым у выздоровевших больных (</w:t>
      </w:r>
      <w:r>
        <w:rPr>
          <w:sz w:val="24"/>
          <w:szCs w:val="24"/>
          <w:lang w:val="en-US"/>
        </w:rPr>
        <w:t xml:space="preserve">p &lt; </w:t>
      </w:r>
      <w:r>
        <w:rPr>
          <w:sz w:val="24"/>
          <w:szCs w:val="24"/>
        </w:rPr>
        <w:t>0,05), что свидетельствует о развитии у них почечной недостаточности.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Исследование состояния плазменно-коагуляционного звена гемостаза и внутрисосудистой активации тромбоцитов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 больных со среднетяжелым и тяжелым течением дизентерии на 5-10 день болезни выявило преобладание признаков гиперкоагуляции. Так, по сравнению с данными у контрольной группы было отмечено статистически значимое укорочение времени свертывания крови (</w:t>
      </w:r>
      <w:r>
        <w:rPr>
          <w:sz w:val="24"/>
          <w:szCs w:val="24"/>
          <w:lang w:val="en-US"/>
        </w:rPr>
        <w:t>p &lt;0,0</w:t>
      </w:r>
      <w:r>
        <w:rPr>
          <w:sz w:val="24"/>
          <w:szCs w:val="24"/>
        </w:rPr>
        <w:t>5) и времени рекальцификации плазмы (</w:t>
      </w:r>
      <w:r>
        <w:rPr>
          <w:sz w:val="24"/>
          <w:szCs w:val="24"/>
          <w:lang w:val="en-US"/>
        </w:rPr>
        <w:t>p &lt;0,01</w:t>
      </w:r>
      <w:r>
        <w:rPr>
          <w:sz w:val="24"/>
          <w:szCs w:val="24"/>
        </w:rPr>
        <w:t>). При этом во всех группах имелись отдельные больные, у которых полученные величины находились в пределах нормы. Средний показатель протромбинового индекса в рассматриваемых группах больных достоверно не отличался от нормы, но отмечалась тенденция к его снижению при тяжелом течении заболевания, особенно в группе умерших больных. Концентрация фибриногена в среднем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была достоверно выше чем у здоровых лиц (</w:t>
      </w:r>
      <w:r>
        <w:rPr>
          <w:sz w:val="24"/>
          <w:szCs w:val="24"/>
          <w:lang w:val="en-US"/>
        </w:rPr>
        <w:t>p &lt;0,0</w:t>
      </w:r>
      <w:r>
        <w:rPr>
          <w:sz w:val="24"/>
          <w:szCs w:val="24"/>
        </w:rPr>
        <w:t>5).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группе больных со среднетяжелым течением дизентерии данный показатель был повышен у 26 (86,7 %) человек, а у 4 (13,3 %) находился в пределах нормы. Среди выздоровевших пациентов с тяжелым течением концентрация фибриногена была повышена у 15 (62,5 %) больных, не отличалась от нормы у 6 (25,0 %) больных и у 3 (12,5 %) была ниже нормы. В группе умерших больных повышенная концентрация фибриногена отмечена у 19 (63,3 %) пациентов, находилась в пределах нормы у 7 (23,3 %) больных, а у 4 (13,3 %) была ниже нормы. У 63,3 % больных со среднетяжелым течением и у 73,0 % пациентов с тяжелым течением обнаруживался фибриноген В, что, вероятно, было обусловлено тромбинемией. Более чем у половины обследованных определялся положительный этаноловый тест, свидетельствующий о наличии продуктов деградации фибрина. Отмечено, что увеличение активности коагуляционного потенциала крови и уровня фибриногена у этих больных сопровождалось повышением активности  антитромбина III, которое было в меньшей степени выраженным у больных с тяжелым течением заболевания. Возрастание активности антитромбина III - антикоагулянта, несущего около 80 % противосвертывающей активности крови, по-видимому, следует расценивать как защитную реакцию на гиперкоагуляцию, а меньшая степень повышения данного показателя в группе больных тяжелым течением заболевания может быть связана с внутрисосудистым свертыванием и потреблением антитромбина III у этих больных. 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Описанные изменения плазменно-коагуляционного звена гемостаза у больных со среднетяжелым и тяжелым течением заболевания сопровождались уменьшением количества тромбоцитов, которое было статистически значимым во всех группах больных (</w:t>
      </w:r>
      <w:r>
        <w:rPr>
          <w:sz w:val="24"/>
          <w:szCs w:val="24"/>
          <w:lang w:val="en-US"/>
        </w:rPr>
        <w:t>p &lt; 0</w:t>
      </w:r>
      <w:r>
        <w:rPr>
          <w:sz w:val="24"/>
          <w:szCs w:val="24"/>
        </w:rPr>
        <w:t xml:space="preserve">,01). Вместе с тем, было отмечено статистически значимое усиление внутрисосудистой активации тромбоцитов, которое проявлялось в уменьшении интактных форм тромбоцитов (дискоцитов) и увеличении доли активных форм (дискоэхиноцитов, сфероцитов, сфероэхиноцитов), а также тенденция к увеличению количества кровяных пластинок, вовлеченных в агреганты. Следует отметить, что достоверных различий показателей плазменно-коагуляционного и тромбоцитарного звеньев гемостаза у больных различными формами дизентерии в этот период наблюдения нами выявлено не было. 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изучении в динамике заболевания (15-21 дни болезни) были установлены различия в развитии процесса у больных со среднетяжелым и тяжелым течением дизентерии. У большинства пациентов со среднетяжелым течением заболевания в этот период наблюдалось клиническое выздоровление, что сопровождалось улучшением показателей плазменно-коагуляционного и тромбоцитарного гемостаза - средние показатели время свертывания крови и рекальцификации плазмы нормализовались. Концентрация фибриногена оставалась повышенной у 10 (33,3 %) больных среднетяжелым течением, а у остальных снизилась до нормы. Частота положительных паракоагуляционных тестов у этих больных уменьшилась. Активность антитромбина III в среднем понизилась, но все же оставалась выше или в пределах нормальных значений у всех пациентов этой группы. Количество тромбоцитов в среднем нормализовалось у всех больных этой группы. Уменьдилось число тромбоцитов, вовлеченных в агреганты (</w:t>
      </w:r>
      <w:r>
        <w:rPr>
          <w:sz w:val="24"/>
          <w:szCs w:val="24"/>
          <w:lang w:val="en-US"/>
        </w:rPr>
        <w:t>p &lt;0,01</w:t>
      </w:r>
      <w:r>
        <w:rPr>
          <w:sz w:val="24"/>
          <w:szCs w:val="24"/>
        </w:rPr>
        <w:t>). Показатели внутрисосудистой активации и агрегации пластинок уменьшились, но оставались достоверно выше, чем у здоровых лиц.</w:t>
      </w:r>
    </w:p>
    <w:p w:rsidR="0035137C" w:rsidRDefault="0035137C">
      <w:pPr>
        <w:spacing w:line="360" w:lineRule="auto"/>
        <w:ind w:firstLine="567"/>
        <w:jc w:val="both"/>
        <w:rPr>
          <w:sz w:val="24"/>
          <w:szCs w:val="24"/>
        </w:rPr>
      </w:pPr>
    </w:p>
    <w:p w:rsidR="0035137C" w:rsidRDefault="0035137C">
      <w:pPr>
        <w:spacing w:line="360" w:lineRule="auto"/>
        <w:ind w:firstLine="567"/>
        <w:jc w:val="both"/>
        <w:rPr>
          <w:sz w:val="24"/>
          <w:szCs w:val="24"/>
        </w:rPr>
        <w:sectPr w:rsidR="0035137C">
          <w:headerReference w:type="default" r:id="rId7"/>
          <w:type w:val="oddPage"/>
          <w:pgSz w:w="11907" w:h="16840"/>
          <w:pgMar w:top="1134" w:right="1134" w:bottom="1134" w:left="1134" w:header="709" w:footer="709" w:gutter="0"/>
          <w:cols w:space="709"/>
          <w:titlePg/>
        </w:sectPr>
      </w:pPr>
    </w:p>
    <w:p w:rsidR="0035137C" w:rsidRDefault="000D7273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35137C" w:rsidRDefault="000D7273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Показатели плазменно-коагуляционного гемостаза у больных дизентерией</w:t>
      </w:r>
    </w:p>
    <w:p w:rsidR="0035137C" w:rsidRDefault="0035137C">
      <w:pPr>
        <w:ind w:firstLine="567"/>
        <w:jc w:val="center"/>
        <w:rPr>
          <w:sz w:val="24"/>
          <w:szCs w:val="24"/>
        </w:rPr>
      </w:pPr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2"/>
        <w:gridCol w:w="2254"/>
        <w:gridCol w:w="2424"/>
        <w:gridCol w:w="2554"/>
        <w:gridCol w:w="3026"/>
        <w:gridCol w:w="2627"/>
        <w:gridCol w:w="1"/>
      </w:tblGrid>
      <w:tr w:rsidR="0035137C">
        <w:trPr>
          <w:gridAfter w:val="1"/>
        </w:trPr>
        <w:tc>
          <w:tcPr>
            <w:tcW w:w="3686" w:type="dxa"/>
            <w:gridSpan w:val="2"/>
            <w:tcBorders>
              <w:bottom w:val="nil"/>
            </w:tcBorders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гемостаза</w:t>
            </w:r>
          </w:p>
        </w:tc>
        <w:tc>
          <w:tcPr>
            <w:tcW w:w="2424" w:type="dxa"/>
            <w:tcBorders>
              <w:bottom w:val="nil"/>
            </w:tcBorders>
          </w:tcPr>
          <w:p w:rsidR="0035137C" w:rsidRDefault="000D7273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</w:t>
            </w:r>
          </w:p>
        </w:tc>
        <w:tc>
          <w:tcPr>
            <w:tcW w:w="8207" w:type="dxa"/>
            <w:gridSpan w:val="3"/>
          </w:tcPr>
          <w:p w:rsidR="0035137C" w:rsidRDefault="000D7273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Течение заболевания </w:t>
            </w:r>
          </w:p>
        </w:tc>
      </w:tr>
      <w:tr w:rsidR="0035137C"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35137C" w:rsidRDefault="0035137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5137C" w:rsidRDefault="000D7273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  <w:lang w:val="en-US"/>
              </w:rPr>
              <w:t xml:space="preserve"> n=20</w:t>
            </w:r>
          </w:p>
        </w:tc>
        <w:tc>
          <w:tcPr>
            <w:tcW w:w="2554" w:type="dxa"/>
          </w:tcPr>
          <w:p w:rsidR="0035137C" w:rsidRDefault="000D7273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Среднетяжелое</w:t>
            </w:r>
          </w:p>
        </w:tc>
        <w:tc>
          <w:tcPr>
            <w:tcW w:w="5654" w:type="dxa"/>
            <w:gridSpan w:val="3"/>
          </w:tcPr>
          <w:p w:rsidR="0035137C" w:rsidRDefault="000D7273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Тяжелое</w:t>
            </w:r>
          </w:p>
        </w:tc>
      </w:tr>
      <w:tr w:rsidR="0035137C">
        <w:tc>
          <w:tcPr>
            <w:tcW w:w="3686" w:type="dxa"/>
            <w:gridSpan w:val="2"/>
            <w:tcBorders>
              <w:top w:val="nil"/>
            </w:tcBorders>
          </w:tcPr>
          <w:p w:rsidR="0035137C" w:rsidRDefault="0035137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35137C" w:rsidRDefault="0035137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35137C" w:rsidRDefault="000D7273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n=30</w:t>
            </w:r>
          </w:p>
        </w:tc>
        <w:tc>
          <w:tcPr>
            <w:tcW w:w="3026" w:type="dxa"/>
          </w:tcPr>
          <w:p w:rsidR="0035137C" w:rsidRDefault="000D7273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Выздоровевшие</w:t>
            </w:r>
            <w:r>
              <w:rPr>
                <w:sz w:val="24"/>
                <w:szCs w:val="24"/>
                <w:lang w:val="en-US"/>
              </w:rPr>
              <w:t xml:space="preserve"> n=2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28" w:type="dxa"/>
            <w:gridSpan w:val="2"/>
          </w:tcPr>
          <w:p w:rsidR="0035137C" w:rsidRDefault="000D7273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Умершие</w:t>
            </w:r>
            <w:r>
              <w:rPr>
                <w:sz w:val="24"/>
                <w:szCs w:val="24"/>
                <w:lang w:val="en-US"/>
              </w:rPr>
              <w:t xml:space="preserve"> n=3</w:t>
            </w:r>
            <w:r>
              <w:rPr>
                <w:sz w:val="24"/>
                <w:szCs w:val="24"/>
              </w:rPr>
              <w:t>0</w:t>
            </w:r>
          </w:p>
        </w:tc>
      </w:tr>
      <w:tr w:rsidR="0035137C">
        <w:tc>
          <w:tcPr>
            <w:tcW w:w="3686" w:type="dxa"/>
            <w:gridSpan w:val="2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наблюдения,</w:t>
            </w:r>
          </w:p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болезни</w:t>
            </w:r>
          </w:p>
        </w:tc>
        <w:tc>
          <w:tcPr>
            <w:tcW w:w="2424" w:type="dxa"/>
          </w:tcPr>
          <w:p w:rsidR="0035137C" w:rsidRDefault="0035137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15-21</w:t>
            </w:r>
          </w:p>
        </w:tc>
        <w:tc>
          <w:tcPr>
            <w:tcW w:w="3026" w:type="dxa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15-21</w:t>
            </w:r>
          </w:p>
        </w:tc>
        <w:tc>
          <w:tcPr>
            <w:tcW w:w="2628" w:type="dxa"/>
            <w:gridSpan w:val="2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15-21</w:t>
            </w:r>
          </w:p>
        </w:tc>
      </w:tr>
      <w:tr w:rsidR="0035137C">
        <w:tc>
          <w:tcPr>
            <w:tcW w:w="3686" w:type="dxa"/>
            <w:gridSpan w:val="2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свертывания, мин</w:t>
            </w:r>
          </w:p>
        </w:tc>
        <w:tc>
          <w:tcPr>
            <w:tcW w:w="2424" w:type="dxa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0,3</w:t>
            </w:r>
          </w:p>
        </w:tc>
        <w:tc>
          <w:tcPr>
            <w:tcW w:w="2554" w:type="dxa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4,5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0,6</w:t>
            </w:r>
            <w:r>
              <w:rPr>
                <w:sz w:val="24"/>
                <w:szCs w:val="24"/>
                <w:lang w:val="en-US"/>
              </w:rPr>
              <w:t xml:space="preserve"> *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7,5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0,5</w:t>
            </w:r>
          </w:p>
        </w:tc>
        <w:tc>
          <w:tcPr>
            <w:tcW w:w="3026" w:type="dxa"/>
          </w:tcPr>
          <w:p w:rsidR="0035137C" w:rsidRDefault="000D7273">
            <w:pPr>
              <w:ind w:firstLine="56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4,2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0,7</w:t>
            </w:r>
            <w:r>
              <w:rPr>
                <w:sz w:val="24"/>
                <w:szCs w:val="24"/>
                <w:lang w:val="en-US"/>
              </w:rPr>
              <w:t xml:space="preserve"> *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8,2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0,6</w:t>
            </w:r>
          </w:p>
        </w:tc>
        <w:tc>
          <w:tcPr>
            <w:tcW w:w="2628" w:type="dxa"/>
            <w:gridSpan w:val="2"/>
          </w:tcPr>
          <w:p w:rsidR="0035137C" w:rsidRDefault="000D7273">
            <w:pPr>
              <w:ind w:firstLine="56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4,3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 xml:space="preserve">0,9 </w:t>
            </w:r>
            <w:r>
              <w:rPr>
                <w:sz w:val="24"/>
                <w:szCs w:val="24"/>
                <w:lang w:val="en-US"/>
              </w:rPr>
              <w:t>*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7,9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1,1</w:t>
            </w:r>
          </w:p>
        </w:tc>
      </w:tr>
      <w:tr w:rsidR="0035137C">
        <w:tc>
          <w:tcPr>
            <w:tcW w:w="3686" w:type="dxa"/>
            <w:gridSpan w:val="2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рекальцификации, сек </w:t>
            </w:r>
          </w:p>
        </w:tc>
        <w:tc>
          <w:tcPr>
            <w:tcW w:w="2424" w:type="dxa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4,2</w:t>
            </w:r>
          </w:p>
        </w:tc>
        <w:tc>
          <w:tcPr>
            <w:tcW w:w="2554" w:type="dxa"/>
          </w:tcPr>
          <w:p w:rsidR="0035137C" w:rsidRDefault="000D7273">
            <w:pPr>
              <w:ind w:firstLine="56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86,1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4,5 *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12,3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sym w:font="Symbol" w:char="F0B1"/>
            </w:r>
            <w:r>
              <w:rPr>
                <w:sz w:val="24"/>
                <w:szCs w:val="24"/>
              </w:rPr>
              <w:t>8,4</w:t>
            </w:r>
          </w:p>
        </w:tc>
        <w:tc>
          <w:tcPr>
            <w:tcW w:w="3026" w:type="dxa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6,4 *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139,5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10,2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2628" w:type="dxa"/>
            <w:gridSpan w:val="2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85,2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5,2 *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13,2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</w:tr>
      <w:tr w:rsidR="0035137C">
        <w:tc>
          <w:tcPr>
            <w:tcW w:w="3686" w:type="dxa"/>
            <w:gridSpan w:val="2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Протромбиновый индекс, %</w:t>
            </w:r>
          </w:p>
        </w:tc>
        <w:tc>
          <w:tcPr>
            <w:tcW w:w="2424" w:type="dxa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1,6</w:t>
            </w:r>
          </w:p>
        </w:tc>
        <w:tc>
          <w:tcPr>
            <w:tcW w:w="2554" w:type="dxa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2,1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2,3</w:t>
            </w:r>
          </w:p>
        </w:tc>
        <w:tc>
          <w:tcPr>
            <w:tcW w:w="3026" w:type="dxa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 xml:space="preserve">3,3 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3,6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2628" w:type="dxa"/>
            <w:gridSpan w:val="2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80,3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3,1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1,8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</w:tr>
      <w:tr w:rsidR="0035137C">
        <w:tc>
          <w:tcPr>
            <w:tcW w:w="3686" w:type="dxa"/>
            <w:gridSpan w:val="2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Концентрация фибриногена, г/л</w:t>
            </w:r>
          </w:p>
        </w:tc>
        <w:tc>
          <w:tcPr>
            <w:tcW w:w="2424" w:type="dxa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0,1</w:t>
            </w:r>
          </w:p>
        </w:tc>
        <w:tc>
          <w:tcPr>
            <w:tcW w:w="2554" w:type="dxa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0,4</w:t>
            </w:r>
            <w:r>
              <w:rPr>
                <w:sz w:val="24"/>
                <w:szCs w:val="24"/>
                <w:lang w:val="en-US"/>
              </w:rPr>
              <w:t>*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0,3*</w:t>
            </w:r>
          </w:p>
        </w:tc>
        <w:tc>
          <w:tcPr>
            <w:tcW w:w="3026" w:type="dxa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4,5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0,5</w:t>
            </w:r>
            <w:r>
              <w:rPr>
                <w:sz w:val="24"/>
                <w:szCs w:val="24"/>
                <w:lang w:val="en-US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0,4</w:t>
            </w:r>
          </w:p>
        </w:tc>
        <w:tc>
          <w:tcPr>
            <w:tcW w:w="2628" w:type="dxa"/>
            <w:gridSpan w:val="2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4,9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0,5</w:t>
            </w:r>
            <w:r>
              <w:rPr>
                <w:sz w:val="24"/>
                <w:szCs w:val="24"/>
                <w:lang w:val="en-US"/>
              </w:rPr>
              <w:t>*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0,3</w:t>
            </w:r>
          </w:p>
        </w:tc>
      </w:tr>
      <w:tr w:rsidR="0035137C">
        <w:tc>
          <w:tcPr>
            <w:tcW w:w="3686" w:type="dxa"/>
            <w:gridSpan w:val="2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Антитромбин Ш, %</w:t>
            </w:r>
          </w:p>
        </w:tc>
        <w:tc>
          <w:tcPr>
            <w:tcW w:w="2424" w:type="dxa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,0  2*</w:t>
            </w:r>
          </w:p>
        </w:tc>
        <w:tc>
          <w:tcPr>
            <w:tcW w:w="2554" w:type="dxa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 xml:space="preserve">,9*  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11,5*</w:t>
            </w:r>
          </w:p>
        </w:tc>
        <w:tc>
          <w:tcPr>
            <w:tcW w:w="3026" w:type="dxa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 xml:space="preserve">13,5*     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132,3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12,4</w:t>
            </w:r>
          </w:p>
        </w:tc>
        <w:tc>
          <w:tcPr>
            <w:tcW w:w="2628" w:type="dxa"/>
            <w:gridSpan w:val="2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144,7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 xml:space="preserve">17,6* 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97,8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16,2</w:t>
            </w:r>
          </w:p>
        </w:tc>
      </w:tr>
      <w:tr w:rsidR="0035137C">
        <w:tc>
          <w:tcPr>
            <w:tcW w:w="1432" w:type="dxa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Этаноло-вый тест</w:t>
            </w:r>
          </w:p>
        </w:tc>
        <w:tc>
          <w:tcPr>
            <w:tcW w:w="2254" w:type="dxa"/>
            <w:tcBorders>
              <w:bottom w:val="nil"/>
            </w:tcBorders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положительных</w:t>
            </w:r>
          </w:p>
        </w:tc>
        <w:tc>
          <w:tcPr>
            <w:tcW w:w="2424" w:type="dxa"/>
          </w:tcPr>
          <w:p w:rsidR="0035137C" w:rsidRDefault="000D7273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4" w:type="dxa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3026" w:type="dxa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54,5 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</w:t>
            </w:r>
          </w:p>
        </w:tc>
        <w:tc>
          <w:tcPr>
            <w:tcW w:w="2628" w:type="dxa"/>
            <w:gridSpan w:val="2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36,7</w:t>
            </w:r>
          </w:p>
        </w:tc>
      </w:tr>
      <w:tr w:rsidR="0035137C">
        <w:tc>
          <w:tcPr>
            <w:tcW w:w="1432" w:type="dxa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Фибрино-ген В </w:t>
            </w:r>
          </w:p>
        </w:tc>
        <w:tc>
          <w:tcPr>
            <w:tcW w:w="2254" w:type="dxa"/>
            <w:tcBorders>
              <w:top w:val="nil"/>
            </w:tcBorders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результатов, % </w:t>
            </w:r>
          </w:p>
        </w:tc>
        <w:tc>
          <w:tcPr>
            <w:tcW w:w="2424" w:type="dxa"/>
          </w:tcPr>
          <w:p w:rsidR="0035137C" w:rsidRDefault="000D7273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35137C" w:rsidRDefault="0035137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3026" w:type="dxa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72,7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2628" w:type="dxa"/>
            <w:gridSpan w:val="2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3,3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,3</w:t>
            </w:r>
          </w:p>
        </w:tc>
      </w:tr>
    </w:tbl>
    <w:p w:rsidR="0035137C" w:rsidRDefault="0035137C">
      <w:pPr>
        <w:ind w:firstLine="567"/>
        <w:rPr>
          <w:sz w:val="24"/>
          <w:szCs w:val="24"/>
        </w:rPr>
      </w:pPr>
    </w:p>
    <w:p w:rsidR="0035137C" w:rsidRDefault="000D7273">
      <w:pPr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* - p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&lt; 0</w:t>
      </w:r>
      <w:r>
        <w:rPr>
          <w:sz w:val="24"/>
          <w:szCs w:val="24"/>
        </w:rPr>
        <w:t>,05 достоверность различий показателей у больных и контрольной группы обследованных.</w:t>
      </w:r>
    </w:p>
    <w:p w:rsidR="0035137C" w:rsidRDefault="000D7273">
      <w:pPr>
        <w:ind w:firstLine="567"/>
        <w:rPr>
          <w:sz w:val="24"/>
          <w:szCs w:val="24"/>
        </w:rPr>
      </w:pPr>
      <w:r>
        <w:rPr>
          <w:sz w:val="24"/>
          <w:szCs w:val="24"/>
        </w:rPr>
        <w:t>2* - среднее значение (по данным НИИ Гематологии и переливания крови)</w:t>
      </w:r>
    </w:p>
    <w:p w:rsidR="0035137C" w:rsidRDefault="0035137C">
      <w:pPr>
        <w:ind w:firstLine="567"/>
        <w:rPr>
          <w:sz w:val="24"/>
          <w:szCs w:val="24"/>
        </w:rPr>
      </w:pPr>
    </w:p>
    <w:p w:rsidR="0035137C" w:rsidRDefault="0035137C">
      <w:pPr>
        <w:ind w:firstLine="567"/>
        <w:jc w:val="right"/>
        <w:rPr>
          <w:sz w:val="24"/>
          <w:szCs w:val="24"/>
        </w:rPr>
      </w:pPr>
    </w:p>
    <w:p w:rsidR="0035137C" w:rsidRDefault="000D7273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>
        <w:rPr>
          <w:sz w:val="24"/>
          <w:szCs w:val="24"/>
          <w:lang w:val="en-US"/>
        </w:rPr>
        <w:t>2</w:t>
      </w:r>
    </w:p>
    <w:p w:rsidR="0035137C" w:rsidRDefault="000D7273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Показатели внутрисосудистой активации тромбоцитов у больных дизентерией </w:t>
      </w:r>
    </w:p>
    <w:p w:rsidR="0035137C" w:rsidRDefault="0035137C">
      <w:pPr>
        <w:ind w:firstLine="567"/>
        <w:jc w:val="center"/>
        <w:rPr>
          <w:sz w:val="24"/>
          <w:szCs w:val="24"/>
        </w:rPr>
      </w:pPr>
    </w:p>
    <w:tbl>
      <w:tblPr>
        <w:tblW w:w="0" w:type="auto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47"/>
        <w:gridCol w:w="1719"/>
        <w:gridCol w:w="1812"/>
        <w:gridCol w:w="1782"/>
        <w:gridCol w:w="1620"/>
        <w:gridCol w:w="1708"/>
        <w:gridCol w:w="1"/>
        <w:gridCol w:w="1976"/>
        <w:gridCol w:w="1985"/>
      </w:tblGrid>
      <w:tr w:rsidR="0035137C">
        <w:tc>
          <w:tcPr>
            <w:tcW w:w="1418" w:type="dxa"/>
            <w:tcBorders>
              <w:bottom w:val="nil"/>
            </w:tcBorders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заболева-</w:t>
            </w:r>
          </w:p>
        </w:tc>
        <w:tc>
          <w:tcPr>
            <w:tcW w:w="1147" w:type="dxa"/>
            <w:tcBorders>
              <w:bottom w:val="nil"/>
            </w:tcBorders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исслед</w:t>
            </w:r>
          </w:p>
        </w:tc>
        <w:tc>
          <w:tcPr>
            <w:tcW w:w="1719" w:type="dxa"/>
            <w:tcBorders>
              <w:bottom w:val="nil"/>
            </w:tcBorders>
          </w:tcPr>
          <w:p w:rsidR="0035137C" w:rsidRDefault="000D7273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  <w:p w:rsidR="0035137C" w:rsidRDefault="000D7273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тромбоци-</w:t>
            </w:r>
          </w:p>
        </w:tc>
        <w:tc>
          <w:tcPr>
            <w:tcW w:w="6923" w:type="dxa"/>
            <w:gridSpan w:val="5"/>
          </w:tcPr>
          <w:p w:rsidR="0035137C" w:rsidRDefault="000D7273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формы тромбоцитов</w:t>
            </w:r>
          </w:p>
        </w:tc>
        <w:tc>
          <w:tcPr>
            <w:tcW w:w="1976" w:type="dxa"/>
            <w:tcBorders>
              <w:bottom w:val="nil"/>
            </w:tcBorders>
          </w:tcPr>
          <w:p w:rsidR="0035137C" w:rsidRDefault="000D7273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актив-ных форм </w:t>
            </w:r>
          </w:p>
        </w:tc>
        <w:tc>
          <w:tcPr>
            <w:tcW w:w="1985" w:type="dxa"/>
            <w:tcBorders>
              <w:bottom w:val="nil"/>
            </w:tcBorders>
          </w:tcPr>
          <w:p w:rsidR="0035137C" w:rsidRDefault="000D7273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тромбоцитов, </w:t>
            </w:r>
          </w:p>
        </w:tc>
      </w:tr>
      <w:tr w:rsidR="0035137C">
        <w:tc>
          <w:tcPr>
            <w:tcW w:w="1418" w:type="dxa"/>
            <w:tcBorders>
              <w:top w:val="nil"/>
            </w:tcBorders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147" w:type="dxa"/>
            <w:tcBorders>
              <w:top w:val="nil"/>
            </w:tcBorders>
          </w:tcPr>
          <w:p w:rsidR="0035137C" w:rsidRDefault="000D7273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ований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35137C" w:rsidRDefault="000D7273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</w:t>
            </w:r>
          </w:p>
        </w:tc>
        <w:tc>
          <w:tcPr>
            <w:tcW w:w="1812" w:type="dxa"/>
            <w:tcBorders>
              <w:bottom w:val="nil"/>
            </w:tcBorders>
          </w:tcPr>
          <w:p w:rsidR="0035137C" w:rsidRDefault="000D7273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Дискоциты %</w:t>
            </w:r>
          </w:p>
        </w:tc>
        <w:tc>
          <w:tcPr>
            <w:tcW w:w="1782" w:type="dxa"/>
            <w:tcBorders>
              <w:bottom w:val="nil"/>
            </w:tcBorders>
          </w:tcPr>
          <w:p w:rsidR="0035137C" w:rsidRDefault="000D7273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Дискоэхиноциты %</w:t>
            </w:r>
          </w:p>
        </w:tc>
        <w:tc>
          <w:tcPr>
            <w:tcW w:w="1620" w:type="dxa"/>
            <w:tcBorders>
              <w:bottom w:val="nil"/>
            </w:tcBorders>
          </w:tcPr>
          <w:p w:rsidR="0035137C" w:rsidRDefault="000D7273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Сфероциты %</w:t>
            </w:r>
          </w:p>
        </w:tc>
        <w:tc>
          <w:tcPr>
            <w:tcW w:w="1709" w:type="dxa"/>
            <w:gridSpan w:val="2"/>
            <w:tcBorders>
              <w:bottom w:val="nil"/>
            </w:tcBorders>
          </w:tcPr>
          <w:p w:rsidR="0035137C" w:rsidRDefault="000D7273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Сфероэхиноциты %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35137C" w:rsidRDefault="000D7273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тромбоцитов%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137C" w:rsidRDefault="000D7273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агрегантах %</w:t>
            </w:r>
          </w:p>
        </w:tc>
      </w:tr>
      <w:tr w:rsidR="0035137C">
        <w:tc>
          <w:tcPr>
            <w:tcW w:w="2565" w:type="dxa"/>
            <w:gridSpan w:val="2"/>
          </w:tcPr>
          <w:p w:rsidR="0035137C" w:rsidRDefault="000D7273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наблюде</w:t>
            </w: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ния, день болезни</w:t>
            </w:r>
          </w:p>
        </w:tc>
        <w:tc>
          <w:tcPr>
            <w:tcW w:w="1719" w:type="dxa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7-14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15-21</w:t>
            </w:r>
          </w:p>
        </w:tc>
        <w:tc>
          <w:tcPr>
            <w:tcW w:w="1812" w:type="dxa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7-14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15-21</w:t>
            </w:r>
          </w:p>
        </w:tc>
        <w:tc>
          <w:tcPr>
            <w:tcW w:w="1782" w:type="dxa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7-14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15-21</w:t>
            </w:r>
          </w:p>
        </w:tc>
        <w:tc>
          <w:tcPr>
            <w:tcW w:w="1620" w:type="dxa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7-14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15-21</w:t>
            </w:r>
          </w:p>
        </w:tc>
        <w:tc>
          <w:tcPr>
            <w:tcW w:w="1708" w:type="dxa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7-14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15-21</w:t>
            </w:r>
          </w:p>
        </w:tc>
        <w:tc>
          <w:tcPr>
            <w:tcW w:w="1977" w:type="dxa"/>
            <w:gridSpan w:val="2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7-14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15-21</w:t>
            </w:r>
          </w:p>
        </w:tc>
        <w:tc>
          <w:tcPr>
            <w:tcW w:w="1985" w:type="dxa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7-14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15-21</w:t>
            </w:r>
          </w:p>
        </w:tc>
      </w:tr>
      <w:tr w:rsidR="0035137C">
        <w:tc>
          <w:tcPr>
            <w:tcW w:w="1418" w:type="dxa"/>
          </w:tcPr>
          <w:p w:rsidR="0035137C" w:rsidRDefault="000D7273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  <w:lang w:val="en-US"/>
              </w:rPr>
              <w:t xml:space="preserve"> 3*</w:t>
            </w:r>
          </w:p>
        </w:tc>
        <w:tc>
          <w:tcPr>
            <w:tcW w:w="1147" w:type="dxa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n=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0   </w:t>
            </w:r>
          </w:p>
        </w:tc>
        <w:tc>
          <w:tcPr>
            <w:tcW w:w="1719" w:type="dxa"/>
          </w:tcPr>
          <w:p w:rsidR="0035137C" w:rsidRDefault="000D7273">
            <w:pPr>
              <w:ind w:firstLine="56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15,0</w:t>
            </w:r>
          </w:p>
        </w:tc>
        <w:tc>
          <w:tcPr>
            <w:tcW w:w="1812" w:type="dxa"/>
          </w:tcPr>
          <w:p w:rsidR="0035137C" w:rsidRDefault="000D7273">
            <w:pPr>
              <w:ind w:firstLine="56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86,6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+0,6</w:t>
            </w:r>
          </w:p>
        </w:tc>
        <w:tc>
          <w:tcPr>
            <w:tcW w:w="1782" w:type="dxa"/>
          </w:tcPr>
          <w:p w:rsidR="0035137C" w:rsidRDefault="000D7273">
            <w:pPr>
              <w:ind w:firstLine="56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0,5</w:t>
            </w:r>
          </w:p>
        </w:tc>
        <w:tc>
          <w:tcPr>
            <w:tcW w:w="1620" w:type="dxa"/>
          </w:tcPr>
          <w:p w:rsidR="0035137C" w:rsidRDefault="000D7273">
            <w:pPr>
              <w:ind w:firstLine="56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1,7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0,1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9" w:type="dxa"/>
            <w:gridSpan w:val="2"/>
          </w:tcPr>
          <w:p w:rsidR="0035137C" w:rsidRDefault="000D7273">
            <w:pPr>
              <w:ind w:firstLine="56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1,3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0,1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76" w:type="dxa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12,8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0,5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6,8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0,4</w:t>
            </w:r>
          </w:p>
        </w:tc>
      </w:tr>
      <w:tr w:rsidR="0035137C">
        <w:tc>
          <w:tcPr>
            <w:tcW w:w="1418" w:type="dxa"/>
            <w:tcBorders>
              <w:bottom w:val="nil"/>
            </w:tcBorders>
          </w:tcPr>
          <w:p w:rsidR="0035137C" w:rsidRDefault="000D7273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Среднетя желое</w:t>
            </w:r>
          </w:p>
        </w:tc>
        <w:tc>
          <w:tcPr>
            <w:tcW w:w="1147" w:type="dxa"/>
            <w:tcBorders>
              <w:bottom w:val="nil"/>
            </w:tcBorders>
          </w:tcPr>
          <w:p w:rsidR="0035137C" w:rsidRDefault="000D7273">
            <w:pPr>
              <w:ind w:firstLine="56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n=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1719" w:type="dxa"/>
            <w:tcBorders>
              <w:bottom w:val="nil"/>
            </w:tcBorders>
          </w:tcPr>
          <w:p w:rsidR="0035137C" w:rsidRDefault="000D7273">
            <w:pPr>
              <w:ind w:firstLine="56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sym w:font="Symbol" w:char="F0B1"/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6,5</w:t>
            </w:r>
            <w:r>
              <w:rPr>
                <w:sz w:val="24"/>
                <w:szCs w:val="24"/>
                <w:lang w:val="en-US"/>
              </w:rPr>
              <w:t>*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281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16,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2*</w:t>
            </w:r>
          </w:p>
        </w:tc>
        <w:tc>
          <w:tcPr>
            <w:tcW w:w="1812" w:type="dxa"/>
            <w:tcBorders>
              <w:bottom w:val="nil"/>
            </w:tcBorders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1,4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sym w:font="Symbol" w:char="F0B1"/>
            </w:r>
            <w:r>
              <w:rPr>
                <w:sz w:val="24"/>
                <w:szCs w:val="24"/>
              </w:rPr>
              <w:t>3,2</w:t>
            </w:r>
            <w:r>
              <w:rPr>
                <w:sz w:val="24"/>
                <w:szCs w:val="24"/>
                <w:lang w:val="en-US"/>
              </w:rPr>
              <w:t>*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76,8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2,8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782" w:type="dxa"/>
            <w:tcBorders>
              <w:bottom w:val="nil"/>
            </w:tcBorders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25,3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1,8</w:t>
            </w:r>
            <w:r>
              <w:rPr>
                <w:sz w:val="24"/>
                <w:szCs w:val="24"/>
                <w:lang w:val="en-US"/>
              </w:rPr>
              <w:t xml:space="preserve"> *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17,5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1,6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20" w:type="dxa"/>
            <w:tcBorders>
              <w:bottom w:val="nil"/>
            </w:tcBorders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11,5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0,7</w:t>
            </w:r>
            <w:r>
              <w:rPr>
                <w:sz w:val="24"/>
                <w:szCs w:val="24"/>
                <w:lang w:val="en-US"/>
              </w:rPr>
              <w:t>*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2,8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 xml:space="preserve">0,6 </w:t>
            </w:r>
            <w:r>
              <w:rPr>
                <w:sz w:val="24"/>
                <w:szCs w:val="24"/>
                <w:lang w:val="en-US"/>
              </w:rPr>
              <w:t xml:space="preserve">2*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gridSpan w:val="2"/>
            <w:tcBorders>
              <w:bottom w:val="nil"/>
            </w:tcBorders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11,8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0,8</w:t>
            </w:r>
            <w:r>
              <w:rPr>
                <w:sz w:val="24"/>
                <w:szCs w:val="24"/>
                <w:lang w:val="en-US"/>
              </w:rPr>
              <w:t>*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2,9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 xml:space="preserve">0,6* </w:t>
            </w:r>
            <w:r>
              <w:rPr>
                <w:sz w:val="24"/>
                <w:szCs w:val="24"/>
                <w:lang w:val="en-US"/>
              </w:rPr>
              <w:t>2*</w:t>
            </w:r>
          </w:p>
        </w:tc>
        <w:tc>
          <w:tcPr>
            <w:tcW w:w="1976" w:type="dxa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48,5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3,1</w:t>
            </w:r>
            <w:r>
              <w:rPr>
                <w:sz w:val="24"/>
                <w:szCs w:val="24"/>
                <w:lang w:val="en-US"/>
              </w:rPr>
              <w:t>*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23,2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2,8*</w:t>
            </w:r>
          </w:p>
        </w:tc>
        <w:tc>
          <w:tcPr>
            <w:tcW w:w="1985" w:type="dxa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8,2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1,2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3,2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0,6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</w:tr>
      <w:tr w:rsidR="0035137C">
        <w:tc>
          <w:tcPr>
            <w:tcW w:w="1418" w:type="dxa"/>
            <w:tcBorders>
              <w:bottom w:val="nil"/>
            </w:tcBorders>
          </w:tcPr>
          <w:p w:rsidR="0035137C" w:rsidRDefault="000D7273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Тяжелое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47" w:type="dxa"/>
            <w:tcBorders>
              <w:bottom w:val="nil"/>
            </w:tcBorders>
          </w:tcPr>
          <w:p w:rsidR="0035137C" w:rsidRDefault="0035137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719" w:type="dxa"/>
            <w:tcBorders>
              <w:bottom w:val="nil"/>
            </w:tcBorders>
          </w:tcPr>
          <w:p w:rsidR="0035137C" w:rsidRDefault="0035137C">
            <w:pPr>
              <w:ind w:firstLine="567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bottom w:val="nil"/>
            </w:tcBorders>
          </w:tcPr>
          <w:p w:rsidR="0035137C" w:rsidRDefault="0035137C">
            <w:pPr>
              <w:ind w:firstLine="567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bottom w:val="nil"/>
            </w:tcBorders>
          </w:tcPr>
          <w:p w:rsidR="0035137C" w:rsidRDefault="0035137C">
            <w:pPr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35137C" w:rsidRDefault="0035137C">
            <w:pPr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bottom w:val="nil"/>
            </w:tcBorders>
          </w:tcPr>
          <w:p w:rsidR="0035137C" w:rsidRDefault="0035137C">
            <w:pPr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35137C" w:rsidRDefault="0035137C">
            <w:pPr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5137C" w:rsidRDefault="0035137C">
            <w:pPr>
              <w:ind w:firstLine="567"/>
              <w:jc w:val="right"/>
              <w:rPr>
                <w:sz w:val="24"/>
                <w:szCs w:val="24"/>
              </w:rPr>
            </w:pPr>
          </w:p>
        </w:tc>
      </w:tr>
      <w:tr w:rsidR="0035137C">
        <w:tc>
          <w:tcPr>
            <w:tcW w:w="1418" w:type="dxa"/>
            <w:tcBorders>
              <w:top w:val="nil"/>
            </w:tcBorders>
          </w:tcPr>
          <w:p w:rsidR="0035137C" w:rsidRDefault="000D7273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Выздоровевшие</w:t>
            </w:r>
          </w:p>
        </w:tc>
        <w:tc>
          <w:tcPr>
            <w:tcW w:w="1147" w:type="dxa"/>
            <w:tcBorders>
              <w:top w:val="nil"/>
            </w:tcBorders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n=1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19" w:type="dxa"/>
            <w:tcBorders>
              <w:top w:val="nil"/>
            </w:tcBorders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17,4</w:t>
            </w:r>
            <w:r>
              <w:rPr>
                <w:sz w:val="24"/>
                <w:szCs w:val="24"/>
                <w:lang w:val="en-US"/>
              </w:rPr>
              <w:t>*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232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16,5*</w:t>
            </w:r>
            <w:r>
              <w:rPr>
                <w:sz w:val="24"/>
                <w:szCs w:val="24"/>
                <w:lang w:val="en-US"/>
              </w:rPr>
              <w:t>2*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nil"/>
            </w:tcBorders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 xml:space="preserve">8,2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3,8</w:t>
            </w:r>
            <w:r>
              <w:rPr>
                <w:sz w:val="24"/>
                <w:szCs w:val="24"/>
                <w:lang w:val="en-US"/>
              </w:rPr>
              <w:t>*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68,4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 xml:space="preserve">3,5* </w:t>
            </w:r>
          </w:p>
        </w:tc>
        <w:tc>
          <w:tcPr>
            <w:tcW w:w="1782" w:type="dxa"/>
            <w:tcBorders>
              <w:top w:val="nil"/>
            </w:tcBorders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27,4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1,9</w:t>
            </w:r>
            <w:r>
              <w:rPr>
                <w:sz w:val="24"/>
                <w:szCs w:val="24"/>
                <w:lang w:val="en-US"/>
              </w:rPr>
              <w:t>*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20,5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1,8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20" w:type="dxa"/>
            <w:tcBorders>
              <w:top w:val="nil"/>
            </w:tcBorders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11,6 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0,9</w:t>
            </w:r>
            <w:r>
              <w:rPr>
                <w:sz w:val="24"/>
                <w:szCs w:val="24"/>
                <w:lang w:val="en-US"/>
              </w:rPr>
              <w:t>*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5,2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 xml:space="preserve">0,8* </w:t>
            </w:r>
            <w:r>
              <w:rPr>
                <w:sz w:val="24"/>
                <w:szCs w:val="24"/>
                <w:lang w:val="en-US"/>
              </w:rPr>
              <w:t xml:space="preserve">2*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gridSpan w:val="2"/>
            <w:tcBorders>
              <w:top w:val="nil"/>
            </w:tcBorders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12,8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  <w:lang w:val="en-US"/>
              </w:rPr>
              <w:t>1*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5,9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 xml:space="preserve">0,9* </w:t>
            </w:r>
            <w:r>
              <w:rPr>
                <w:sz w:val="24"/>
                <w:szCs w:val="24"/>
                <w:lang w:val="en-US"/>
              </w:rPr>
              <w:t>2*</w:t>
            </w:r>
          </w:p>
        </w:tc>
        <w:tc>
          <w:tcPr>
            <w:tcW w:w="1976" w:type="dxa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51,6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3,8</w:t>
            </w:r>
            <w:r>
              <w:rPr>
                <w:sz w:val="24"/>
                <w:szCs w:val="24"/>
                <w:lang w:val="en-US"/>
              </w:rPr>
              <w:t>*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31,6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3,5*</w:t>
            </w:r>
          </w:p>
        </w:tc>
        <w:tc>
          <w:tcPr>
            <w:tcW w:w="1985" w:type="dxa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 xml:space="preserve">,8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1,6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3,5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0,8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</w:tr>
      <w:tr w:rsidR="0035137C">
        <w:tc>
          <w:tcPr>
            <w:tcW w:w="1418" w:type="dxa"/>
          </w:tcPr>
          <w:p w:rsidR="0035137C" w:rsidRDefault="000D7273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Умершие</w:t>
            </w:r>
          </w:p>
          <w:p w:rsidR="0035137C" w:rsidRDefault="0035137C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:rsidR="0035137C" w:rsidRDefault="000D7273">
            <w:pPr>
              <w:ind w:firstLine="56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n=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19" w:type="dxa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169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19,8</w:t>
            </w:r>
            <w:r>
              <w:rPr>
                <w:sz w:val="24"/>
                <w:szCs w:val="24"/>
                <w:lang w:val="en-US"/>
              </w:rPr>
              <w:t>*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21,6*</w:t>
            </w:r>
          </w:p>
        </w:tc>
        <w:tc>
          <w:tcPr>
            <w:tcW w:w="1812" w:type="dxa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46,1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4,6</w:t>
            </w:r>
            <w:r>
              <w:rPr>
                <w:sz w:val="24"/>
                <w:szCs w:val="24"/>
                <w:lang w:val="en-US"/>
              </w:rPr>
              <w:t>*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60,2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4,8</w:t>
            </w:r>
            <w:r>
              <w:rPr>
                <w:sz w:val="24"/>
                <w:szCs w:val="24"/>
                <w:lang w:val="en-US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2" w:type="dxa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29,5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2,1</w:t>
            </w:r>
            <w:r>
              <w:rPr>
                <w:sz w:val="24"/>
                <w:szCs w:val="24"/>
                <w:lang w:val="en-US"/>
              </w:rPr>
              <w:t>*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25,4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2,5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20" w:type="dxa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11,5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1,2</w:t>
            </w:r>
            <w:r>
              <w:rPr>
                <w:sz w:val="24"/>
                <w:szCs w:val="24"/>
                <w:lang w:val="en-US"/>
              </w:rPr>
              <w:t>*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6,3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1,1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709" w:type="dxa"/>
            <w:gridSpan w:val="2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12,9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1,3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8,1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  <w:lang w:val="en-US"/>
              </w:rPr>
              <w:t>3*</w:t>
            </w:r>
          </w:p>
        </w:tc>
        <w:tc>
          <w:tcPr>
            <w:tcW w:w="1976" w:type="dxa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53,8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4,6</w:t>
            </w:r>
            <w:r>
              <w:rPr>
                <w:sz w:val="24"/>
                <w:szCs w:val="24"/>
                <w:lang w:val="en-US"/>
              </w:rPr>
              <w:t>*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39,8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4,8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985" w:type="dxa"/>
          </w:tcPr>
          <w:p w:rsidR="0035137C" w:rsidRDefault="000D72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 xml:space="preserve">,9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2,1</w:t>
            </w:r>
          </w:p>
          <w:p w:rsidR="0035137C" w:rsidRDefault="000D7273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4,1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1,1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</w:tr>
    </w:tbl>
    <w:p w:rsidR="0035137C" w:rsidRDefault="0035137C">
      <w:pPr>
        <w:ind w:firstLine="567"/>
        <w:rPr>
          <w:sz w:val="24"/>
          <w:szCs w:val="24"/>
          <w:lang w:val="en-US"/>
        </w:rPr>
      </w:pPr>
    </w:p>
    <w:p w:rsidR="0035137C" w:rsidRDefault="000D7273">
      <w:pPr>
        <w:ind w:firstLine="567"/>
        <w:rPr>
          <w:sz w:val="24"/>
          <w:szCs w:val="24"/>
        </w:rPr>
      </w:pPr>
      <w:r>
        <w:rPr>
          <w:sz w:val="24"/>
          <w:szCs w:val="24"/>
          <w:lang w:val="en-US"/>
        </w:rPr>
        <w:t>*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- p &lt;0,05 </w:t>
      </w:r>
      <w:r>
        <w:rPr>
          <w:sz w:val="24"/>
          <w:szCs w:val="24"/>
        </w:rPr>
        <w:t>достоверность различий показателей у больных и здоровых лиц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</w:t>
      </w:r>
    </w:p>
    <w:p w:rsidR="0035137C" w:rsidRDefault="000D7273">
      <w:pPr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2* - p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&lt; 0</w:t>
      </w:r>
      <w:r>
        <w:rPr>
          <w:sz w:val="24"/>
          <w:szCs w:val="24"/>
        </w:rPr>
        <w:t>,05 достоверность различий показателей у больных со среднетяжелым и тяжелым течением.</w:t>
      </w:r>
    </w:p>
    <w:p w:rsidR="0035137C" w:rsidRDefault="000D7273">
      <w:pPr>
        <w:ind w:firstLine="567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3* </w:t>
      </w:r>
      <w:r>
        <w:rPr>
          <w:sz w:val="24"/>
          <w:szCs w:val="24"/>
        </w:rPr>
        <w:t xml:space="preserve"> -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показатели внутрисосудистой активации тромбоцитов у здоровых лиц по работе А.С. Шитиковой и др. (1996).</w:t>
      </w:r>
    </w:p>
    <w:p w:rsidR="0035137C" w:rsidRDefault="0035137C">
      <w:pPr>
        <w:ind w:firstLine="567"/>
        <w:jc w:val="both"/>
        <w:rPr>
          <w:sz w:val="24"/>
          <w:szCs w:val="24"/>
        </w:rPr>
      </w:pPr>
    </w:p>
    <w:p w:rsidR="0035137C" w:rsidRDefault="0035137C">
      <w:pPr>
        <w:ind w:firstLine="567"/>
        <w:jc w:val="both"/>
        <w:rPr>
          <w:sz w:val="24"/>
          <w:szCs w:val="24"/>
        </w:rPr>
      </w:pPr>
    </w:p>
    <w:p w:rsidR="0035137C" w:rsidRDefault="0035137C">
      <w:pPr>
        <w:ind w:firstLine="567"/>
        <w:jc w:val="both"/>
        <w:rPr>
          <w:sz w:val="24"/>
          <w:szCs w:val="24"/>
        </w:rPr>
      </w:pPr>
    </w:p>
    <w:p w:rsidR="0035137C" w:rsidRDefault="0035137C">
      <w:pPr>
        <w:ind w:firstLine="567"/>
        <w:jc w:val="both"/>
        <w:rPr>
          <w:sz w:val="24"/>
          <w:szCs w:val="24"/>
        </w:rPr>
        <w:sectPr w:rsidR="0035137C">
          <w:type w:val="oddPage"/>
          <w:pgSz w:w="16840" w:h="11907" w:orient="landscape"/>
          <w:pgMar w:top="1134" w:right="1134" w:bottom="1134" w:left="1134" w:header="709" w:footer="709" w:gutter="0"/>
          <w:cols w:space="709"/>
        </w:sectPr>
      </w:pP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группе с тяжелым течением дизентерии у большинства выздоровевших и  умерших больных клинического выздоровления в этот период не наблюдалось, поэтому на момент обследования они продолжали получать антибактериальную и инфузионную терапию. Установлено, что у этих больных преобладали признаки гипокоагуляции. Была отмечена тенденция к удлинению времени свертывания крови и статистически значимое увеличение среднего показателя времени рекальцификации плазмы  (</w:t>
      </w:r>
      <w:r>
        <w:rPr>
          <w:sz w:val="24"/>
          <w:szCs w:val="24"/>
          <w:lang w:val="en-US"/>
        </w:rPr>
        <w:t xml:space="preserve">p &lt; </w:t>
      </w:r>
      <w:r>
        <w:rPr>
          <w:sz w:val="24"/>
          <w:szCs w:val="24"/>
        </w:rPr>
        <w:t>0,01). Однако, у 4 выздоровевших и 5 умерших больных данные показатели находились в пределах нормы. Кроме того, у больных с тяжелым течением наблюдались признаки, которые могут быть расценены как результат процесса потребления. Так, было выявлено статистически значимое снижение протромбинового индекса (</w:t>
      </w:r>
      <w:r>
        <w:rPr>
          <w:sz w:val="24"/>
          <w:szCs w:val="24"/>
          <w:lang w:val="en-US"/>
        </w:rPr>
        <w:t xml:space="preserve">p &lt; </w:t>
      </w:r>
      <w:r>
        <w:rPr>
          <w:sz w:val="24"/>
          <w:szCs w:val="24"/>
        </w:rPr>
        <w:t xml:space="preserve">0,01). Отмечена также тенденция к уменьшению концентрации фибриногена. Индивидуальные колебания данного показателя среди выздоровевших больных находились в пределах от 2 до 7,7 г/л, а среди умерших от 1,1 до 5,3 г/л, причем, у 8 умерших концентрация фибриногена не превышала 2 г/л. Частота положительных паракоагуляционных тестов уменьшилась, но оставалась выше чем у больных со среднетяжелыми формами дизентерии. Произошло снижение активности антитромбина III по сравнению с исходным уровнем, в наибольшей степени выраженное у умерших больных. Следует отметить, что наиболее значительное уменьшение активности антитромбина III (до 60,0 %) отмечалось у умерших больных, а также в группе выздоровевших больных с тяжелым течением (до 85,0 %), которые на момент обследования получали массивную инфузионную терапию и внутривенно (в катетер) минимальные дозы гепарина. Это, по-видимому, было связано с образованием комплексов гепарин-антитромбин III и, следовательно, с более интенсивным потреблением антитромбина III у этих больных. 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исследовании тромбоцитарного звена гемостаза у больных тяжелым течением отмечена тенденция к увеличению количества тромбоцитов по сравнению с исходным уровнем. Однако среднее содержание тромбоцитов у выздоровевших и умерших больных было достоверно ниже, чем у больных со среднетяжелым течением. Наблюдалось также уменьшение показателей  внутрисосудистой активации тромбоцитов и статистически значимое снижение количества пластинок, вовлеченных в агреганты (</w:t>
      </w:r>
      <w:r>
        <w:rPr>
          <w:sz w:val="24"/>
          <w:szCs w:val="24"/>
          <w:lang w:val="en-US"/>
        </w:rPr>
        <w:t>p &lt;0,0</w:t>
      </w:r>
      <w:r>
        <w:rPr>
          <w:sz w:val="24"/>
          <w:szCs w:val="24"/>
        </w:rPr>
        <w:t>5).  При этом доля активных форм тромбоцитов в среднем оставалась достоверно выше, чем у больных со среднетяжелым течением (</w:t>
      </w:r>
      <w:r>
        <w:rPr>
          <w:sz w:val="24"/>
          <w:szCs w:val="24"/>
          <w:lang w:val="en-US"/>
        </w:rPr>
        <w:t xml:space="preserve">p &lt; </w:t>
      </w:r>
      <w:r>
        <w:rPr>
          <w:sz w:val="24"/>
          <w:szCs w:val="24"/>
        </w:rPr>
        <w:t>0,05). Необходимо отметить, что уменьшение внутрисосудистой активации и агрегации тромбоцитов на фоне возможного усиления тромбинемии, приводящей к потреблению факторов свертывания могло быть связано с появлением рефрактерных форм тромбоцитов в результате их дезагрегации или длительного контакта с агрегирующими агонистами. Нельзя также исключить ингибиторного действия на них продуктов деградации фибрина.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у больных с тяжелым течением дизентерии наблюдаются характерные фазные изменения в системе гемостаза со сменой фазы гиперкоагуляции, фазой гипокоагуляции, с потреблением некоторых факторов плазменно-коагуляционного, тромбоцитарного звеньев гемостаза.  Данные изменения у больных с выраженными деструктивными изменениями в тканях при вероятном поступлении в кровоток эндотоксинов, вызывающих резкую активацию реакций гемостаза, а также появление как геморрагических, так и тромботических осложнений свидетельствуют о наличием ДВС синдрома, что согласуется с данными В.Г. Патеюк с соавт. (1984), Т.В. Жернаковой с соавт. (1984). Это подтверждают и результаты патоморфологических исследований, проведенных в патологоанатомическом отделении больницы № 30 им. С.П. Боткина, при которых нередко наблюдались такие характерные для ДВС синдрома проявления как микротромбозы и очаговые кровоизлияния в подслизистом слое кишки, тромбозы ветвей легочной артерии, кишечные кровотечения, кровоизлияния в легкие и другие внутренние органы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(Комарова Д.В. с соавт., 1995; Цинзерлинг В.А. с соавт., 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>997).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Исследование чувствительности 80 выделенных штаммов шигелл к антибактериальным препаратам методом дисков показало, что все они были устойчивы к левомицетину, тетрациклину, ампициллину, стрептомицину, мономицину, канамицину, рифампицину и умеренно чувствительны к цефалоспоринам и аминогликозидам. Так, 80 %  изученных штаммов оказались чувствительными к Цефоперазону,  15 % - умеренно чувствительными, остальные 5 % - резистентными. К гентамицину наблюдалась умеренная чувствительность у 77,5 % выделенных штаммов, а 22,5 %  штаммов были резистентны. Наиболее высокая чувствительность шигелл (100 %) отмечена к офлоксацину и ципрофлоксацину, что было подтверждено исследованием методом серийных разведений. Изученные штаммы различались по способности ферментировать некоторые углеводороды. Более половины изученных штаммов были отнесены к 6 биовару  по классификации Хоменко - Киселевой, 15 % штаммов отнесены к 1 биовару, 11 % - к 12 биовару, остальные к 4 и 7 биоварам. При сопоставлении микробиологических особенностей шигелл с течением заболевания и характером патоморфологических изменений связи выявлено не было. 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оценки эффективности этиотропной терапии больных с тяжелым течением дизентерии Флекснера 2а фторхинолонами (при пероральном и парентеральном введении) и другими антибактериальными препаратами был проведен ее анализ у 52 пациентов с тяжелым течением дизентерии (28 выздоровевших и 24 умерших), длительность пребывания в стационаре которых была не менее 7 суток. Установлено, что практически все эти больные получали начиная с 1-2 суток от момента поступления комбинации из нескольких антибактериальных препаратов, включавшие у 23 выздоровевших и 18 умерших ципрофлоксацин. 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зависимости от пути введения и способа применения ципрофлоксацина выздоровевшие больные с тяжелым течением дизентерии распределились следующим образом: 11 человек получали ципрофлоксацин только внутривенно по 200 мг 2 раза в сутки 4-10 дней, другие 12 человек получали ципрофлоксацин внутривенно в той же дозе в течении 4-9 дней, и перорально по 250 мг 2 раза в сутки. Остальные 5 человек получали комбинации из нескольких различных антибактериальных препаратов, не включавшие фторхинолонов. Анализ результатов лечения показал, что у пациентов с пероральным приемом ципрофлоксацина во всех случаях отмечалось освобождение от возбудителя, тогда как при других способах лечения у 2 больных наблюдалось  повторноге выделение возбудителя, что потребовало проведения дополнительных курсов антимикробной терапии. 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группе умерших больных 12 человек получали ципрофлоксацин внутривенно в дозе 200 мг по 2 раза в сутки (5-10 дней), 5 человек получали ципрофлоксацин внутривенно, в той же дозе (4-9дней) и перорально в дозе 250 мг 2 раза в сутки (2-3 дня), 1 больной получал ципрофлоксацин перорально по 250 мг 2 раза в сутки, в течение 3 дней. Применение ципрофлоксацина у этих больных сочеталось с использованием гентамицина (10 человек), цефалоспоринов (7 человек), ампициллина (4 человека), фуразолидона (4 человека). Остальные 6 человек получали комбинации из гентамицина и других антибактериальных препаратов других групп, не включавшие фторхинолонов. При этом у большинства умерших длительное время сохранялся неустойчивый стул (до 30 суток и более), в связи с чем им проводились повторные курсы антибактериальной терапии. При повторном бактериологическом исследовании у 3 больных при жизни и у 4 пациентов при исследовании секционного материала был обнаружен возбудитель - шигеллы Флекснера 2а. Анализируя причины неблагоприятных исходов у данных больных необходимо отметить, что половина из них поступили в стационар на поздних сроках (7 и более суток) от начала заболевания. Следует также учесть, что внутривенное введение ципрофлоксацина совмещалось обычно с инфузиями кристаллоидных и коллоидных растворов, что вероятно усиливало выведение препарата и вызывало снижение его концентрации в крови. Кроме того, использование комбинаций из нескольких антибактериальных препаратов, по-видимому, способствовало развитию дисбактериоза и сохранению диарейного синдрома у этих больных.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получения вышепредставленных данных мы использовали для лечения группы больных со среднетяжелым течением дизентерии Флекснера 2а (30 человек) другой препарат из группы фторхинолонов - офлоксацин (Таривид). Анализ результатов показал, что улучшение состояния: уменьшение интоксикации, нормализация температуры в обеих группах, получавших офлоксацин, отмечалось обычно на 2 сутки лечения (в среднем 2,1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>0,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и 2,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>0,1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сутки соответственно), а в контрольной группе на 2-4 сутки (в среднем 2,5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>0,</w:t>
      </w:r>
      <w:r>
        <w:rPr>
          <w:sz w:val="24"/>
          <w:szCs w:val="24"/>
          <w:lang w:val="en-US"/>
        </w:rPr>
        <w:t xml:space="preserve">2 </w:t>
      </w:r>
      <w:r>
        <w:rPr>
          <w:sz w:val="24"/>
          <w:szCs w:val="24"/>
        </w:rPr>
        <w:t xml:space="preserve">сутки). Нормализация стула наблюдалась раньше при пероральном приеме офлоксацина, в среднем на 4,5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 xml:space="preserve">0,4 день, тогда как при смешанном приеме - в среднем 6,3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 xml:space="preserve">0,5 день. В контрольной группе нормализация стула происходила в среднем на 9,0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>0,6 день. При обоих способах применения офлоксацина у всех больных имело место освобождение от возбудителя, подтвержденное двухкратным лабораторным контролем. В группе сравнения при контрольном бактериологическом исследовании испражнений у двух больных был обнаружен возбудитель, в связи с чем им был проведен повторный курс лечения антибактериальными препаратами.</w:t>
      </w:r>
    </w:p>
    <w:p w:rsidR="0035137C" w:rsidRDefault="0035137C">
      <w:pPr>
        <w:spacing w:line="360" w:lineRule="auto"/>
        <w:ind w:firstLine="567"/>
        <w:jc w:val="both"/>
        <w:rPr>
          <w:sz w:val="24"/>
          <w:szCs w:val="24"/>
        </w:rPr>
      </w:pPr>
    </w:p>
    <w:p w:rsidR="0035137C" w:rsidRDefault="0035137C">
      <w:pPr>
        <w:spacing w:line="360" w:lineRule="auto"/>
        <w:ind w:firstLine="567"/>
        <w:jc w:val="both"/>
        <w:rPr>
          <w:sz w:val="24"/>
          <w:szCs w:val="24"/>
        </w:rPr>
      </w:pPr>
    </w:p>
    <w:p w:rsidR="0035137C" w:rsidRDefault="000D7273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ВЫВОДЫ</w:t>
      </w:r>
    </w:p>
    <w:p w:rsidR="0035137C" w:rsidRDefault="0035137C">
      <w:pPr>
        <w:spacing w:line="360" w:lineRule="auto"/>
        <w:ind w:firstLine="567"/>
        <w:jc w:val="both"/>
        <w:rPr>
          <w:sz w:val="24"/>
          <w:szCs w:val="24"/>
        </w:rPr>
      </w:pPr>
    </w:p>
    <w:p w:rsidR="0035137C" w:rsidRDefault="000D7273">
      <w:pPr>
        <w:numPr>
          <w:ilvl w:val="0"/>
          <w:numId w:val="2"/>
        </w:num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Клиническая картина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тяжелых форм дизентерии Флекснера 2а в период эпидемического подъема 1994-1996 гг характеризовалась выраженными симптомами общей интоксикации и колитическим синдромом с преобладанием в дистальном отделе толстой кишки катарально-геморрагического, эрозивно-язвенного воспаления. Заболевание сопровождалось развитием инфекционно-токсического шока, геморрагическим синдромом, острой почечной недостаточностью.</w:t>
      </w:r>
    </w:p>
    <w:p w:rsidR="0035137C" w:rsidRDefault="000D7273">
      <w:pPr>
        <w:numPr>
          <w:ilvl w:val="0"/>
          <w:numId w:val="2"/>
        </w:num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Клиническая картина у умерших больных характеризовалась относительно невысокой лихорадкой, небольшой частотой стула, расстройствами сознания, адинамией. У 91,7 % умерших наряду с тотальным поражением толстой кишки воспалительный процесс распространялся на подвздошную, реже тощую кишки. Наиболее выраженные изменения наблюдались обычно в толстой кишке, где у 55,6 %  умерших обнаружен язвенный процесс, а в 16,0 % случаев наблюдался флегмонозно-некротический характер воспаления. Данные воспалительные изменения сопровождались развитием дистрофических изменений и нарушением функций внутренних органов (миокарда, почек, печени), что утяжеляло состояние больных и способствовало наступлению летального исхода. В большинстве случаев причиной смерти больных была тяжелая интоксикация, связанная с воспалительными изменениями в кишке. Наступлению летальных исходов способствовали различные осложнения, среди которых наиболее частыми были отек легких и отек мозговых оболочек, пневмония, перитонит, септицемия, тромбэмболия ветвей легочной артерии. </w:t>
      </w:r>
    </w:p>
    <w:p w:rsidR="0035137C" w:rsidRDefault="000D7273">
      <w:pPr>
        <w:numPr>
          <w:ilvl w:val="0"/>
          <w:numId w:val="2"/>
        </w:num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 больных со среднетяжелым и тяжелым течением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дизентерии Флекснера в период разгара заболевания (на 5-10 день болезни) преобладали признаки гиперкоагуляции, связанной с повышением активности плазменно-коагуляционного и тромбоцитарного звеньев гемостаза. Эти изменения сопровождались повышением активности  наиболее важного антикоагулянта - антитромбина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, в меньшей степени выраженным у больных тяжелыми формами заболевания. При своевременной антибактериальной терапии фторхинолонами и адекватной инфузионной терапии у больных среднетяжелыми и тяжелыми формами, как правило, наблюдалось клиническое выздоровление, что сопровождалось улучшением и постепенной нормализацией показателей гемостаза. </w:t>
      </w:r>
    </w:p>
    <w:p w:rsidR="0035137C" w:rsidRDefault="000D7273">
      <w:pPr>
        <w:numPr>
          <w:ilvl w:val="0"/>
          <w:numId w:val="2"/>
        </w:num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больных тяжелыми формами дизентерии при наличии гемоколита и выраженных эрозивно-язвенных изменений в кишке наблюдалось потребление факторов свертывания, антитромбина III, тромбоцитов с преобладанием признаков гипокоагуляции. Клинически развитие ДВС синдрома сопровождалось  кровоточивостью в местах инъекций, гемоколитом, а также развитием тромботических осложнений. При этом оперативные вмешательства, а также простые диагностические и лечебные манипуляции с возможным повреждением тканей и сосудов усиливали процесс потребления факторов плазменно-коагуляционного и тромбоцитарного гемостаза у данных больных и тем самым способствовали прогрессированию ДВС синдрома с развитием тромбогеморрагических осложнений. </w:t>
      </w:r>
    </w:p>
    <w:p w:rsidR="0035137C" w:rsidRDefault="000D7273">
      <w:pPr>
        <w:numPr>
          <w:ilvl w:val="0"/>
          <w:numId w:val="2"/>
        </w:num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Популяция штаммов шигелл Флекснера 2а, циркулировавших в 1994-1995 годах в Санкт-Петербурге, была неоднородна по своим биологическим свойствам. Установлена циркуляция 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 xml:space="preserve"> ферментативных вариантов и </w:t>
      </w:r>
      <w:r>
        <w:rPr>
          <w:sz w:val="24"/>
          <w:szCs w:val="24"/>
          <w:lang w:val="en-US"/>
        </w:rPr>
        <w:t>11</w:t>
      </w:r>
      <w:r>
        <w:rPr>
          <w:sz w:val="24"/>
          <w:szCs w:val="24"/>
        </w:rPr>
        <w:t xml:space="preserve"> вариантов по чувствительности к колицинам из коллекции Фредерика.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Однако, связи между микробиологическими особенностями возбудителя и характером течения заболевания выявлено не было. В этот период наблюдалась высокая устойчивость выделенных культур Флекснера 2а к традиционно используемым антибактериальным препаратам. Отмечена высокая чувствительность (100 % выделенных культур) к фторхинолонам (офлоксацину, ципрофлоксацину). </w:t>
      </w:r>
    </w:p>
    <w:p w:rsidR="0035137C" w:rsidRDefault="000D7273">
      <w:pPr>
        <w:numPr>
          <w:ilvl w:val="0"/>
          <w:numId w:val="2"/>
        </w:num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Установлена терапевтическая эффективность фторхинолонов (офлоксацина и ципрофлоксацина) при среднетяжелых и тяжелых формах дизентерии. В лечении больных со среднетяжелым течением дизентерии оптимальным является пероральный прием данных препаратов. При тяжелых формах заболевания целесообразно увеличение дозы фторхинолонов и совмещение их перорального приема с парентеральным введением. </w:t>
      </w:r>
    </w:p>
    <w:p w:rsidR="0035137C" w:rsidRDefault="0035137C">
      <w:pPr>
        <w:spacing w:line="360" w:lineRule="auto"/>
        <w:ind w:firstLine="567"/>
        <w:jc w:val="both"/>
        <w:rPr>
          <w:sz w:val="24"/>
          <w:szCs w:val="24"/>
          <w:lang w:val="en-US"/>
        </w:rPr>
      </w:pPr>
    </w:p>
    <w:p w:rsidR="0035137C" w:rsidRDefault="0035137C">
      <w:pPr>
        <w:spacing w:line="360" w:lineRule="auto"/>
        <w:ind w:firstLine="567"/>
        <w:jc w:val="both"/>
        <w:rPr>
          <w:sz w:val="24"/>
          <w:szCs w:val="24"/>
          <w:lang w:val="en-US"/>
        </w:rPr>
      </w:pPr>
    </w:p>
    <w:p w:rsidR="0035137C" w:rsidRDefault="000D7273">
      <w:pPr>
        <w:spacing w:line="360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ПРАКТИЧЕСКИЕ РЕКОМЕНДАЦИИ.</w:t>
      </w:r>
    </w:p>
    <w:p w:rsidR="0035137C" w:rsidRDefault="0035137C">
      <w:pPr>
        <w:spacing w:line="360" w:lineRule="auto"/>
        <w:ind w:firstLine="567"/>
        <w:jc w:val="center"/>
        <w:rPr>
          <w:sz w:val="24"/>
          <w:szCs w:val="24"/>
        </w:rPr>
      </w:pP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Рекомендуется провести исследование возможности применения дезагрегантной терапии у больных дизентерией с выраженными признаками внутрисосудистого свертывания, с целью профилактики тромботических осложнений. 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Выявленные клинико-лабораторные особенности позволяют рекомендовать исследование антитромбина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, количества тромбоцитов, их внутрисосудистой активации и агрегации, как высокоинформативных показателей прогноза развития тромбогеморрагических осложнений у больных с тяжелыми формами дизентерии.   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качестве средства этиотропной терапии больных дизентерией Флекснера 2а могут быть рекомендованы препараты группы фторхинолонов (офлоксацин и ципрофлоксацин) при среднетяжелом течении заболевания перорально в дозе 200-250 мг 2 раза в сутки в течение 5 суток, а при тяжелом течении дизентерии целесообразно пероральное применение данных препаратов в дозе 400-500 мг 2 раза в сутки и паралельно их внутривенное введение в дозе 200 мг 2 раза в день.</w:t>
      </w:r>
    </w:p>
    <w:p w:rsidR="0035137C" w:rsidRDefault="0035137C">
      <w:pPr>
        <w:spacing w:line="360" w:lineRule="auto"/>
        <w:ind w:firstLine="567"/>
        <w:jc w:val="both"/>
        <w:rPr>
          <w:sz w:val="24"/>
          <w:szCs w:val="24"/>
        </w:rPr>
      </w:pPr>
    </w:p>
    <w:p w:rsidR="0035137C" w:rsidRDefault="0035137C">
      <w:pPr>
        <w:spacing w:line="360" w:lineRule="auto"/>
        <w:ind w:firstLine="567"/>
        <w:jc w:val="both"/>
        <w:rPr>
          <w:sz w:val="24"/>
          <w:szCs w:val="24"/>
        </w:rPr>
      </w:pPr>
    </w:p>
    <w:p w:rsidR="0035137C" w:rsidRDefault="0035137C">
      <w:pPr>
        <w:spacing w:line="360" w:lineRule="auto"/>
        <w:ind w:firstLine="567"/>
        <w:jc w:val="both"/>
        <w:rPr>
          <w:sz w:val="24"/>
          <w:szCs w:val="24"/>
        </w:rPr>
      </w:pPr>
    </w:p>
    <w:p w:rsidR="0035137C" w:rsidRDefault="0035137C">
      <w:pPr>
        <w:spacing w:line="360" w:lineRule="auto"/>
        <w:ind w:firstLine="567"/>
        <w:jc w:val="both"/>
        <w:rPr>
          <w:sz w:val="24"/>
          <w:szCs w:val="24"/>
        </w:rPr>
      </w:pPr>
    </w:p>
    <w:p w:rsidR="0035137C" w:rsidRDefault="0035137C">
      <w:pPr>
        <w:spacing w:line="360" w:lineRule="auto"/>
        <w:ind w:firstLine="567"/>
        <w:jc w:val="both"/>
        <w:rPr>
          <w:sz w:val="24"/>
          <w:szCs w:val="24"/>
        </w:rPr>
      </w:pPr>
    </w:p>
    <w:p w:rsidR="0035137C" w:rsidRDefault="0035137C">
      <w:pPr>
        <w:spacing w:line="360" w:lineRule="auto"/>
        <w:ind w:firstLine="567"/>
        <w:jc w:val="both"/>
        <w:rPr>
          <w:sz w:val="24"/>
          <w:szCs w:val="24"/>
        </w:rPr>
      </w:pPr>
    </w:p>
    <w:p w:rsidR="0035137C" w:rsidRDefault="0035137C">
      <w:pPr>
        <w:spacing w:line="360" w:lineRule="auto"/>
        <w:ind w:firstLine="567"/>
        <w:jc w:val="both"/>
        <w:rPr>
          <w:sz w:val="24"/>
          <w:szCs w:val="24"/>
        </w:rPr>
      </w:pPr>
    </w:p>
    <w:p w:rsidR="0035137C" w:rsidRDefault="0035137C">
      <w:pPr>
        <w:spacing w:line="360" w:lineRule="auto"/>
        <w:ind w:firstLine="567"/>
        <w:jc w:val="both"/>
        <w:rPr>
          <w:sz w:val="24"/>
          <w:szCs w:val="24"/>
        </w:rPr>
      </w:pPr>
    </w:p>
    <w:p w:rsidR="0035137C" w:rsidRDefault="0035137C">
      <w:pPr>
        <w:spacing w:line="360" w:lineRule="auto"/>
        <w:ind w:firstLine="567"/>
        <w:jc w:val="both"/>
        <w:rPr>
          <w:sz w:val="24"/>
          <w:szCs w:val="24"/>
        </w:rPr>
      </w:pPr>
    </w:p>
    <w:p w:rsidR="0035137C" w:rsidRDefault="0035137C">
      <w:pPr>
        <w:spacing w:line="360" w:lineRule="auto"/>
        <w:ind w:firstLine="567"/>
        <w:jc w:val="both"/>
        <w:rPr>
          <w:sz w:val="24"/>
          <w:szCs w:val="24"/>
        </w:rPr>
      </w:pPr>
    </w:p>
    <w:p w:rsidR="0035137C" w:rsidRDefault="0035137C">
      <w:pPr>
        <w:spacing w:line="360" w:lineRule="auto"/>
        <w:ind w:firstLine="567"/>
        <w:jc w:val="both"/>
        <w:rPr>
          <w:sz w:val="24"/>
          <w:szCs w:val="24"/>
        </w:rPr>
      </w:pPr>
    </w:p>
    <w:p w:rsidR="0035137C" w:rsidRDefault="000D7273">
      <w:pPr>
        <w:spacing w:line="360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 РАБОТ, ОПУБЛИКОВАННЫХ ПО ТЕМЕ ДИССЕРТАЦИИ</w:t>
      </w:r>
    </w:p>
    <w:p w:rsidR="0035137C" w:rsidRDefault="0035137C">
      <w:pPr>
        <w:spacing w:line="360" w:lineRule="auto"/>
        <w:ind w:firstLine="567"/>
        <w:jc w:val="both"/>
        <w:rPr>
          <w:sz w:val="24"/>
          <w:szCs w:val="24"/>
        </w:rPr>
      </w:pP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Патоморфоз шигеллеза Флекснера 2а в Санкт-Петербурге // Международные симпозиумы, посвященные году Пастера “Идеи Пастера в борьбе с инфекциями”. - Тез. докл. СПб., 1995. - С. 64. (Соавторы Цинзерлинг В.А., Неверов В.А., Ремезов А.П., Комарова Д.В., Васин Ю.В., Чуприна В.Д.)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Лечение дизентерии Флекснера офлоксацином // Антибиотики и химиотерапия 1996 Т.41. - № 9, - С. 95. (Соавтор Рахманова А.Г.) 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 лечении среднетяжелых и тяжелых форм дизентерии Флекснера 2а   (Соавторы Рахманова А.Г., Неверов В.А., Цинзерлинг В.Ф., Романенкова Н.И., Васин Ю.В., Гольцова Е.Ю., Фазылов В.Х.) // Казанский мед. журн. - 1997. - № 4. - С. 82-85.   </w:t>
      </w:r>
    </w:p>
    <w:p w:rsidR="0035137C" w:rsidRDefault="000D727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Применение офлоксацина (Таривида) в терапии шигеллеза Флекснера // Вирусные гепатиты и другие актуальные инфекции. - СПб.: “ССЗ”, С. 136-139. (Соавторы Рахманова А.Г., Неверов В.А., Цинзерлинг В.Ф.)</w:t>
      </w:r>
      <w:bookmarkStart w:id="0" w:name="_GoBack"/>
      <w:bookmarkEnd w:id="0"/>
    </w:p>
    <w:sectPr w:rsidR="0035137C">
      <w:type w:val="oddPage"/>
      <w:pgSz w:w="11907" w:h="16840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37C" w:rsidRDefault="000D7273">
      <w:r>
        <w:separator/>
      </w:r>
    </w:p>
  </w:endnote>
  <w:endnote w:type="continuationSeparator" w:id="0">
    <w:p w:rsidR="0035137C" w:rsidRDefault="000D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37C" w:rsidRDefault="000D7273">
      <w:r>
        <w:separator/>
      </w:r>
    </w:p>
  </w:footnote>
  <w:footnote w:type="continuationSeparator" w:id="0">
    <w:p w:rsidR="0035137C" w:rsidRDefault="000D7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37C" w:rsidRDefault="000D7273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20</w:t>
    </w:r>
    <w:r>
      <w:rPr>
        <w:rStyle w:val="a6"/>
      </w:rPr>
      <w:fldChar w:fldCharType="end"/>
    </w:r>
  </w:p>
  <w:p w:rsidR="0035137C" w:rsidRDefault="003513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670A"/>
    <w:multiLevelType w:val="singleLevel"/>
    <w:tmpl w:val="5098284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">
    <w:nsid w:val="745373A7"/>
    <w:multiLevelType w:val="singleLevel"/>
    <w:tmpl w:val="509828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273"/>
    <w:rsid w:val="000D7273"/>
    <w:rsid w:val="0035137C"/>
    <w:rsid w:val="00E1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C29997-B4E4-476C-9094-F040EBB2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6">
    <w:name w:val="номер страницы"/>
    <w:basedOn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6914</Words>
  <Characters>39411</Characters>
  <Application>Microsoft Office Word</Application>
  <DocSecurity>0</DocSecurity>
  <Lines>328</Lines>
  <Paragraphs>92</Paragraphs>
  <ScaleCrop>false</ScaleCrop>
  <Company>Оргметодотдел</Company>
  <LinksUpToDate>false</LinksUpToDate>
  <CharactersWithSpaces>46233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правах рукописи</dc:title>
  <dc:subject/>
  <dc:creator>Покупатель</dc:creator>
  <cp:keywords/>
  <dc:description/>
  <cp:lastModifiedBy>admin</cp:lastModifiedBy>
  <cp:revision>2</cp:revision>
  <cp:lastPrinted>1997-12-22T12:16:00Z</cp:lastPrinted>
  <dcterms:created xsi:type="dcterms:W3CDTF">2014-02-18T20:39:00Z</dcterms:created>
  <dcterms:modified xsi:type="dcterms:W3CDTF">2014-02-18T20:39:00Z</dcterms:modified>
</cp:coreProperties>
</file>