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09" w:rsidRPr="00A276FF" w:rsidRDefault="00CD1409" w:rsidP="00531D7C">
      <w:pPr>
        <w:pStyle w:val="a8"/>
        <w:spacing w:before="0" w:line="360" w:lineRule="auto"/>
        <w:ind w:firstLine="709"/>
        <w:jc w:val="both"/>
        <w:rPr>
          <w:rFonts w:ascii="Times New Roman" w:hAnsi="Times New Roman"/>
          <w:i/>
          <w:color w:val="auto"/>
        </w:rPr>
      </w:pPr>
      <w:r w:rsidRPr="00A276FF">
        <w:rPr>
          <w:rFonts w:ascii="Times New Roman" w:hAnsi="Times New Roman"/>
          <w:i/>
          <w:color w:val="auto"/>
        </w:rPr>
        <w:t>Содержание</w:t>
      </w:r>
    </w:p>
    <w:p w:rsidR="00CD1409" w:rsidRPr="00A276FF" w:rsidRDefault="00CD1409" w:rsidP="00531D7C">
      <w:pPr>
        <w:rPr>
          <w:szCs w:val="28"/>
          <w:lang w:eastAsia="ru-RU"/>
        </w:rPr>
      </w:pPr>
    </w:p>
    <w:p w:rsidR="00CD1409" w:rsidRPr="00A276FF" w:rsidRDefault="00CD1409" w:rsidP="00A276FF">
      <w:pPr>
        <w:pStyle w:val="21"/>
        <w:tabs>
          <w:tab w:val="right" w:leader="dot" w:pos="9628"/>
        </w:tabs>
        <w:spacing w:after="0"/>
        <w:ind w:left="0" w:firstLine="0"/>
        <w:rPr>
          <w:noProof/>
          <w:szCs w:val="28"/>
        </w:rPr>
      </w:pPr>
      <w:r w:rsidRPr="007657AB">
        <w:rPr>
          <w:noProof/>
          <w:szCs w:val="28"/>
        </w:rPr>
        <w:t>Вступление</w:t>
      </w:r>
    </w:p>
    <w:p w:rsidR="00CD1409" w:rsidRPr="00A276FF" w:rsidRDefault="00CD1409" w:rsidP="00A276FF">
      <w:pPr>
        <w:pStyle w:val="21"/>
        <w:tabs>
          <w:tab w:val="left" w:pos="660"/>
          <w:tab w:val="right" w:leader="dot" w:pos="9628"/>
        </w:tabs>
        <w:spacing w:after="0"/>
        <w:ind w:left="0" w:firstLine="0"/>
        <w:rPr>
          <w:noProof/>
          <w:szCs w:val="28"/>
        </w:rPr>
      </w:pPr>
      <w:r w:rsidRPr="007657AB">
        <w:rPr>
          <w:noProof/>
          <w:szCs w:val="28"/>
          <w:lang w:eastAsia="ru-RU"/>
        </w:rPr>
        <w:t>1.</w:t>
      </w:r>
      <w:r w:rsidRPr="00A276FF">
        <w:rPr>
          <w:noProof/>
          <w:szCs w:val="28"/>
        </w:rPr>
        <w:tab/>
      </w:r>
      <w:r w:rsidRPr="007657AB">
        <w:rPr>
          <w:noProof/>
          <w:szCs w:val="28"/>
          <w:lang w:eastAsia="ru-RU"/>
        </w:rPr>
        <w:t>Фундаментальный анализ инвестиционной привлекательности ценных бумаг</w:t>
      </w:r>
    </w:p>
    <w:p w:rsidR="00CD1409" w:rsidRPr="00A276FF" w:rsidRDefault="00CD1409" w:rsidP="00A276FF">
      <w:pPr>
        <w:pStyle w:val="21"/>
        <w:tabs>
          <w:tab w:val="left" w:pos="660"/>
          <w:tab w:val="right" w:leader="dot" w:pos="9628"/>
        </w:tabs>
        <w:spacing w:after="0"/>
        <w:ind w:left="0" w:firstLine="0"/>
        <w:rPr>
          <w:noProof/>
          <w:szCs w:val="28"/>
        </w:rPr>
      </w:pPr>
      <w:r w:rsidRPr="007657AB">
        <w:rPr>
          <w:noProof/>
          <w:szCs w:val="28"/>
          <w:lang w:eastAsia="ru-RU"/>
        </w:rPr>
        <w:t>2.</w:t>
      </w:r>
      <w:r w:rsidRPr="00A276FF">
        <w:rPr>
          <w:noProof/>
          <w:szCs w:val="28"/>
        </w:rPr>
        <w:tab/>
      </w:r>
      <w:r w:rsidRPr="007657AB">
        <w:rPr>
          <w:noProof/>
          <w:szCs w:val="28"/>
          <w:lang w:eastAsia="ru-RU"/>
        </w:rPr>
        <w:t>Технический анализ инвестиционной привлекательности ценных бумаг</w:t>
      </w:r>
    </w:p>
    <w:p w:rsidR="00CD1409" w:rsidRPr="00A276FF" w:rsidRDefault="00CD1409" w:rsidP="00A276FF">
      <w:pPr>
        <w:pStyle w:val="21"/>
        <w:tabs>
          <w:tab w:val="left" w:pos="660"/>
          <w:tab w:val="right" w:leader="dot" w:pos="9628"/>
        </w:tabs>
        <w:spacing w:after="0"/>
        <w:ind w:left="0" w:firstLine="0"/>
        <w:rPr>
          <w:noProof/>
          <w:szCs w:val="28"/>
        </w:rPr>
      </w:pPr>
      <w:r w:rsidRPr="007657AB">
        <w:rPr>
          <w:noProof/>
          <w:szCs w:val="28"/>
          <w:lang w:eastAsia="ru-RU"/>
        </w:rPr>
        <w:t>3.</w:t>
      </w:r>
      <w:r w:rsidRPr="00A276FF">
        <w:rPr>
          <w:noProof/>
          <w:szCs w:val="28"/>
        </w:rPr>
        <w:tab/>
      </w:r>
      <w:r w:rsidRPr="007657AB">
        <w:rPr>
          <w:noProof/>
          <w:szCs w:val="28"/>
          <w:lang w:eastAsia="ru-RU"/>
        </w:rPr>
        <w:t>Дисконтирование и компаундинг в оценке финансовых активов</w:t>
      </w:r>
    </w:p>
    <w:p w:rsidR="00CD1409" w:rsidRPr="00A276FF" w:rsidRDefault="00CD1409" w:rsidP="00A276FF">
      <w:pPr>
        <w:pStyle w:val="21"/>
        <w:tabs>
          <w:tab w:val="right" w:leader="dot" w:pos="9628"/>
        </w:tabs>
        <w:spacing w:after="0"/>
        <w:ind w:left="0" w:firstLine="0"/>
        <w:rPr>
          <w:noProof/>
          <w:szCs w:val="28"/>
        </w:rPr>
      </w:pPr>
      <w:r w:rsidRPr="007657AB">
        <w:rPr>
          <w:noProof/>
          <w:szCs w:val="28"/>
          <w:lang w:eastAsia="ru-RU"/>
        </w:rPr>
        <w:t>Выводы</w:t>
      </w:r>
    </w:p>
    <w:p w:rsidR="00CD1409" w:rsidRPr="00A276FF" w:rsidRDefault="00CD1409" w:rsidP="00A276FF">
      <w:pPr>
        <w:pStyle w:val="21"/>
        <w:tabs>
          <w:tab w:val="right" w:leader="dot" w:pos="9628"/>
        </w:tabs>
        <w:spacing w:after="0"/>
        <w:ind w:left="0" w:firstLine="0"/>
      </w:pPr>
      <w:r w:rsidRPr="007657AB">
        <w:rPr>
          <w:noProof/>
          <w:szCs w:val="28"/>
        </w:rPr>
        <w:t>Список использованных источников</w:t>
      </w:r>
    </w:p>
    <w:p w:rsidR="008A4D60" w:rsidRPr="00A276FF" w:rsidRDefault="005D0DBD" w:rsidP="008A4D60">
      <w:pPr>
        <w:pStyle w:val="2"/>
        <w:rPr>
          <w:color w:val="auto"/>
          <w:szCs w:val="28"/>
        </w:rPr>
      </w:pPr>
      <w:r w:rsidRPr="00A276FF">
        <w:rPr>
          <w:bCs w:val="0"/>
          <w:iCs/>
          <w:szCs w:val="28"/>
          <w:lang w:eastAsia="ru-RU"/>
        </w:rPr>
        <w:br w:type="page"/>
      </w:r>
      <w:bookmarkStart w:id="0" w:name="_Toc284074462"/>
      <w:r w:rsidR="008A4D60" w:rsidRPr="00A276FF">
        <w:rPr>
          <w:color w:val="auto"/>
          <w:szCs w:val="28"/>
        </w:rPr>
        <w:t>Вступление</w:t>
      </w:r>
      <w:bookmarkEnd w:id="0"/>
    </w:p>
    <w:p w:rsidR="005D0DBD" w:rsidRPr="00A276FF" w:rsidRDefault="005D0DBD" w:rsidP="00531D7C">
      <w:pPr>
        <w:autoSpaceDE w:val="0"/>
        <w:autoSpaceDN w:val="0"/>
        <w:adjustRightInd w:val="0"/>
        <w:rPr>
          <w:bCs/>
          <w:iCs/>
          <w:szCs w:val="28"/>
          <w:lang w:eastAsia="ru-RU"/>
        </w:rPr>
      </w:pP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Деньги имеют временную стоимость, стоимость, зависящую от времени -</w:t>
      </w:r>
      <w:r w:rsidR="00E50C8A">
        <w:rPr>
          <w:szCs w:val="28"/>
          <w:lang w:eastAsia="ru-RU"/>
        </w:rPr>
        <w:t xml:space="preserve"> </w:t>
      </w:r>
      <w:r w:rsidRPr="00A276FF">
        <w:rPr>
          <w:szCs w:val="28"/>
          <w:lang w:eastAsia="ru-RU"/>
        </w:rPr>
        <w:t>рубль, имеющийся сегодня, стоит дороже, чем рубль, который будет получен завтра. Это связано не только с тем, что инфляция снижает его покупательную способность, но и потому, что рубль, инвестированный сегодня, завтра способен принести доход. Временная стоимость денег является важным их свойством, а потому - важным фактором при принятии решений в финансовой практике вообще и при оценке инвестиций в частности.</w:t>
      </w:r>
    </w:p>
    <w:p w:rsidR="005D0DBD" w:rsidRPr="00A276FF" w:rsidRDefault="005D0DBD" w:rsidP="00531D7C">
      <w:pPr>
        <w:autoSpaceDE w:val="0"/>
        <w:autoSpaceDN w:val="0"/>
        <w:adjustRightInd w:val="0"/>
        <w:rPr>
          <w:bCs/>
          <w:iCs/>
          <w:szCs w:val="28"/>
          <w:lang w:eastAsia="ru-RU"/>
        </w:rPr>
      </w:pPr>
      <w:r w:rsidRPr="00A276FF">
        <w:rPr>
          <w:szCs w:val="28"/>
          <w:lang w:eastAsia="ru-RU"/>
        </w:rPr>
        <w:t>Стоимость любой ценной бумаги (акции, облигации, векселя, депозитного и сберегательного сертификата) определяется, прежде всего, величиной доходов, приносимых этой ценной бумагой. Поступление дохода может быть однократным (как в случае с дисконтными или краткосрочными процентными инструментами) и многократным (как в случае с долгосрочными облигациями или акциями). При этом в любом случае поступление дохода происходит через какой-то промежуток времени, после того как инвестор затратит средства на покупку ценной бумаги. Следовательно, важна не только величина, но и время получения доходов, так как сумма денег, которая имеется сегодня, дороже, чем та же самая сумма, полученная в будущем. Инвесторы это прекрасно понимают и поэтому хотят получить вознаграждение за то, что получат прибыль не в настоящем, а в будущем.</w:t>
      </w:r>
    </w:p>
    <w:p w:rsidR="0094286B" w:rsidRPr="00A276FF" w:rsidRDefault="005D0DBD" w:rsidP="0094286B">
      <w:pPr>
        <w:pStyle w:val="2"/>
        <w:numPr>
          <w:ilvl w:val="0"/>
          <w:numId w:val="11"/>
        </w:numPr>
        <w:ind w:left="0" w:firstLine="709"/>
        <w:rPr>
          <w:color w:val="auto"/>
          <w:szCs w:val="28"/>
          <w:lang w:eastAsia="ru-RU"/>
        </w:rPr>
      </w:pPr>
      <w:r w:rsidRPr="00A276FF">
        <w:rPr>
          <w:bCs w:val="0"/>
          <w:iCs/>
          <w:szCs w:val="28"/>
          <w:lang w:eastAsia="ru-RU"/>
        </w:rPr>
        <w:br w:type="page"/>
      </w:r>
      <w:bookmarkStart w:id="1" w:name="_Toc284074463"/>
      <w:r w:rsidR="0094286B" w:rsidRPr="00A276FF">
        <w:rPr>
          <w:color w:val="auto"/>
          <w:szCs w:val="28"/>
          <w:lang w:eastAsia="ru-RU"/>
        </w:rPr>
        <w:t>Фундаментальный анализ инвестиционной привлекательности ценных бумаг</w:t>
      </w:r>
      <w:bookmarkEnd w:id="1"/>
    </w:p>
    <w:p w:rsidR="005D0DBD" w:rsidRPr="00A276FF" w:rsidRDefault="005D0DBD" w:rsidP="00531D7C">
      <w:pPr>
        <w:autoSpaceDE w:val="0"/>
        <w:autoSpaceDN w:val="0"/>
        <w:adjustRightInd w:val="0"/>
        <w:rPr>
          <w:bCs/>
          <w:iCs/>
          <w:szCs w:val="28"/>
          <w:lang w:eastAsia="ru-RU"/>
        </w:rPr>
      </w:pP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Осуществление эффективной инвестиционной деятельности требует информации об окружающей экономической среде, об изменении основных факторов этой среды, поскольку эта информация в значительной степени определяет состояние объекта инвестирования. К этим фундаментальным факторам можно отнести валовой внутренний продукт, инфляция, валютный курс, процентные кредитные ставки, параметры федерального и регионального бюджета, состояние денежной сферы, торгового и платежного баланса, проводимая государством финансовая и денежно-кредитная политика. Кроме этих факторов инвестору при принятии решений необходима информация об инвестиционной привлекательности конкретных регионов, отраслей народного хозяйства и отдельных предприятий. Все указанные факторы определяют протекание экономических, в том числе и инвестиционных процессов - в частности, процессов, протекающих на фондовом рынке. Анализ этих фундаментальных факторов для оценки инвестиционной привлекательности ценных бумаг называется фундаментальным анализом. Профессиональный подход к оценке качества ценных бумаг, называемый фундаментальным анализом, позволяет инвестору выбрать конкретный финансовый актив конкретного эмитента для инвестирования средств.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Фундаментальный анализ проводится на четырех уровнях: макроэкономический, региональный, отраслевой и микроэкономический.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Макроэкономический фундаментальный анализ предназначен для выявления общих тенденций, характеризующих состояние экономики страны в целом и крупные ее частей, таких, как промышленность, сельское хозяйство и т.д. Анализ состояния экономики страны в целом показывает, насколько благоприятна общая макроэкономическая ситуация для инвестирования.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Результаты данного анализа и прогнозы развития осуществляются специализированными организациями и публикуются в печати. В макроэкономическом фундаментальном анализе можно выделить следующие блоки: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валовой внутренний продукт (ВВП), производство и услуги;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доходы населения и структура доходов, рынок трудовых ресурсов, занятость;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платежный баланс;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денежная сфера, кредитно-денежная политика, валютные курсы;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федеральный бюджет, финансовая политика, система налогообложения;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фондовый рынок, динамика (кинетика) фондовых индексов;</w:t>
      </w:r>
    </w:p>
    <w:p w:rsidR="005D0DBD" w:rsidRPr="00A276FF" w:rsidRDefault="005D0DBD" w:rsidP="00531D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инфляция.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iCs/>
          <w:szCs w:val="28"/>
          <w:lang w:eastAsia="ru-RU"/>
        </w:rPr>
        <w:t xml:space="preserve">Фундаментальный анализ </w:t>
      </w:r>
      <w:r w:rsidRPr="00A276FF">
        <w:rPr>
          <w:szCs w:val="28"/>
          <w:lang w:eastAsia="ru-RU"/>
        </w:rPr>
        <w:t>регионального уровня аналогичен макроэкономическому фундаментальному анализу (с поправкой на масштаб) и оперирует экономическими факторами, которые характерны для данного региона.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Третий уровень - отраслевой фундаментальный анализ. Цель отраслевого фундаментального анализа - оценка инвестиционной привлекательности отрасли, в которую предполагается осуществить вложение экономических ресурсов. Инвестиционная привлекательность отрасли можно характеризовать следующими основными показателями:</w:t>
      </w:r>
    </w:p>
    <w:p w:rsidR="005D0DBD" w:rsidRPr="00A276FF" w:rsidRDefault="005D0DBD" w:rsidP="00531D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темпы роста объемов промышленного производства;</w:t>
      </w:r>
    </w:p>
    <w:p w:rsidR="005D0DBD" w:rsidRPr="00A276FF" w:rsidRDefault="005D0DBD" w:rsidP="00531D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рентабельность производства и активов;</w:t>
      </w:r>
    </w:p>
    <w:p w:rsidR="005D0DBD" w:rsidRPr="00A276FF" w:rsidRDefault="005D0DBD" w:rsidP="00531D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скорость оборота капитала;</w:t>
      </w:r>
    </w:p>
    <w:p w:rsidR="005D0DBD" w:rsidRPr="00A276FF" w:rsidRDefault="005D0DBD" w:rsidP="00531D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темпы роста цен на факторы производства, которые используются в отрасли (сырье, материалы, комплектующие изделия, заработная плата и др.);</w:t>
      </w:r>
    </w:p>
    <w:p w:rsidR="005D0DBD" w:rsidRPr="00A276FF" w:rsidRDefault="005D0DBD" w:rsidP="00531D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значения уровней финансового и производственного рычагов;</w:t>
      </w:r>
    </w:p>
    <w:p w:rsidR="005D0DBD" w:rsidRPr="00A276FF" w:rsidRDefault="005D0DBD" w:rsidP="00531D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инновационные показатели: уровень патентно-лицензионной и изобретательской деятельности, число реализованных научно-исследовательских и опытно-конструкторских работ.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В целях анализа отрасли можно группировать следующим образом:</w:t>
      </w:r>
    </w:p>
    <w:p w:rsidR="005D0DBD" w:rsidRPr="00A276FF" w:rsidRDefault="005D0DBD" w:rsidP="00531D7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нарождающиеся отрасли;</w:t>
      </w:r>
    </w:p>
    <w:p w:rsidR="005D0DBD" w:rsidRPr="00A276FF" w:rsidRDefault="005D0DBD" w:rsidP="00531D7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растущие, развивающиеся отрасли;</w:t>
      </w:r>
    </w:p>
    <w:p w:rsidR="005D0DBD" w:rsidRPr="00A276FF" w:rsidRDefault="005D0DBD" w:rsidP="00531D7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стабильные отрасли;</w:t>
      </w:r>
    </w:p>
    <w:p w:rsidR="005D0DBD" w:rsidRPr="00A276FF" w:rsidRDefault="005D0DBD" w:rsidP="00531D7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цикличные отрасли;</w:t>
      </w:r>
    </w:p>
    <w:p w:rsidR="005D0DBD" w:rsidRPr="00A276FF" w:rsidRDefault="005D0DBD" w:rsidP="00531D7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увядающие (стареющие) отрасли;</w:t>
      </w:r>
    </w:p>
    <w:p w:rsidR="005D0DBD" w:rsidRPr="00A276FF" w:rsidRDefault="005D0DBD" w:rsidP="00531D7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спекулятивные отрасли.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По итогам этого анализа инвестор выбирает отрасль для вложения средств - даже при неблагоприятной общей макроэкономической ситуации можно найти отрасли, куда возможно с выгодой вложить средства.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 xml:space="preserve">Четвертый уровень фундаментального анализа - анализ </w:t>
      </w:r>
      <w:r w:rsidRPr="00A276FF">
        <w:rPr>
          <w:iCs/>
          <w:szCs w:val="28"/>
          <w:lang w:eastAsia="ru-RU"/>
        </w:rPr>
        <w:t xml:space="preserve">компании-эмитента </w:t>
      </w:r>
      <w:r w:rsidRPr="00A276FF">
        <w:rPr>
          <w:szCs w:val="28"/>
          <w:lang w:eastAsia="ru-RU"/>
        </w:rPr>
        <w:t xml:space="preserve">анализируемых ценных бумаг. Анализ данного вида является наиболее трудоемким и сложным анализом и проводится в двух вариантах: анализ финансовой отчетности предприятия (финансово-экономический анализ) и анализ факторов, определяющих стоимость ценных бумаг </w:t>
      </w:r>
      <w:r w:rsidRPr="00A276FF">
        <w:rPr>
          <w:iCs/>
          <w:szCs w:val="28"/>
          <w:lang w:eastAsia="ru-RU"/>
        </w:rPr>
        <w:t xml:space="preserve">компании-эмитента. </w:t>
      </w:r>
      <w:r w:rsidRPr="00A276FF">
        <w:rPr>
          <w:szCs w:val="28"/>
          <w:lang w:eastAsia="ru-RU"/>
        </w:rPr>
        <w:t>Информацию, относящуюся к деятельности предприятия необходимо проанализировать за ряд лет (не менее, чем 2-3 последних года). Источники информации для анализа:</w:t>
      </w:r>
    </w:p>
    <w:p w:rsidR="005D0DBD" w:rsidRPr="00A276FF" w:rsidRDefault="005D0DBD" w:rsidP="00531D7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официальная отчетность компании;</w:t>
      </w:r>
    </w:p>
    <w:p w:rsidR="005D0DBD" w:rsidRPr="00A276FF" w:rsidRDefault="005D0DBD" w:rsidP="00531D7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публикации в прессе;</w:t>
      </w:r>
    </w:p>
    <w:p w:rsidR="005D0DBD" w:rsidRPr="00A276FF" w:rsidRDefault="005D0DBD" w:rsidP="00531D7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данные компьютерных информационных систем, баз данных;</w:t>
      </w:r>
    </w:p>
    <w:p w:rsidR="005D0DBD" w:rsidRPr="00A276FF" w:rsidRDefault="005D0DBD" w:rsidP="00531D7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выступления руководителей компании;</w:t>
      </w:r>
    </w:p>
    <w:p w:rsidR="005D0DBD" w:rsidRPr="00A276FF" w:rsidRDefault="005D0DBD" w:rsidP="00531D7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результаты исследований специализированных организаций (рейтинги компании-эмитента и конкурирующих компаний).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Можно выделить следующие методы финансово-экономического анализа:</w:t>
      </w:r>
    </w:p>
    <w:p w:rsidR="005D0DBD" w:rsidRPr="00A276FF" w:rsidRDefault="005D0DBD" w:rsidP="00531D7C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горизонтальный анализ, или метод динамических коэффициентов (определение тенденций изменения экономических и финансовых показателей);</w:t>
      </w:r>
    </w:p>
    <w:p w:rsidR="005D0DBD" w:rsidRPr="00A276FF" w:rsidRDefault="005D0DBD" w:rsidP="00531D7C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вертикальный анализ, или метод структурных коэффициентов.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Анализ финансовых показателей деятельности предприятия проводится на основе его финансовой отчетности, среди которой можно выделить: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баланс предприятия (форма № 1);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отчет о прибылях и убытках (форма № 2). При этом анализу подвергаются: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структура активов предприятия и их состояние (оценка имущественного положения);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ликвидность;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финансовая устойчивость;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платежеспособность;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деловая активность;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рентабельность;</w:t>
      </w:r>
    </w:p>
    <w:p w:rsidR="005D0DBD" w:rsidRPr="00A276FF" w:rsidRDefault="005D0DBD" w:rsidP="00531D7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положение на рынке ценных бумаг.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Рассчитываемые показатели ликвидности, платежеспособности, финансовой устойчивости, деловой активности, рентабельности анализируются по годам, сравниваются с аналогичными показателями других компаний, и выявляются тенденции в развитии данной компании.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Кроме общепринятых показателей финансового анализа рассчитывают показатели инвестиционной деятельности компании: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финансовый рычаг (отношение величины заемного капитала предприятия к величине собственного капитала (норма 50% и ниже); причем можно исследовать влияние только долгосрочных кредитов, либо взять сумму долгосрочных и краткосрочных кредитов (тогда коэффициент финансового рычага выше);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рентабельность собственного капитала (отношение чистой (нераспределенной прибыли к величине собственного капитала); при этом исследуется динамика (кинетика) этого показателя;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процентное покрытие по облигациям (сумма прибыли до вычета налогов и процентных платежей, отнесенная к сумме процентов по облигациям), при этом надежными считаются облигации, по которым прибыль превышает сумму процентов по облигациям в 3-4 раза, причем данное соотношение должно быть относительно стабильным$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покрытие дивидендов по привилегированным акциям (отношение суммы чистой прибыли к сумме требуемых дивидендов);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покрытие дивидендов по обыкновенным акциям (отношение разности чистой прибыли и дивидендов по привилегированным акция к величине дивидендов по обыкновенным акциям);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коэффициент выплаты дивидендов (отношение выплаты дивидендов на одну обыкновенную акцию к величине прибыли, приходящейся на одну обыкновенную акцию);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дивидендный доход (отношение дивидендов на одну обыкновенную акцию к рыночной цене акции);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коэффициент уверенности (отношение рыночной цены акции к прибыли на одну акцию), чем выше этот коэффициент, тем в большей степени инвесторы уверены, что будущие доходы превысят прошлые, и что цены на акции вырастут;</w:t>
      </w:r>
    </w:p>
    <w:p w:rsidR="005D0DBD" w:rsidRPr="00A276FF" w:rsidRDefault="005D0DBD" w:rsidP="00531D7C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стоимость чистых активов, приходящихся на облигацию.</w:t>
      </w:r>
    </w:p>
    <w:p w:rsidR="005D0DBD" w:rsidRPr="00A276FF" w:rsidRDefault="005D0DBD" w:rsidP="00531D7C">
      <w:pPr>
        <w:pStyle w:val="a3"/>
        <w:autoSpaceDE w:val="0"/>
        <w:autoSpaceDN w:val="0"/>
        <w:adjustRightInd w:val="0"/>
        <w:ind w:left="0"/>
        <w:contextualSpacing w:val="0"/>
        <w:rPr>
          <w:szCs w:val="28"/>
          <w:lang w:eastAsia="ru-RU"/>
        </w:rPr>
      </w:pPr>
    </w:p>
    <w:p w:rsidR="005D0DBD" w:rsidRPr="00A276FF" w:rsidRDefault="005D0DBD" w:rsidP="00531D7C">
      <w:pPr>
        <w:pStyle w:val="2"/>
        <w:numPr>
          <w:ilvl w:val="0"/>
          <w:numId w:val="11"/>
        </w:numPr>
        <w:ind w:left="0" w:firstLine="709"/>
        <w:rPr>
          <w:color w:val="auto"/>
          <w:szCs w:val="28"/>
          <w:lang w:eastAsia="ru-RU"/>
        </w:rPr>
      </w:pPr>
      <w:bookmarkStart w:id="2" w:name="_Toc284074464"/>
      <w:r w:rsidRPr="00A276FF">
        <w:rPr>
          <w:color w:val="auto"/>
          <w:szCs w:val="28"/>
          <w:lang w:eastAsia="ru-RU"/>
        </w:rPr>
        <w:t>Технический анализ инвестиционной привлекательности ценных бумаг</w:t>
      </w:r>
      <w:bookmarkEnd w:id="2"/>
    </w:p>
    <w:p w:rsidR="005D0DBD" w:rsidRPr="00A276FF" w:rsidRDefault="005D0DBD" w:rsidP="00531D7C">
      <w:pPr>
        <w:autoSpaceDE w:val="0"/>
        <w:autoSpaceDN w:val="0"/>
        <w:adjustRightInd w:val="0"/>
        <w:rPr>
          <w:bCs/>
          <w:iCs/>
          <w:szCs w:val="28"/>
          <w:lang w:eastAsia="ru-RU"/>
        </w:rPr>
      </w:pP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Технический анализ - совокупность методов прогнозирования тенденций изменения цен на фондовом рынке, основанных на обработке графической информации и выполнении статистических расчетов с использованием графического представления информации. Технические аналитики исходят из следующих базовых принципов.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1. Изучение прошлого определяет понимание будущего, будущие изменения цен в существенной мере аналогичны прошлым. На основании изучения цен в прошлом и психологии инвесторов можно предсказывать движение цен в будущем.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2. Цены отражают всю имеющуюся информацию об эмитенте.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3. Динамика (кинетика) цен на фондовые активы подчинена определенной закономерности, в графиках ретроспективной информации учтены все основные факторы, определяющие динамику (кинетику) цен, т.е. тенденции изменения цен закрытия учитывают влияние существенных факторов, определяющих движение цен.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4. Движение цен на финансовые активы имеет характер тренда, т.е. имеет определенную конкретную направленность, которая сохраняется в течение некоторого времени. В техническом анализе различают несколько видов трендов:</w:t>
      </w:r>
    </w:p>
    <w:p w:rsidR="005D0DBD" w:rsidRPr="00A276FF" w:rsidRDefault="005D0DBD" w:rsidP="00531D7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iCs/>
          <w:szCs w:val="28"/>
          <w:lang w:eastAsia="ru-RU"/>
        </w:rPr>
        <w:t xml:space="preserve">бычий </w:t>
      </w:r>
      <w:r w:rsidRPr="00A276FF">
        <w:rPr>
          <w:szCs w:val="28"/>
          <w:lang w:eastAsia="ru-RU"/>
        </w:rPr>
        <w:t>тренд, отражающий тенденцию к повышению цен (аналогия с быком, рогами «поднимающим» цену);</w:t>
      </w:r>
    </w:p>
    <w:p w:rsidR="005D0DBD" w:rsidRPr="00A276FF" w:rsidRDefault="005D0DBD" w:rsidP="00531D7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iCs/>
          <w:szCs w:val="28"/>
          <w:lang w:eastAsia="ru-RU"/>
        </w:rPr>
        <w:t xml:space="preserve">медвежий </w:t>
      </w:r>
      <w:r w:rsidRPr="00A276FF">
        <w:rPr>
          <w:szCs w:val="28"/>
          <w:lang w:eastAsia="ru-RU"/>
        </w:rPr>
        <w:t>тренд, отражающий тенденцию к понижению цен (проводится аналогия с медведем, лапами «подавляющим» цену);</w:t>
      </w:r>
    </w:p>
    <w:p w:rsidR="005D0DBD" w:rsidRPr="00A276FF" w:rsidRDefault="005D0DBD" w:rsidP="00531D7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 xml:space="preserve">тренд «голова - </w:t>
      </w:r>
      <w:r w:rsidRPr="00A276FF">
        <w:rPr>
          <w:iCs/>
          <w:szCs w:val="28"/>
          <w:lang w:eastAsia="ru-RU"/>
        </w:rPr>
        <w:t>плечи»</w:t>
      </w:r>
      <w:r w:rsidRPr="00A276FF">
        <w:rPr>
          <w:szCs w:val="28"/>
          <w:lang w:eastAsia="ru-RU"/>
        </w:rPr>
        <w:t>, отражающий возможную предсказуемую смену бычьего тренда медвежьим (или наоборот);</w:t>
      </w:r>
    </w:p>
    <w:p w:rsidR="005D0DBD" w:rsidRPr="00A276FF" w:rsidRDefault="005D0DBD" w:rsidP="00531D7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iCs/>
          <w:szCs w:val="28"/>
          <w:lang w:eastAsia="ru-RU"/>
        </w:rPr>
        <w:t xml:space="preserve">боковой </w:t>
      </w:r>
      <w:r w:rsidRPr="00A276FF">
        <w:rPr>
          <w:szCs w:val="28"/>
          <w:lang w:eastAsia="ru-RU"/>
        </w:rPr>
        <w:t>тренд (тенденция не выявлена).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Графические методы технического анализа разнообразны, для отображения информации используют:</w:t>
      </w:r>
    </w:p>
    <w:p w:rsidR="005D0DBD" w:rsidRPr="00A276FF" w:rsidRDefault="005D0DBD" w:rsidP="00531D7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линейные графики (уже показанные тренды);</w:t>
      </w:r>
    </w:p>
    <w:p w:rsidR="005D0DBD" w:rsidRPr="00A276FF" w:rsidRDefault="005D0DBD" w:rsidP="00531D7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столбчатые диаграммы;</w:t>
      </w:r>
    </w:p>
    <w:p w:rsidR="008341C8" w:rsidRDefault="005D0DBD" w:rsidP="00531D7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точечно-фигурные диаграммы.</w:t>
      </w:r>
    </w:p>
    <w:p w:rsidR="005D0DBD" w:rsidRPr="008341C8" w:rsidRDefault="008341C8" w:rsidP="008341C8">
      <w:pPr>
        <w:pStyle w:val="a3"/>
        <w:autoSpaceDE w:val="0"/>
        <w:autoSpaceDN w:val="0"/>
        <w:adjustRightInd w:val="0"/>
        <w:ind w:left="0"/>
        <w:contextualSpacing w:val="0"/>
        <w:rPr>
          <w:b/>
          <w:i/>
          <w:lang w:eastAsia="ru-RU"/>
        </w:rPr>
      </w:pPr>
      <w:r>
        <w:rPr>
          <w:lang w:eastAsia="ru-RU"/>
        </w:rPr>
        <w:br w:type="page"/>
      </w:r>
      <w:bookmarkStart w:id="3" w:name="_Toc284074465"/>
      <w:r w:rsidRPr="008341C8">
        <w:rPr>
          <w:b/>
          <w:i/>
          <w:lang w:eastAsia="ru-RU"/>
        </w:rPr>
        <w:t xml:space="preserve">3. </w:t>
      </w:r>
      <w:r w:rsidR="005D0DBD" w:rsidRPr="008341C8">
        <w:rPr>
          <w:b/>
          <w:i/>
          <w:lang w:eastAsia="ru-RU"/>
        </w:rPr>
        <w:t>Дисконтирование и компаундинг в оценке финансовых активов</w:t>
      </w:r>
      <w:bookmarkEnd w:id="3"/>
    </w:p>
    <w:p w:rsidR="005D0DBD" w:rsidRPr="00A276FF" w:rsidRDefault="005D0DBD" w:rsidP="00531D7C">
      <w:pPr>
        <w:autoSpaceDE w:val="0"/>
        <w:autoSpaceDN w:val="0"/>
        <w:adjustRightInd w:val="0"/>
        <w:rPr>
          <w:bCs/>
          <w:iCs/>
          <w:szCs w:val="28"/>
          <w:lang w:eastAsia="ru-RU"/>
        </w:rPr>
      </w:pP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Стоимость любой ценной бумаги (акции, облигации, векселя, депозитного и сберегательного сертификата) определяется, прежде всего, величиной доходов, приносимых этой ценной бумагой. Поступление дохода может быть однократным (как в случае с дисконтными или краткосрочными процентными инструментами) и многократным (как в случае с долгосрочными облигациями или акциями). При этом в любом случае поступление дохода происходит через какой-то промежуток времени, после того как инвестор затратит средства на покупку ценной бумаги. Следовательно, важна не только величина, но и время получения доходов, так как сумма денег, которая имеется сегодня, дороже, чем та же самая сумма, полученная в будущем. Инвесторы это прекрасно понимают и поэтому хотят получить вознаграждение за то, что получат прибыль не в настоящем, а в будущем.</w:t>
      </w:r>
    </w:p>
    <w:p w:rsidR="005D0DBD" w:rsidRPr="00A276FF" w:rsidRDefault="005D0DBD" w:rsidP="00531D7C">
      <w:pPr>
        <w:autoSpaceDE w:val="0"/>
        <w:autoSpaceDN w:val="0"/>
        <w:adjustRightInd w:val="0"/>
        <w:rPr>
          <w:iCs/>
          <w:szCs w:val="28"/>
          <w:lang w:eastAsia="ru-RU"/>
        </w:rPr>
      </w:pPr>
      <w:r w:rsidRPr="00A276FF">
        <w:rPr>
          <w:szCs w:val="28"/>
          <w:lang w:eastAsia="ru-RU"/>
        </w:rPr>
        <w:t>Следовательно, необходим такой метод оценки вложений, на основе которого можно учесть различную стоимость денег во времени. Этот метод - процесс пересчета от настоящей стоимости денег к будущей называется наращением, или компаундингом (</w:t>
      </w:r>
      <w:r w:rsidRPr="00A276FF">
        <w:rPr>
          <w:szCs w:val="28"/>
          <w:lang w:val="en-US" w:eastAsia="ru-RU"/>
        </w:rPr>
        <w:t>compounding</w:t>
      </w:r>
      <w:r w:rsidRPr="00A276FF">
        <w:rPr>
          <w:szCs w:val="28"/>
          <w:lang w:eastAsia="ru-RU"/>
        </w:rPr>
        <w:t xml:space="preserve">) и проводится на основе сложного (кумулятивного) процента. Вычисление на основе сложного (кумулятивного) процента означает, что начисленные на первоначальную сумму проценты к ней присоединяются, а начисление процентов в последующих периодах производится на уже наращенную сумму. Процесс наращения капитала в этом случае происходит с ускорением. Он описывается процедурой, которая по свойствам близка к геометрической прогрессии. Наращение первоначальной суммы (капитала) по сложным процентам называют </w:t>
      </w:r>
      <w:r w:rsidRPr="00A276FF">
        <w:rPr>
          <w:iCs/>
          <w:szCs w:val="28"/>
          <w:lang w:eastAsia="ru-RU"/>
        </w:rPr>
        <w:t>капитализацией.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Различают годовую капитализацию (процентный платеж начисляется и присоединяется к ранее наращенной сумме в конце года), полугодовую, квартальную, месячную и ежедневную. Существует также понятие непрерывного начисления процентов, которое по своему смыслу и расчетным последствиям весьма близко к ежедневному начислению.</w:t>
      </w:r>
    </w:p>
    <w:p w:rsidR="008341C8" w:rsidRPr="00A276FF" w:rsidRDefault="005D0DBD" w:rsidP="008341C8">
      <w:pPr>
        <w:pStyle w:val="2"/>
        <w:rPr>
          <w:color w:val="auto"/>
          <w:lang w:eastAsia="ru-RU"/>
        </w:rPr>
      </w:pPr>
      <w:r w:rsidRPr="00A276FF">
        <w:rPr>
          <w:szCs w:val="28"/>
          <w:lang w:eastAsia="ru-RU"/>
        </w:rPr>
        <w:br w:type="page"/>
      </w:r>
      <w:bookmarkStart w:id="4" w:name="_Toc284074466"/>
      <w:r w:rsidR="008341C8" w:rsidRPr="00A276FF">
        <w:rPr>
          <w:color w:val="auto"/>
          <w:lang w:eastAsia="ru-RU"/>
        </w:rPr>
        <w:t>Выводы</w:t>
      </w:r>
      <w:bookmarkEnd w:id="4"/>
    </w:p>
    <w:p w:rsidR="005D0DBD" w:rsidRPr="00A276FF" w:rsidRDefault="005D0DBD" w:rsidP="00531D7C">
      <w:pPr>
        <w:rPr>
          <w:szCs w:val="28"/>
          <w:lang w:eastAsia="ru-RU"/>
        </w:rPr>
      </w:pP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Фундаментальный анализ проводится на четырех уровнях: макроэкономический, региональный, отраслевой и микроэкономический.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Макроэкономический фундаментальный анализ предназначен для выявления общих тенденций, характеризующих состояние экономики страны в целом и крупные ее частей, таких, как промышленность, сельское хозяйство и т.д. Анализ состояния экономики страны в целом показывает, насколько благоприятна общая макроэкономическая ситуация для инвестирования.</w:t>
      </w:r>
      <w:r w:rsidR="008341C8">
        <w:rPr>
          <w:szCs w:val="28"/>
          <w:lang w:eastAsia="ru-RU"/>
        </w:rPr>
        <w:t xml:space="preserve"> </w:t>
      </w:r>
      <w:r w:rsidRPr="00A276FF">
        <w:rPr>
          <w:szCs w:val="28"/>
          <w:lang w:eastAsia="ru-RU"/>
        </w:rPr>
        <w:t>Результаты данного анализа и прогнозы развития осуществляются специализированными организациями и публикуются в печати.</w:t>
      </w:r>
      <w:r w:rsidR="008341C8">
        <w:rPr>
          <w:szCs w:val="28"/>
          <w:lang w:eastAsia="ru-RU"/>
        </w:rPr>
        <w:t xml:space="preserve"> </w:t>
      </w:r>
      <w:r w:rsidRPr="00A276FF">
        <w:rPr>
          <w:iCs/>
          <w:szCs w:val="28"/>
          <w:lang w:eastAsia="ru-RU"/>
        </w:rPr>
        <w:t xml:space="preserve">Фундаментальный анализ </w:t>
      </w:r>
      <w:r w:rsidRPr="00A276FF">
        <w:rPr>
          <w:szCs w:val="28"/>
          <w:lang w:eastAsia="ru-RU"/>
        </w:rPr>
        <w:t>регионального уровня аналогичен макроэкономическому фундаментальному анализу (с поправкой на масштаб) и оперирует экономическими факторами, которые характерны для данного региона.</w:t>
      </w:r>
    </w:p>
    <w:p w:rsidR="005D0DBD" w:rsidRPr="00A276FF" w:rsidRDefault="005D0DBD" w:rsidP="00531D7C">
      <w:pPr>
        <w:rPr>
          <w:szCs w:val="28"/>
          <w:lang w:eastAsia="ru-RU"/>
        </w:rPr>
      </w:pPr>
      <w:r w:rsidRPr="00A276FF">
        <w:rPr>
          <w:szCs w:val="28"/>
          <w:lang w:eastAsia="ru-RU"/>
        </w:rPr>
        <w:t>Третий уровень - отраслевой фундаментальный анализ. Цель отраслевого фундаментального анализа - оценка инвестиционной привлекательности отрасли, в которую предполагается осуществить вложение экономических ресурсов.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Фондовые ценности реализуются на фондовом рынке. Фондовый рынок подразделяется на первичный и вторичный. На первичном рынке продаются ценные бумаги новых выпусков, а на вторичном осуществляется их перепродажа.</w:t>
      </w:r>
    </w:p>
    <w:p w:rsidR="005D0DBD" w:rsidRPr="00A276FF" w:rsidRDefault="005D0DBD" w:rsidP="00531D7C">
      <w:pPr>
        <w:rPr>
          <w:iCs/>
          <w:szCs w:val="28"/>
          <w:lang w:eastAsia="ru-RU"/>
        </w:rPr>
      </w:pPr>
      <w:r w:rsidRPr="00A276FF">
        <w:rPr>
          <w:szCs w:val="28"/>
          <w:lang w:eastAsia="ru-RU"/>
        </w:rPr>
        <w:t xml:space="preserve">Четвертый уровень фундаментального анализа - анализ </w:t>
      </w:r>
      <w:r w:rsidRPr="00A276FF">
        <w:rPr>
          <w:iCs/>
          <w:szCs w:val="28"/>
          <w:lang w:eastAsia="ru-RU"/>
        </w:rPr>
        <w:t xml:space="preserve">компании-эмитента </w:t>
      </w:r>
      <w:r w:rsidRPr="00A276FF">
        <w:rPr>
          <w:szCs w:val="28"/>
          <w:lang w:eastAsia="ru-RU"/>
        </w:rPr>
        <w:t xml:space="preserve">анализируемых ценных бумаг. Анализ данного вида является наиболее трудоемким и сложным анализом и проводится в двух вариантах: анализ финансовой отчетности предприятия (финансово-экономический анализ) и анализ факторов, определяющих стоимость ценных бумаг </w:t>
      </w:r>
      <w:r w:rsidRPr="00A276FF">
        <w:rPr>
          <w:iCs/>
          <w:szCs w:val="28"/>
          <w:lang w:eastAsia="ru-RU"/>
        </w:rPr>
        <w:t>компании-эмитента.</w:t>
      </w:r>
    </w:p>
    <w:p w:rsidR="005D0DBD" w:rsidRPr="00A276FF" w:rsidRDefault="005D0DBD" w:rsidP="00531D7C">
      <w:pPr>
        <w:rPr>
          <w:szCs w:val="28"/>
          <w:lang w:eastAsia="ru-RU"/>
        </w:rPr>
      </w:pPr>
      <w:r w:rsidRPr="00A276FF">
        <w:rPr>
          <w:szCs w:val="28"/>
          <w:lang w:eastAsia="ru-RU"/>
        </w:rPr>
        <w:t>Технический анализ - совокупность методов прогнозирования тенденций изменения цен на фондовом рынке, основанных на обработке графической информации и выполнении статистических расчетов с использованием графического представления информации.</w:t>
      </w:r>
    </w:p>
    <w:p w:rsidR="005D0DBD" w:rsidRPr="00A276FF" w:rsidRDefault="005D0DBD" w:rsidP="00531D7C">
      <w:pPr>
        <w:autoSpaceDE w:val="0"/>
        <w:autoSpaceDN w:val="0"/>
        <w:adjustRightInd w:val="0"/>
        <w:rPr>
          <w:szCs w:val="28"/>
          <w:lang w:eastAsia="ru-RU"/>
        </w:rPr>
      </w:pPr>
      <w:r w:rsidRPr="00A276FF">
        <w:rPr>
          <w:szCs w:val="28"/>
          <w:lang w:eastAsia="ru-RU"/>
        </w:rPr>
        <w:t>Стоимость любой ценной бумаги (акции, облигации, векселя, депозитного и сберегательного сертификата) определяется, прежде всего, величиной доходов, приносимых этой ценной бумагой. Поступление дохода может быть однократным (как в случае с дисконтными или краткосрочными процентными инструментами) и многократным (как в случае с долгосрочными облигациями или акциями). При этом в любом случае поступление дохода происходит через какой-то промежуток времени, после того как инвестор затратит средства на покупку ценной бумаги. Следовательно, важна не только величина, но и время получения доходов, так как сумма денег, которая имеется сегодня, дороже, чем та же самая сумма, полученная в будущем. Инвесторы это прекрасно понимают и поэтому хотят получить вознаграждение за то, что получат прибыль не в настоящем, а в будущем.</w:t>
      </w:r>
    </w:p>
    <w:p w:rsidR="00CD1409" w:rsidRPr="00A276FF" w:rsidRDefault="005D0DBD" w:rsidP="00531D7C">
      <w:pPr>
        <w:rPr>
          <w:szCs w:val="28"/>
          <w:lang w:eastAsia="ru-RU"/>
        </w:rPr>
      </w:pPr>
      <w:r w:rsidRPr="00A276FF">
        <w:rPr>
          <w:szCs w:val="28"/>
          <w:lang w:eastAsia="ru-RU"/>
        </w:rPr>
        <w:t>Вычисление на основе сложного (кумулятивного) процента означает, что начисленные на первоначальную сумму проценты к ней присоединяются, а начисление процентов в последующих периодах производится на уже наращенную сумму. Процесс наращения капитала в этом случае происходит с ускорением.</w:t>
      </w:r>
    </w:p>
    <w:p w:rsidR="008341C8" w:rsidRPr="00A276FF" w:rsidRDefault="00CD1409" w:rsidP="008341C8">
      <w:pPr>
        <w:pStyle w:val="2"/>
        <w:rPr>
          <w:color w:val="auto"/>
        </w:rPr>
      </w:pPr>
      <w:r w:rsidRPr="00A276FF">
        <w:rPr>
          <w:szCs w:val="28"/>
          <w:lang w:eastAsia="ru-RU"/>
        </w:rPr>
        <w:br w:type="page"/>
      </w:r>
      <w:bookmarkStart w:id="5" w:name="_Toc284074467"/>
      <w:r w:rsidR="008341C8" w:rsidRPr="00A276FF">
        <w:rPr>
          <w:color w:val="auto"/>
        </w:rPr>
        <w:t>Список использованных источников</w:t>
      </w:r>
      <w:bookmarkEnd w:id="5"/>
    </w:p>
    <w:p w:rsidR="00CD1409" w:rsidRPr="00A276FF" w:rsidRDefault="00CD1409" w:rsidP="00531D7C">
      <w:pPr>
        <w:pStyle w:val="a3"/>
        <w:ind w:left="0"/>
        <w:contextualSpacing w:val="0"/>
        <w:rPr>
          <w:szCs w:val="28"/>
        </w:rPr>
      </w:pPr>
    </w:p>
    <w:p w:rsidR="00CD1409" w:rsidRPr="00A276FF" w:rsidRDefault="008341C8" w:rsidP="008341C8">
      <w:pPr>
        <w:pStyle w:val="a3"/>
        <w:numPr>
          <w:ilvl w:val="0"/>
          <w:numId w:val="12"/>
        </w:numPr>
        <w:tabs>
          <w:tab w:val="left" w:pos="280"/>
        </w:tabs>
        <w:ind w:left="0" w:firstLine="0"/>
        <w:contextualSpacing w:val="0"/>
        <w:rPr>
          <w:szCs w:val="28"/>
        </w:rPr>
      </w:pPr>
      <w:r>
        <w:rPr>
          <w:szCs w:val="28"/>
        </w:rPr>
        <w:t>Бланк И.</w:t>
      </w:r>
      <w:r w:rsidR="00CD1409" w:rsidRPr="00A276FF">
        <w:rPr>
          <w:szCs w:val="28"/>
        </w:rPr>
        <w:t>А. Инвестиционный менеджмент. – М.: Ника - Центр, 2010. – 448 с.</w:t>
      </w:r>
    </w:p>
    <w:p w:rsidR="00CD1409" w:rsidRPr="00A276FF" w:rsidRDefault="008341C8" w:rsidP="008341C8">
      <w:pPr>
        <w:pStyle w:val="a3"/>
        <w:numPr>
          <w:ilvl w:val="0"/>
          <w:numId w:val="12"/>
        </w:numPr>
        <w:tabs>
          <w:tab w:val="left" w:pos="280"/>
        </w:tabs>
        <w:ind w:left="0" w:firstLine="0"/>
        <w:contextualSpacing w:val="0"/>
        <w:rPr>
          <w:szCs w:val="28"/>
        </w:rPr>
      </w:pPr>
      <w:r>
        <w:rPr>
          <w:szCs w:val="28"/>
        </w:rPr>
        <w:t>Бочаров В.</w:t>
      </w:r>
      <w:r w:rsidR="00CD1409" w:rsidRPr="00A276FF">
        <w:rPr>
          <w:szCs w:val="28"/>
        </w:rPr>
        <w:t>В.Инвестиционныйменеджмент.– СПб: Питер, 2000. – 160с.</w:t>
      </w:r>
    </w:p>
    <w:p w:rsidR="00CD1409" w:rsidRPr="00A276FF" w:rsidRDefault="008341C8" w:rsidP="008341C8">
      <w:pPr>
        <w:pStyle w:val="a3"/>
        <w:numPr>
          <w:ilvl w:val="0"/>
          <w:numId w:val="12"/>
        </w:numPr>
        <w:tabs>
          <w:tab w:val="left" w:pos="280"/>
        </w:tabs>
        <w:ind w:left="0" w:firstLine="0"/>
        <w:contextualSpacing w:val="0"/>
        <w:rPr>
          <w:szCs w:val="28"/>
        </w:rPr>
      </w:pPr>
      <w:r>
        <w:rPr>
          <w:szCs w:val="28"/>
        </w:rPr>
        <w:t>Лахметкина Н.</w:t>
      </w:r>
      <w:r w:rsidR="00CD1409" w:rsidRPr="00A276FF">
        <w:rPr>
          <w:szCs w:val="28"/>
        </w:rPr>
        <w:t>И. Инвестиционная стратегия предприятия. - М.: КНОРУС, 2006. – 184 с.</w:t>
      </w:r>
    </w:p>
    <w:p w:rsidR="00CD1409" w:rsidRPr="00A276FF" w:rsidRDefault="00CD1409" w:rsidP="008341C8">
      <w:pPr>
        <w:pStyle w:val="a3"/>
        <w:numPr>
          <w:ilvl w:val="0"/>
          <w:numId w:val="12"/>
        </w:numPr>
        <w:tabs>
          <w:tab w:val="left" w:pos="280"/>
        </w:tabs>
        <w:ind w:left="0" w:firstLine="0"/>
        <w:contextualSpacing w:val="0"/>
        <w:rPr>
          <w:szCs w:val="28"/>
        </w:rPr>
      </w:pPr>
      <w:r w:rsidRPr="00A276FF">
        <w:rPr>
          <w:szCs w:val="28"/>
        </w:rPr>
        <w:t>Шабалин А.Н. Инвестиционный анализ. - М.: МФПА, 2004. – 78 с.</w:t>
      </w:r>
    </w:p>
    <w:p w:rsidR="00FC29A3" w:rsidRPr="00A276FF" w:rsidRDefault="00CD1409" w:rsidP="008341C8">
      <w:pPr>
        <w:pStyle w:val="a3"/>
        <w:numPr>
          <w:ilvl w:val="0"/>
          <w:numId w:val="12"/>
        </w:numPr>
        <w:tabs>
          <w:tab w:val="left" w:pos="280"/>
        </w:tabs>
        <w:ind w:left="0" w:firstLine="0"/>
        <w:contextualSpacing w:val="0"/>
        <w:rPr>
          <w:szCs w:val="28"/>
        </w:rPr>
      </w:pPr>
      <w:r w:rsidRPr="00A276FF">
        <w:rPr>
          <w:szCs w:val="28"/>
        </w:rPr>
        <w:t>Вахрин П.И. Инвестиции. – М.: Дашков и К, 2005. – 380 с.</w:t>
      </w:r>
      <w:bookmarkStart w:id="6" w:name="_GoBack"/>
      <w:bookmarkEnd w:id="6"/>
    </w:p>
    <w:sectPr w:rsidR="00FC29A3" w:rsidRPr="00A276FF" w:rsidSect="00A276FF">
      <w:type w:val="nextColumn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4D" w:rsidRDefault="00C0444D" w:rsidP="00CD1409">
      <w:pPr>
        <w:spacing w:line="240" w:lineRule="auto"/>
      </w:pPr>
      <w:r>
        <w:separator/>
      </w:r>
    </w:p>
  </w:endnote>
  <w:endnote w:type="continuationSeparator" w:id="0">
    <w:p w:rsidR="00C0444D" w:rsidRDefault="00C0444D" w:rsidP="00CD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4D" w:rsidRDefault="00C0444D" w:rsidP="00CD1409">
      <w:pPr>
        <w:spacing w:line="240" w:lineRule="auto"/>
      </w:pPr>
      <w:r>
        <w:separator/>
      </w:r>
    </w:p>
  </w:footnote>
  <w:footnote w:type="continuationSeparator" w:id="0">
    <w:p w:rsidR="00C0444D" w:rsidRDefault="00C0444D" w:rsidP="00CD14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481E"/>
    <w:multiLevelType w:val="hybridMultilevel"/>
    <w:tmpl w:val="B666F7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2041971"/>
    <w:multiLevelType w:val="hybridMultilevel"/>
    <w:tmpl w:val="4EDA8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3D5E8A"/>
    <w:multiLevelType w:val="hybridMultilevel"/>
    <w:tmpl w:val="27C4F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CF62DE"/>
    <w:multiLevelType w:val="hybridMultilevel"/>
    <w:tmpl w:val="7A904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DF5B52"/>
    <w:multiLevelType w:val="hybridMultilevel"/>
    <w:tmpl w:val="7D1C2B38"/>
    <w:lvl w:ilvl="0" w:tplc="7B5E4B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E3F3FAA"/>
    <w:multiLevelType w:val="hybridMultilevel"/>
    <w:tmpl w:val="2042C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3057E5"/>
    <w:multiLevelType w:val="hybridMultilevel"/>
    <w:tmpl w:val="54640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855631"/>
    <w:multiLevelType w:val="hybridMultilevel"/>
    <w:tmpl w:val="BE288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6938B1"/>
    <w:multiLevelType w:val="hybridMultilevel"/>
    <w:tmpl w:val="407660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05B50EF"/>
    <w:multiLevelType w:val="hybridMultilevel"/>
    <w:tmpl w:val="81AE65D4"/>
    <w:lvl w:ilvl="0" w:tplc="49780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D0F3347"/>
    <w:multiLevelType w:val="hybridMultilevel"/>
    <w:tmpl w:val="C3E82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C0078F"/>
    <w:multiLevelType w:val="hybridMultilevel"/>
    <w:tmpl w:val="3E9C7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DBD"/>
    <w:rsid w:val="000F1142"/>
    <w:rsid w:val="00101BA8"/>
    <w:rsid w:val="00170752"/>
    <w:rsid w:val="00492EE7"/>
    <w:rsid w:val="00531D7C"/>
    <w:rsid w:val="00555769"/>
    <w:rsid w:val="005D0DBD"/>
    <w:rsid w:val="007657AB"/>
    <w:rsid w:val="008341C8"/>
    <w:rsid w:val="00835610"/>
    <w:rsid w:val="008A4D60"/>
    <w:rsid w:val="0094286B"/>
    <w:rsid w:val="00946ED8"/>
    <w:rsid w:val="00A276FF"/>
    <w:rsid w:val="00B30649"/>
    <w:rsid w:val="00B81CFE"/>
    <w:rsid w:val="00C0444D"/>
    <w:rsid w:val="00CD1409"/>
    <w:rsid w:val="00E50C8A"/>
    <w:rsid w:val="00FC29A3"/>
    <w:rsid w:val="00FD7EC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988709-5E4F-434C-981B-F3D334E0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B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5610"/>
    <w:pPr>
      <w:keepNext/>
      <w:keepLines/>
      <w:outlineLvl w:val="0"/>
    </w:pPr>
    <w:rPr>
      <w:rFonts w:eastAsia="Calibri"/>
      <w:b/>
      <w:bCs/>
      <w:caps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2EE7"/>
    <w:pPr>
      <w:keepNext/>
      <w:keepLines/>
      <w:outlineLvl w:val="1"/>
    </w:pPr>
    <w:rPr>
      <w:rFonts w:eastAsia="Calibri"/>
      <w:b/>
      <w:bCs/>
      <w:i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92EE7"/>
    <w:rPr>
      <w:rFonts w:ascii="Times New Roman" w:eastAsia="Times New Roman" w:hAnsi="Times New Roman" w:cs="Times New Roman"/>
      <w:b/>
      <w:bCs/>
      <w:i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5D0DBD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835610"/>
    <w:rPr>
      <w:rFonts w:ascii="Times New Roman" w:eastAsia="Times New Roman" w:hAnsi="Times New Roman" w:cs="Times New Roman"/>
      <w:b/>
      <w:bCs/>
      <w:caps/>
      <w:sz w:val="28"/>
      <w:szCs w:val="28"/>
      <w:lang w:val="x-none" w:eastAsia="ru-RU"/>
    </w:rPr>
  </w:style>
  <w:style w:type="paragraph" w:styleId="a4">
    <w:name w:val="header"/>
    <w:basedOn w:val="a"/>
    <w:link w:val="a5"/>
    <w:uiPriority w:val="99"/>
    <w:rsid w:val="00CD1409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uiPriority w:val="99"/>
    <w:rsid w:val="00CD140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D1409"/>
    <w:rPr>
      <w:rFonts w:ascii="Times New Roman" w:hAnsi="Times New Roman" w:cs="Times New Roman"/>
      <w:sz w:val="28"/>
    </w:rPr>
  </w:style>
  <w:style w:type="paragraph" w:styleId="a8">
    <w:name w:val="TOC Heading"/>
    <w:basedOn w:val="1"/>
    <w:next w:val="a"/>
    <w:uiPriority w:val="99"/>
    <w:qFormat/>
    <w:rsid w:val="00CD1409"/>
    <w:pPr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</w:rPr>
  </w:style>
  <w:style w:type="character" w:customStyle="1" w:styleId="a7">
    <w:name w:val="Нижний колонтитул Знак"/>
    <w:link w:val="a6"/>
    <w:uiPriority w:val="99"/>
    <w:locked/>
    <w:rsid w:val="00CD1409"/>
    <w:rPr>
      <w:rFonts w:ascii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99"/>
    <w:rsid w:val="00CD1409"/>
    <w:pPr>
      <w:spacing w:after="100"/>
      <w:ind w:left="280"/>
    </w:pPr>
  </w:style>
  <w:style w:type="character" w:styleId="a9">
    <w:name w:val="Hyperlink"/>
    <w:uiPriority w:val="99"/>
    <w:rsid w:val="00CD140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D1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D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XTreme</dc:creator>
  <cp:keywords/>
  <dc:description/>
  <cp:lastModifiedBy>admin</cp:lastModifiedBy>
  <cp:revision>2</cp:revision>
  <dcterms:created xsi:type="dcterms:W3CDTF">2014-03-22T03:40:00Z</dcterms:created>
  <dcterms:modified xsi:type="dcterms:W3CDTF">2014-03-22T03:40:00Z</dcterms:modified>
</cp:coreProperties>
</file>