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104EF7">
        <w:rPr>
          <w:b/>
          <w:bCs/>
          <w:caps/>
          <w:kern w:val="28"/>
          <w:sz w:val="28"/>
          <w:szCs w:val="22"/>
        </w:rPr>
        <w:t>Функции</w:t>
      </w:r>
      <w:r w:rsidR="00104EF7" w:rsidRPr="00104EF7">
        <w:rPr>
          <w:b/>
          <w:bCs/>
          <w:caps/>
          <w:kern w:val="28"/>
          <w:sz w:val="28"/>
          <w:szCs w:val="22"/>
        </w:rPr>
        <w:t xml:space="preserve"> </w:t>
      </w:r>
      <w:r w:rsidRPr="00104EF7">
        <w:rPr>
          <w:b/>
          <w:bCs/>
          <w:caps/>
          <w:kern w:val="28"/>
          <w:sz w:val="28"/>
          <w:szCs w:val="22"/>
        </w:rPr>
        <w:t>банков</w:t>
      </w:r>
      <w:r w:rsidR="00104EF7" w:rsidRPr="00104EF7">
        <w:rPr>
          <w:b/>
          <w:bCs/>
          <w:caps/>
          <w:kern w:val="28"/>
          <w:sz w:val="28"/>
          <w:szCs w:val="22"/>
        </w:rPr>
        <w:t xml:space="preserve"> </w:t>
      </w:r>
      <w:r w:rsidRPr="00104EF7">
        <w:rPr>
          <w:b/>
          <w:bCs/>
          <w:caps/>
          <w:kern w:val="28"/>
          <w:sz w:val="28"/>
          <w:szCs w:val="22"/>
        </w:rPr>
        <w:t>как</w:t>
      </w:r>
      <w:r w:rsidR="00104EF7" w:rsidRPr="00104EF7">
        <w:rPr>
          <w:b/>
          <w:bCs/>
          <w:caps/>
          <w:kern w:val="28"/>
          <w:sz w:val="28"/>
          <w:szCs w:val="22"/>
        </w:rPr>
        <w:t xml:space="preserve"> </w:t>
      </w:r>
      <w:r w:rsidRPr="00104EF7">
        <w:rPr>
          <w:b/>
          <w:bCs/>
          <w:caps/>
          <w:kern w:val="28"/>
          <w:sz w:val="28"/>
          <w:szCs w:val="22"/>
        </w:rPr>
        <w:t>агентов</w:t>
      </w:r>
      <w:r w:rsidR="00104EF7" w:rsidRPr="00104EF7">
        <w:rPr>
          <w:b/>
          <w:bCs/>
          <w:caps/>
          <w:kern w:val="28"/>
          <w:sz w:val="28"/>
          <w:szCs w:val="22"/>
        </w:rPr>
        <w:t xml:space="preserve"> </w:t>
      </w:r>
      <w:r w:rsidRPr="00104EF7">
        <w:rPr>
          <w:b/>
          <w:bCs/>
          <w:caps/>
          <w:kern w:val="28"/>
          <w:sz w:val="28"/>
          <w:szCs w:val="22"/>
        </w:rPr>
        <w:t>валютного</w:t>
      </w:r>
      <w:r w:rsidR="00104EF7" w:rsidRPr="00104EF7">
        <w:rPr>
          <w:b/>
          <w:bCs/>
          <w:caps/>
          <w:kern w:val="28"/>
          <w:sz w:val="28"/>
          <w:szCs w:val="22"/>
        </w:rPr>
        <w:t xml:space="preserve"> </w:t>
      </w:r>
      <w:r w:rsidRPr="00104EF7">
        <w:rPr>
          <w:b/>
          <w:bCs/>
          <w:caps/>
          <w:kern w:val="28"/>
          <w:sz w:val="28"/>
          <w:szCs w:val="22"/>
        </w:rPr>
        <w:t>контроля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кодекса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(далее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БК)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вправе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свойственных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исключением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ведением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кассовых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установлены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22.07.2003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226-3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регулировании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контроле"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(далее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порядок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устанавливается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(т.е.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Президента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Парламента)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(или)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подотчетны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последнему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принятия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утратил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силу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комплексный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подзаконный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регулировавший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вопросы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остался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лишь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ряд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разрозненных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посвященных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аспектам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сентября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2006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комплексным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правовым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стала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небанковскими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кредитно-финансовыми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организациями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утвержденная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27.06.2006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(далее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отметить,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дословно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воспроизводит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однако,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детализирует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каждую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определяя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предмет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контроля.</w:t>
      </w:r>
    </w:p>
    <w:p w:rsidR="00B864CE" w:rsidRPr="00104EF7" w:rsidRDefault="00104EF7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iCs/>
          <w:kern w:val="28"/>
          <w:sz w:val="28"/>
          <w:szCs w:val="18"/>
        </w:rPr>
      </w:pPr>
      <w:r>
        <w:rPr>
          <w:rFonts w:cs="Arial"/>
          <w:bCs/>
          <w:iCs/>
          <w:kern w:val="28"/>
          <w:sz w:val="28"/>
          <w:szCs w:val="18"/>
        </w:rPr>
        <w:br w:type="page"/>
      </w:r>
      <w:r w:rsidR="00B864CE" w:rsidRPr="00104EF7">
        <w:rPr>
          <w:rFonts w:cs="Arial"/>
          <w:bCs/>
          <w:iCs/>
          <w:kern w:val="28"/>
          <w:sz w:val="28"/>
          <w:szCs w:val="18"/>
        </w:rPr>
        <w:t>Таблица</w:t>
      </w:r>
      <w:r>
        <w:rPr>
          <w:rFonts w:cs="Arial"/>
          <w:bCs/>
          <w:iCs/>
          <w:kern w:val="28"/>
          <w:sz w:val="28"/>
          <w:szCs w:val="18"/>
        </w:rPr>
        <w:t xml:space="preserve"> </w:t>
      </w:r>
      <w:r w:rsidR="00B864CE" w:rsidRPr="00104EF7">
        <w:rPr>
          <w:rFonts w:cs="Arial"/>
          <w:bCs/>
          <w:iCs/>
          <w:kern w:val="28"/>
          <w:sz w:val="28"/>
          <w:szCs w:val="18"/>
        </w:rPr>
        <w:t>1</w:t>
      </w:r>
    </w:p>
    <w:p w:rsidR="00B864CE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Функции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и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предмет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валютного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контроля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согласно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Инструкции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№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89.</w:t>
      </w:r>
    </w:p>
    <w:p w:rsidR="00104EF7" w:rsidRPr="00104EF7" w:rsidRDefault="00104EF7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28"/>
        <w:gridCol w:w="3312"/>
        <w:gridCol w:w="3304"/>
      </w:tblGrid>
      <w:tr w:rsidR="00B864CE" w:rsidRPr="00104EF7" w:rsidTr="00104EF7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864CE" w:rsidRPr="00104EF7" w:rsidRDefault="00B864CE" w:rsidP="00104EF7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104EF7">
              <w:rPr>
                <w:rFonts w:cs="Arial"/>
                <w:kern w:val="28"/>
                <w:sz w:val="20"/>
                <w:szCs w:val="20"/>
              </w:rPr>
              <w:t>Функции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864CE" w:rsidRPr="00104EF7" w:rsidRDefault="00B864CE" w:rsidP="00104EF7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104EF7">
              <w:rPr>
                <w:rFonts w:cs="Arial"/>
                <w:kern w:val="28"/>
                <w:sz w:val="20"/>
                <w:szCs w:val="20"/>
              </w:rPr>
              <w:t>Предмет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валютного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контроля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864CE" w:rsidRPr="00104EF7" w:rsidRDefault="00B864CE" w:rsidP="00104EF7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104EF7">
              <w:rPr>
                <w:rFonts w:cs="Arial"/>
                <w:kern w:val="28"/>
                <w:sz w:val="20"/>
                <w:szCs w:val="20"/>
              </w:rPr>
              <w:t>Основные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нормативные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акты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Контроль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своевременностью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отчетности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операциям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соответствием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требованиям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валютного</w:t>
            </w:r>
          </w:p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законодательства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настоящее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время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представляют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лишь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статистическую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отчетность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ВЭД.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Данная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норма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принята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перспективу,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когда,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вероятно,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будут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напрямую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представлять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такую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отчетность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органам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контроля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Контроль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соответствием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проводимых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клиентами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требованиям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законодательства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обоснованностью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белорусских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рублях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безналичной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форме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отношениях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между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сделкам,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предусматривающим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импорт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товаров,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работ,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услуг,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охраняемой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информации,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исключительных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результаты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интеллектуальной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деятельности,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также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передачу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имущества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аренду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Гл.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4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30.04.2004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</w:t>
            </w:r>
          </w:p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(далее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72),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также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10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осуществлению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контроля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внешнеторговых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30.09.2004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151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(далее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151)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правомерностью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(наличие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разрешения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возможность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расчетов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соответствии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законодательством)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расчетов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ценных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бумагах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(или)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документах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между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Гл.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5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правомерностью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изменения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денежных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обязательств,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выраженных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или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белорусских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рублях,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Гл.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правомерностью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внесения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(снятия)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наличной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(со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счетов)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Гл.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9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правомерностью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внесения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(снятия)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наличной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(со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счетов)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Правила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использования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наличной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территории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утвержденные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26.12.2002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251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визированием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паспортов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сделок,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оформленных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151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осуществлением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авансовых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осуществлению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авансовых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внешнеторговым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договорам,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</w:p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28.08.2003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153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(далее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153)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целевым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использованием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купленной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внутреннем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рынке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порядке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совершения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валютно-обменных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участием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юридических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предпринимателей,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28.07.2005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112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(далее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112)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соблюдением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сроков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продажи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средств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СКВ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российских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рублях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предпринимателями)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порядке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осуществления</w:t>
            </w:r>
          </w:p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продажи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внутреннем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рынке,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13.09.2006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129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пользу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зарегистрированного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оффшорной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зоне,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либо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обязательству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перед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этим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или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открытый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оффшорной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зоне,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только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после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уплаты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оффшорного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сбора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случаях,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определенных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законодательством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Указ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Президента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12.03.2003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104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"Об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оффшорном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сборе"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порядке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исчисления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уплаты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оффшорного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сбора,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Министерства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налогам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сборам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31.03.2003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34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Контроль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клиентами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операциям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полнотой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своевременностью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субъектами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сведений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поступлении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денежных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средств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сделок,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предусматривающих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экспорт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товаров,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работ,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услуг,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охраняемой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информации,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исключительных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результаты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интеллектуальной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деятельности,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передачу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имущества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аренду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Пункт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15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Положения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порядке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контроля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внешнеторговых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утвержденного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Указом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Президента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04.01.2000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также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либо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(оснований),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предусмотренных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или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государств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Перечень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приведен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подтверждающих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обоснованность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покупки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внутреннем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рынке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Пункт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20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112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подтверждающих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обоснованность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непроведения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продажи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средств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СКВ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российских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рублях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(юридическими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предпринимателями)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Пункты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26-27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129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подтверждающих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обоснованность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(юридических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предпринимателей)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пользу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предоставлению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возврату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кредитов,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займов,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инвестиций,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также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процентов,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дивидендов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доходов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данным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операциям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Подп.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7.8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7.9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обосновывающих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физических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пользу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юридических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белорусских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рублях,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также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пользу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юридических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лиц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индивидуальных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предпринимателей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резидентов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иностранной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валюте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Подп.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7.11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также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гл.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6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документов,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обосновывающих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проведение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клиентами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неторгового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характера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Подп.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7.10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Правил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72.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понятии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неторговых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см.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6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Закона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Приостановление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счетам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клиентов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сумму,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которой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представлена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документация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проводимых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операциях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Абз.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5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ч.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27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23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Уведомление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органов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контроля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поступлении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клиентам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денежных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средств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операциям,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проводимым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нарушением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До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вступления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силу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129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регламентировалось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постановлением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Национального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Республики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Беларусь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от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30.04.2004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70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"О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порядке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уведомления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банками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небанковскими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кредитно-финансовыми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организациями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органов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контроля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операциях,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проводимых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нарушением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законодательства".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настоящее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время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п.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24-25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89</w:t>
            </w:r>
          </w:p>
        </w:tc>
      </w:tr>
    </w:tbl>
    <w:p w:rsidR="00104EF7" w:rsidRDefault="00104EF7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Основной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документальный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словами,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дело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сделки,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отражающими.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Поэтому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ответственность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своевременность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необходимых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достоверность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содержащихся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сведений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возлагается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клиентов.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7.1-7.11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представляемых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случаях.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Однако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учитывать,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исчерпывающим.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самостоятельно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определять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конкретный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необходимости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вправе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потребовать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(свидетельство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уведомление);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подтверждающие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правопреемство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реорганизации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субъекта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получателя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(отправителя)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связанные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уступкой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долга,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(приложения,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уведомления,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письма),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связанные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переменой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обязательстве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содержащие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третьему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случаях,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когда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место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перемена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обязательстве.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время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избежание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произвола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стороны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запрещено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непосредственно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относятся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проводимой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Одновременно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необходимых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при: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бюджет,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целевые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бюджетные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фонды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внебюджетные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фонды;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исключением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предусмотренных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области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предотвращения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легализации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доходов,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незаконным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путем,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финансирования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террористической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деятельности);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физическим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лицам;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требующих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Отметим,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двойственную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природу.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стороны,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неисполнение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ответственность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соответствующими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органами;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отказать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исполнении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дополнительно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потребовать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Однако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выполняя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выходя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пределы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предоставленных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полномочий,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рискует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быть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привлеченным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ответственности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неисполнение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текущего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новшествам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отнести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теперь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вправе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принимать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действительны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Уточнены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заверения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причем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установлено,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ответственности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заверение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копий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представляемых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(индивидуальным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предпринимателем,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физическим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лицом).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Изменены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теперь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русский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язык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обязательны,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предоставляются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"лингвистический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риск"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правильность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18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практической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точки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зрения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весьма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важен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определяет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проверяются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обратить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внимание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соотношение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абз.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Положения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порядке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индивидуальными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предпринимателями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утвержденного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(далее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Положение),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возлагает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субъекты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хозяйствования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обеспечить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реквизитов.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Во-первых,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сфера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действия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уже,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т.к.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распространяется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договоры.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Во-вторых,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Положения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совпадают.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iCs/>
          <w:kern w:val="28"/>
          <w:sz w:val="28"/>
          <w:szCs w:val="18"/>
        </w:rPr>
      </w:pPr>
      <w:r w:rsidRPr="00104EF7">
        <w:rPr>
          <w:rFonts w:cs="Arial"/>
          <w:bCs/>
          <w:iCs/>
          <w:kern w:val="28"/>
          <w:sz w:val="28"/>
          <w:szCs w:val="18"/>
        </w:rPr>
        <w:t>Таблица</w:t>
      </w:r>
      <w:r w:rsidR="00104EF7">
        <w:rPr>
          <w:rFonts w:cs="Arial"/>
          <w:bCs/>
          <w:i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iCs/>
          <w:kern w:val="28"/>
          <w:sz w:val="28"/>
          <w:szCs w:val="18"/>
        </w:rPr>
        <w:t>2</w:t>
      </w:r>
    </w:p>
    <w:p w:rsidR="00B864CE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Требования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к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реквизитам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договора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во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внешнеторговом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и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валютном</w:t>
      </w:r>
      <w:r w:rsidR="00104EF7">
        <w:rPr>
          <w:rFonts w:cs="Arial"/>
          <w:bCs/>
          <w:kern w:val="28"/>
          <w:sz w:val="28"/>
          <w:szCs w:val="18"/>
        </w:rPr>
        <w:t xml:space="preserve"> </w:t>
      </w:r>
      <w:r w:rsidRPr="00104EF7">
        <w:rPr>
          <w:rFonts w:cs="Arial"/>
          <w:bCs/>
          <w:kern w:val="28"/>
          <w:sz w:val="28"/>
          <w:szCs w:val="18"/>
        </w:rPr>
        <w:t>законодательстве.</w:t>
      </w:r>
    </w:p>
    <w:p w:rsidR="00104EF7" w:rsidRPr="00104EF7" w:rsidRDefault="00104EF7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73"/>
        <w:gridCol w:w="5671"/>
      </w:tblGrid>
      <w:tr w:rsidR="00B864CE" w:rsidRPr="00104EF7" w:rsidTr="00104EF7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864CE" w:rsidRPr="00104EF7" w:rsidRDefault="00B864CE" w:rsidP="00104EF7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104EF7">
              <w:rPr>
                <w:rFonts w:cs="Arial"/>
                <w:kern w:val="28"/>
                <w:sz w:val="20"/>
                <w:szCs w:val="20"/>
              </w:rPr>
              <w:t>Субъект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хозяйствования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обязан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предусмотреть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во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внешнеторговом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договоре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наличие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(п.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15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Положения):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864CE" w:rsidRPr="00104EF7" w:rsidRDefault="00B864CE" w:rsidP="00104EF7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104EF7">
              <w:rPr>
                <w:rFonts w:cs="Arial"/>
                <w:kern w:val="28"/>
                <w:sz w:val="20"/>
                <w:szCs w:val="20"/>
              </w:rPr>
              <w:t>При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осуществлении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контроля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исполнения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обязательств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всем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внешнеэкономическим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договорам,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представляемым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клиентами,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банк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проверяет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(п.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19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№</w:t>
            </w:r>
            <w:r w:rsidR="00104EF7" w:rsidRPr="00104EF7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Arial"/>
                <w:kern w:val="28"/>
                <w:sz w:val="20"/>
                <w:szCs w:val="20"/>
              </w:rPr>
              <w:t>89):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Даты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места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заключения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договора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Предмета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договора*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наличие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предмета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договора*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Количества*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качества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товара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наличие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количества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цены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(стоимости)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товара,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стоимости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охраняемой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информации,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исключительных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прав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результаты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интеллектуальной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деятельности,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имущества,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сданного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аренду,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выполненной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работы,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оказанной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услуги*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Цены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товара*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соответствие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суммы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(сумм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платежей),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указанной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(указанных)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(платежных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инструкциях),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общей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сумме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договору4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Условий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расчета*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поставки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наличие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клиента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условий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расчета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(авансовый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предварительная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оплата,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оплата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факту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исполнения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договору)*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наличие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условий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расчета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соответствие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указанных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условий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расчета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(авансовый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предварительная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оплата,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оплата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факту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исполнения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обязательств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договору)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условиям,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предусмотренным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внешнеэкономическим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договором,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исключением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случаев,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когда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указана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оплата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факту,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условиями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предусмотрен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авансовый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(предварительная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оплата)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платежа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соответствие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указанной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платежной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инструкции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платежа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валютному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законодательству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условиям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договора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Сроков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поставки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товаров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Ответственности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сторон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Порядка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разрешения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споров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</w:tr>
      <w:tr w:rsidR="00B864CE" w:rsidRPr="00104EF7" w:rsidTr="00B864CE">
        <w:trPr>
          <w:tblCellSpacing w:w="-8" w:type="dxa"/>
          <w:jc w:val="center"/>
        </w:trPr>
        <w:tc>
          <w:tcPr>
            <w:tcW w:w="2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Названия,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адреса,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банковские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реквизиты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сторон*</w:t>
            </w:r>
          </w:p>
        </w:tc>
        <w:tc>
          <w:tcPr>
            <w:tcW w:w="3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B864CE" w:rsidRPr="00104EF7" w:rsidRDefault="00B864CE" w:rsidP="00104E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104EF7">
              <w:rPr>
                <w:rFonts w:cs="Courier New"/>
                <w:kern w:val="28"/>
                <w:sz w:val="20"/>
                <w:szCs w:val="20"/>
              </w:rPr>
              <w:t>наличие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внешнеэкономическом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договоре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наименований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и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банковских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реквизитов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сторон,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юридического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адреса</w:t>
            </w:r>
            <w:r w:rsidR="00104EF7" w:rsidRPr="00104EF7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104EF7">
              <w:rPr>
                <w:rFonts w:cs="Courier New"/>
                <w:kern w:val="28"/>
                <w:sz w:val="20"/>
                <w:szCs w:val="20"/>
              </w:rPr>
              <w:t>нерезидента-контрагента</w:t>
            </w:r>
          </w:p>
        </w:tc>
      </w:tr>
    </w:tbl>
    <w:p w:rsidR="00104EF7" w:rsidRDefault="00104EF7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В-третьих,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обязанности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данном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возлагаются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круг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самих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субъектов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хозяйствования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(Указ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возложенных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непосредственно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исключением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когда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возложен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В-четвертых,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двух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отдельных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влекут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различные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последствия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далее).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образом,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противоречий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данном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нет.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Пункт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детализирует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перечисляются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случаях: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необходимых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несоответствия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(платежных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инструкций)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требованиям,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приведенной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выше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таблице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отмечены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звездочкой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(*));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поручения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соответствующего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режиму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функционирования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поручения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уплате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оффшорного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сбора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требующей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уплаты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оффшорного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сбора;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внесения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предусмотрено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Заметим,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"отказ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тождественен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"отказу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паспорта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сделки".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касается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последнего,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5.1-5.4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далее).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Нельзя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смешивать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мерами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воздействия,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применяемыми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"приостановлением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операциях"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(абз.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"уведомлением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КГК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операциях,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законодательства"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(ч.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24-25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частности,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такое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уведомление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проводимой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путем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направления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формуляра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учета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проводимой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позднее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рабочего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установления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нарушения.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должен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фиксироваться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позднее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шестого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рабочего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Пунктом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определен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когда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составляется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формуляр: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необоснованное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превышение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поступивших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суммой,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предусмотренной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(кроме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ошибочного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нерезидентом);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несоответствие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поступивших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требованиям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непредставление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сроки,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предусмотренные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операциям;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непредставление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случаях,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установленных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соответствующих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требованиям,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касающимся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предмета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количества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(стоимости),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наименований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сторон,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адреса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нерезидента-контрагента;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6)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оформленных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нарушением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сроков,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установленных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Пунктом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разъяснено,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датой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аккредитиву: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списания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специального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режима.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Заметим,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аккредитиву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существовало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(подп.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2.9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новое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уточнение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(раньше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подобное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разъяснение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существовало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виде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отдельного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письма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6)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важное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значение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сроков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купленной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внутреннем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рынке.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Уточнены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полномочия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уплатой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оффшорного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сбора.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вправе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дополнительные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уточняющие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место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сертификат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организации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выписку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торгового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реестра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места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учредительные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наиболее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комплексным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области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единственным.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частности,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отдельными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дополнительно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возложены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за: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физическими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66);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документарных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порядке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документарных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утвержденной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29.03.2001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67;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г)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153);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д)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физическими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кредита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(письмо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22.07.2004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04-23/533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предоставлении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кредитов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валюте").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Напротив,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вправе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за: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безналичными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физических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пользу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физических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осуществляемыми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порядке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безналичных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через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системы,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утвержденной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02.06.2004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87;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целевым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купленной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индивидуальными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предпринимателями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112).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Остановимся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наиболее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нормативных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актах,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прежде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всего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отношение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функциям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лишь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сегментов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Дело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понятие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"валютное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регулирование"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охватывает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вида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(независимо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двумя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резидентами,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совершаются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двумя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совершаются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рублях.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распространяется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операциями.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2.16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каждая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(импортная)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отгрузка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отдельной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декларации,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каждый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этап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(оказания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услуг),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оформленный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отдельным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приемке-сдаче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(оказанных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услуг),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каждый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очередь,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понятия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"экспорт"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"импорт"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7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означают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возмездную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передачу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(выполнение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работ,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оказание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услуг)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нерезидентом.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образом,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действие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охватывает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первый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(резидент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причем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торговыми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широком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смысле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финансовыми,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инвестиционными,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безвозмездными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т.п.).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Кроме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того,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можно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назвать,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какой-то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мере,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предварительным,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поскольку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совершается,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главным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образом,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стадии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паспорта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сделки.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Положения,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логическим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продолжением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выступает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возложены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функции: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визирование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паспорта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сделки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(далее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ПС);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обслуживания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индивидуальных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предпринимателей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зарегистрированного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правильностью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информации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порядок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комитета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07.07.2001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порядке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органами"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(далее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32),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поскольку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регистрируют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лишь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визируют.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Оформление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каждому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числе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РФ),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одновременно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соблюдаются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условия: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1)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стоимость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экспортируемых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импортируемых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1500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евро;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2)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будут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использоваться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режимов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выпуск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свободного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обращения;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реимпорт;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магазин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беспошлинной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торговли;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переработка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территории;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переработка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контролем;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свободная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экономическая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зона;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ж)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свободный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склад;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реэкспорт.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режимах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предъявление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выдачи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соответствующих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разрешений.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допускается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номера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помещении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режимы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уничтожения,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пользу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склада;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3)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отсутствует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обстоятельств,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освобождает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необходимости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оформления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числу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последних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относятся: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оплата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ценными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бумагами,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100%-ой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предоплаты,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приобретенных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розничной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торговле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границей,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некоторые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перечисленные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3.4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32.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входит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сопоставление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соответствующими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сведениями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учетом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("Дополнительная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информация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/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представляемые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сведения")):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9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("Получатель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/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Плательщик"),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указываются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наименование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адрес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получателя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плательщика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импорту;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("Валюта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общая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фактурная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стоимость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товаров"),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где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указывается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цифровой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оценки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договора;</w:t>
      </w:r>
    </w:p>
    <w:p w:rsidR="00B864CE" w:rsidRPr="00104EF7" w:rsidRDefault="00B864CE" w:rsidP="00104EF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28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("Финансовые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сведения")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указывается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наименование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где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открыт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названного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поступают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товары.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настоящее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время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больше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заполнением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13,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где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указывается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отличается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оценки,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курсу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письма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03.10.2006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21-20/931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применении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небанковскими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кредитно-финансовыми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организациями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разъяснено,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проверяется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внешнеэкономическом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конкретную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валюту,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должны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проводиться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расчеты.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противном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любой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законодательством.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Основания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отказа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следующие: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несоответствие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вышеуказанных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исправлений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графах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22,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28,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44;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непредставление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(копий),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44;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отсутствие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учетом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всех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приложений,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указанных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графе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предмета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количества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(стоимости)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наименований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договаривающихся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сторон,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адреса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нерезидента-контрагента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табл.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помечены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звездочкой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(*)).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10</w:t>
      </w:r>
      <w:r w:rsidR="00104EF7">
        <w:rPr>
          <w:rFonts w:cs="Tahoma"/>
          <w:kern w:val="28"/>
          <w:sz w:val="28"/>
          <w:szCs w:val="18"/>
        </w:rPr>
        <w:t xml:space="preserve"> 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Заметим,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настоящее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время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возлагают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обязанность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сроками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поставки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поскольку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Изменение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(наименование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основанием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визирования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Однако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упомянутый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единственный.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3.5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32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заявлению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субъекта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хозяйствования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зарегистрировать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новый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изменении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(стоимость)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номенклатура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наоборот,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зачета);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изменении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плательщика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получателя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экспорте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реквизитов);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Минторга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продление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срока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заявлению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плательщика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таможенные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регистрируют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новый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изменениях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имеющих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значение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еще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один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важный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осуществляемого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ограничений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преследует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главные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цели: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защиту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интересов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неблагоприятных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изменений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балансе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(счет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текущих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могут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быть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вызваны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фактами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неисполнения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своих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нерезидентами;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защиту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интересов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самих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импортеров-резидентов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путем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переориентации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рискованные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Данная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ограничений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была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введена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еще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Основными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положениями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регулировании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территории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СССР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(письмо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СССР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24.05.1991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352),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разд.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II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услуг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более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тыс.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инвалютных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рублей,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превышавшие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30%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стоимости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услуг,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требовали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(лицензии)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СССР.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Позднее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данная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последовательно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повышалась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тыс.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долл.,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сначала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100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тыс.,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500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тыс.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наконец,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млн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долл.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США.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сегодняшний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млн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долл.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эквиваленте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может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быть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выражена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любой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рублях).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Причем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разрезе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отдельно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взятого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импортера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открыты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несколько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случаях),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предельная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рассчитывается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каждому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банку,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всем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данного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импортера,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открытым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различных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банках.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норму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можно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объяснить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уполномоченный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лишен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возможности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контролировать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клиента,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осуществляемые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последним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через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Превышение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лимита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млн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долл.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возможно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наличии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резидента: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гарантии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резервного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аккредитива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банка-нерезидента,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обеспечивающих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обязательств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возврату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(Advance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Payment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Guarantee,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Advance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Payment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Standby)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надлежащее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исполнение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(Performance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Bond,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Performance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Standby);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заключенного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страховой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организацией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добровольного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страхования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предпринимательского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риска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юридического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резидента,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условии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установления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страхования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страховой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равной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превышения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более;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разрешения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Действие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распространяется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только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банковского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перевода.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Объясняется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понимаются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любые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внешнеторговому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договору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момента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подтверждающих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территорию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Беларуси.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Поэтому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проведении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документарных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невозможны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определению,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кроме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редко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встречающейся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документарного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аккредитива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красной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оговоркой.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Кроме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того,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действие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ограничивается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причине,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видимо,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сложности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движением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работ,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услуг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нематериальных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объектов.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Заметим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что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89,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151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обязывает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движением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лишь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153,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поскольку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товаров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произведенным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уменьшает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лимит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авансовых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(см.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вышеназванного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письма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03.10.2006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21-20/931).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Кроме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того,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валютный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контроль,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числе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международных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дополняется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другими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видами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осуществляемого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частности: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а)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налоговым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(Указ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Президента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12.03.2003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104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"Об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оффшорном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сборе",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также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когда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банки-резиденты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выступают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качестве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налоговых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агентов);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б)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"отмыванием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денег"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Законом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19.07.2000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426-3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мерах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предотвращению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легализации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доходов,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незаконным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путем,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финансирования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террористической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деятельности",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предусматривает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обязанности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банков: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проводить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идентификацию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совершающих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регистрировать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подлежащие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особому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контролю,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специальном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формуляре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представлять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первый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экземпляр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мониторинга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КГК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позднее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рабочего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международным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расчетам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позднее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рабочего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следующего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подтверждающих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документов;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приостановлении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приостановления;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приостанавливать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операцию,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хотя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одной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из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сторон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является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участвующее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террористической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деятельности,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либо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если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лицо,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совершающее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операцию,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находится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лиц,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занимающихся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террористической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деятельностью.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случае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они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зачисляются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получателя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последующим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приостановлением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расходных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счету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размере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суммы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поступивших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денежных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средств;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представлять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запросу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органа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мониторинга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информацию,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необходимую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выполнения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возложенных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функций;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Tahoma"/>
          <w:kern w:val="28"/>
          <w:sz w:val="28"/>
          <w:szCs w:val="18"/>
        </w:rPr>
        <w:t>-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хранить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вторые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экземпляры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специальных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формуляров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документы,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связанные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(или)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совершением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операций,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подлежащих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особому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контролю,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менее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пяти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лет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дня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заполнения;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в)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мониторингом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отношении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всех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безналичных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рублях,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так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который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осуществляется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путем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ежедневного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соответствующей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информации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КГК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согласно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Инструкции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порядке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представления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Департамент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финансового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мониторинга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Комитета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банками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информации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безналичным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платежам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белорусских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рублях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валюте,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утвержденной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постановлением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Комитета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государственного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Правления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Национального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банка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26.08.2004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1/134;</w:t>
      </w:r>
    </w:p>
    <w:p w:rsidR="00B864CE" w:rsidRPr="00104EF7" w:rsidRDefault="00B864CE" w:rsidP="00104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104EF7">
        <w:rPr>
          <w:rFonts w:cs="Arial"/>
          <w:bCs/>
          <w:kern w:val="28"/>
          <w:sz w:val="28"/>
          <w:szCs w:val="18"/>
        </w:rPr>
        <w:t>г)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контролем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за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использованием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безвозмездной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помощи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в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соответствии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с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Декретом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Президента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Республики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Беларусь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от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28.11.2003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№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24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"О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получении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использовании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иностранной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безвозмездной</w:t>
      </w:r>
      <w:r w:rsidR="00104EF7">
        <w:rPr>
          <w:rFonts w:cs="Tahoma"/>
          <w:kern w:val="28"/>
          <w:sz w:val="28"/>
          <w:szCs w:val="18"/>
        </w:rPr>
        <w:t xml:space="preserve"> </w:t>
      </w:r>
      <w:r w:rsidRPr="00104EF7">
        <w:rPr>
          <w:rFonts w:cs="Tahoma"/>
          <w:kern w:val="28"/>
          <w:sz w:val="28"/>
          <w:szCs w:val="18"/>
        </w:rPr>
        <w:t>помощи".</w:t>
      </w:r>
    </w:p>
    <w:p w:rsidR="0072715E" w:rsidRPr="00104EF7" w:rsidRDefault="0072715E" w:rsidP="00104EF7">
      <w:pPr>
        <w:spacing w:line="360" w:lineRule="auto"/>
        <w:ind w:firstLine="709"/>
        <w:jc w:val="both"/>
        <w:rPr>
          <w:sz w:val="28"/>
        </w:rPr>
      </w:pPr>
    </w:p>
    <w:p w:rsidR="00B864CE" w:rsidRPr="00104EF7" w:rsidRDefault="00B864CE" w:rsidP="00104EF7">
      <w:pPr>
        <w:pStyle w:val="a6"/>
        <w:spacing w:after="0"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04EF7">
        <w:rPr>
          <w:sz w:val="28"/>
        </w:rPr>
        <w:br w:type="page"/>
      </w:r>
      <w:r w:rsidRPr="00104EF7">
        <w:rPr>
          <w:b/>
          <w:kern w:val="28"/>
          <w:sz w:val="28"/>
          <w:szCs w:val="28"/>
        </w:rPr>
        <w:t>СПИСОК</w:t>
      </w:r>
      <w:r w:rsidR="00104EF7" w:rsidRPr="00104EF7">
        <w:rPr>
          <w:b/>
          <w:kern w:val="28"/>
          <w:sz w:val="28"/>
          <w:szCs w:val="28"/>
        </w:rPr>
        <w:t xml:space="preserve"> </w:t>
      </w:r>
      <w:r w:rsidRPr="00104EF7">
        <w:rPr>
          <w:b/>
          <w:kern w:val="28"/>
          <w:sz w:val="28"/>
          <w:szCs w:val="28"/>
        </w:rPr>
        <w:t>ИСПОЛЬЗОВАННЫХ</w:t>
      </w:r>
      <w:r w:rsidR="00104EF7" w:rsidRPr="00104EF7">
        <w:rPr>
          <w:b/>
          <w:kern w:val="28"/>
          <w:sz w:val="28"/>
          <w:szCs w:val="28"/>
        </w:rPr>
        <w:t xml:space="preserve"> </w:t>
      </w:r>
      <w:r w:rsidRPr="00104EF7">
        <w:rPr>
          <w:b/>
          <w:kern w:val="28"/>
          <w:sz w:val="28"/>
          <w:szCs w:val="28"/>
        </w:rPr>
        <w:t>ИСТОЧНИКОВ</w:t>
      </w:r>
    </w:p>
    <w:p w:rsidR="00B864CE" w:rsidRPr="00104EF7" w:rsidRDefault="00B864CE" w:rsidP="00104EF7">
      <w:pPr>
        <w:pStyle w:val="a6"/>
        <w:spacing w:after="0" w:line="360" w:lineRule="auto"/>
        <w:ind w:firstLine="709"/>
        <w:jc w:val="both"/>
        <w:rPr>
          <w:kern w:val="28"/>
          <w:sz w:val="28"/>
          <w:szCs w:val="28"/>
        </w:rPr>
      </w:pPr>
    </w:p>
    <w:p w:rsidR="00B864CE" w:rsidRPr="00104EF7" w:rsidRDefault="00B864CE" w:rsidP="00104E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kern w:val="28"/>
          <w:sz w:val="28"/>
          <w:szCs w:val="28"/>
        </w:rPr>
        <w:t>Конституция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Республики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Беларусь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1994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года.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Принята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на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республиканском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референдуме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24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ноября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1996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года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(с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изменениями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и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дополнениями,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принятыми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на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республиканских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референдумах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24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ноября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1996г.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и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17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октября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2004г.)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Минск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«Беларусь»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2004г.</w:t>
      </w:r>
      <w:r w:rsidR="00104EF7">
        <w:rPr>
          <w:iCs/>
          <w:kern w:val="28"/>
          <w:sz w:val="28"/>
          <w:szCs w:val="28"/>
        </w:rPr>
        <w:t xml:space="preserve"> </w:t>
      </w:r>
    </w:p>
    <w:p w:rsidR="00B864CE" w:rsidRPr="00104EF7" w:rsidRDefault="00B864CE" w:rsidP="00104E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104EF7">
        <w:rPr>
          <w:rFonts w:cs="Courier New"/>
          <w:kern w:val="28"/>
          <w:sz w:val="28"/>
          <w:szCs w:val="28"/>
        </w:rPr>
        <w:t>Налоговый</w:t>
      </w:r>
      <w:r w:rsidR="00104EF7">
        <w:rPr>
          <w:rFonts w:cs="Courier New"/>
          <w:kern w:val="28"/>
          <w:sz w:val="28"/>
          <w:szCs w:val="28"/>
        </w:rPr>
        <w:t xml:space="preserve"> </w:t>
      </w:r>
      <w:r w:rsidRPr="00104EF7">
        <w:rPr>
          <w:rFonts w:cs="Courier New"/>
          <w:kern w:val="28"/>
          <w:sz w:val="28"/>
          <w:szCs w:val="28"/>
        </w:rPr>
        <w:t>кодекс</w:t>
      </w:r>
      <w:r w:rsidR="00104EF7">
        <w:rPr>
          <w:rFonts w:cs="Courier New"/>
          <w:kern w:val="28"/>
          <w:sz w:val="28"/>
          <w:szCs w:val="28"/>
        </w:rPr>
        <w:t xml:space="preserve"> </w:t>
      </w:r>
      <w:r w:rsidRPr="00104EF7">
        <w:rPr>
          <w:rFonts w:cs="Courier New"/>
          <w:kern w:val="28"/>
          <w:sz w:val="28"/>
          <w:szCs w:val="28"/>
        </w:rPr>
        <w:t>Республики</w:t>
      </w:r>
      <w:r w:rsidR="00104EF7">
        <w:rPr>
          <w:rFonts w:cs="Courier New"/>
          <w:kern w:val="28"/>
          <w:sz w:val="28"/>
          <w:szCs w:val="28"/>
        </w:rPr>
        <w:t xml:space="preserve"> </w:t>
      </w:r>
      <w:r w:rsidRPr="00104EF7">
        <w:rPr>
          <w:rFonts w:cs="Courier New"/>
          <w:kern w:val="28"/>
          <w:sz w:val="28"/>
          <w:szCs w:val="28"/>
        </w:rPr>
        <w:t>Беларусь</w:t>
      </w:r>
      <w:r w:rsidR="00104EF7">
        <w:rPr>
          <w:rFonts w:cs="Courier New"/>
          <w:kern w:val="28"/>
          <w:sz w:val="28"/>
          <w:szCs w:val="28"/>
        </w:rPr>
        <w:t xml:space="preserve"> </w:t>
      </w:r>
      <w:r w:rsidRPr="00104EF7">
        <w:rPr>
          <w:rFonts w:cs="Courier New"/>
          <w:kern w:val="28"/>
          <w:sz w:val="28"/>
          <w:szCs w:val="28"/>
        </w:rPr>
        <w:t>от</w:t>
      </w:r>
      <w:r w:rsidR="00104EF7">
        <w:rPr>
          <w:rFonts w:cs="Courier New"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19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декабря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2002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г.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«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166-З.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Принят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Палатой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представителей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15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ноября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2002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года.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Одобрен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Советом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Республики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2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декабря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2002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года.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(Национальный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реестр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правовых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актов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Республики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Беларусь,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13.01.2003,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№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4,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рег.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№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2/920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от</w:t>
      </w:r>
      <w:r w:rsidR="00104EF7">
        <w:rPr>
          <w:iCs/>
          <w:kern w:val="28"/>
          <w:sz w:val="28"/>
          <w:szCs w:val="28"/>
        </w:rPr>
        <w:t xml:space="preserve"> </w:t>
      </w:r>
      <w:r w:rsidRPr="00104EF7">
        <w:rPr>
          <w:iCs/>
          <w:kern w:val="28"/>
          <w:sz w:val="28"/>
          <w:szCs w:val="28"/>
        </w:rPr>
        <w:t>02.01.2003).</w:t>
      </w:r>
      <w:r w:rsidR="00104EF7">
        <w:rPr>
          <w:iCs/>
          <w:kern w:val="28"/>
          <w:sz w:val="28"/>
          <w:szCs w:val="28"/>
        </w:rPr>
        <w:t xml:space="preserve"> </w:t>
      </w:r>
    </w:p>
    <w:p w:rsidR="00B864CE" w:rsidRPr="00104EF7" w:rsidRDefault="00B864CE" w:rsidP="00104EF7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104EF7">
        <w:rPr>
          <w:kern w:val="28"/>
          <w:sz w:val="28"/>
          <w:szCs w:val="28"/>
        </w:rPr>
        <w:t>Л.А.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Ханкевич</w:t>
      </w:r>
      <w:r w:rsidR="00104EF7">
        <w:rPr>
          <w:bCs/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«Финансовое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право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Республики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Беларусь».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Учебное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пособие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/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Мн.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Издательство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«Амалфея»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2002г.</w:t>
      </w:r>
    </w:p>
    <w:p w:rsidR="00B864CE" w:rsidRPr="00104EF7" w:rsidRDefault="00B864CE" w:rsidP="00104EF7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104EF7">
        <w:rPr>
          <w:kern w:val="28"/>
          <w:sz w:val="28"/>
          <w:szCs w:val="28"/>
        </w:rPr>
        <w:t>Финансовое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право.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Учебник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/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Под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ред.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проф.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О.Н.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Горбуновой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Издательство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«Юристъ»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М.,</w:t>
      </w:r>
      <w:r w:rsid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2003.</w:t>
      </w:r>
    </w:p>
    <w:p w:rsidR="00104EF7" w:rsidRPr="00104EF7" w:rsidRDefault="00B864CE" w:rsidP="00104E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104EF7">
        <w:rPr>
          <w:kern w:val="28"/>
          <w:sz w:val="28"/>
          <w:szCs w:val="28"/>
        </w:rPr>
        <w:t>Финансовое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право.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Серия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«Учебники,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учебные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пособия»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/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Под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ред.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проф.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В.М.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Мандрина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Ростов-на-Дону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Издательство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«Феникс»,</w:t>
      </w:r>
      <w:r w:rsidR="00104EF7" w:rsidRPr="00104EF7">
        <w:rPr>
          <w:kern w:val="28"/>
          <w:sz w:val="28"/>
          <w:szCs w:val="28"/>
        </w:rPr>
        <w:t xml:space="preserve"> </w:t>
      </w:r>
      <w:r w:rsidRPr="00104EF7">
        <w:rPr>
          <w:kern w:val="28"/>
          <w:sz w:val="28"/>
          <w:szCs w:val="28"/>
        </w:rPr>
        <w:t>2002.</w:t>
      </w:r>
      <w:bookmarkStart w:id="0" w:name="_GoBack"/>
      <w:bookmarkEnd w:id="0"/>
    </w:p>
    <w:sectPr w:rsidR="00104EF7" w:rsidRPr="00104EF7" w:rsidSect="00104EF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E4" w:rsidRDefault="007B48E4">
      <w:r>
        <w:separator/>
      </w:r>
    </w:p>
  </w:endnote>
  <w:endnote w:type="continuationSeparator" w:id="0">
    <w:p w:rsidR="007B48E4" w:rsidRDefault="007B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E4" w:rsidRDefault="007B48E4">
      <w:r>
        <w:separator/>
      </w:r>
    </w:p>
  </w:footnote>
  <w:footnote w:type="continuationSeparator" w:id="0">
    <w:p w:rsidR="007B48E4" w:rsidRDefault="007B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2715E" w:rsidP="00ED13F6">
    <w:pPr>
      <w:pStyle w:val="a3"/>
      <w:framePr w:wrap="around" w:vAnchor="text" w:hAnchor="margin" w:xAlign="right" w:y="1"/>
      <w:rPr>
        <w:rStyle w:val="a5"/>
      </w:rPr>
    </w:pPr>
  </w:p>
  <w:p w:rsidR="0072715E" w:rsidRDefault="0072715E" w:rsidP="00727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A404E" w:rsidP="00ED13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2715E" w:rsidRDefault="0072715E" w:rsidP="00727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96CA53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5B660350"/>
    <w:multiLevelType w:val="multilevel"/>
    <w:tmpl w:val="6534FB7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5E"/>
    <w:rsid w:val="00104EF7"/>
    <w:rsid w:val="001720FD"/>
    <w:rsid w:val="0032446F"/>
    <w:rsid w:val="006D0CBF"/>
    <w:rsid w:val="0072715E"/>
    <w:rsid w:val="007A404E"/>
    <w:rsid w:val="007B48E4"/>
    <w:rsid w:val="00B864CE"/>
    <w:rsid w:val="00DD7F34"/>
    <w:rsid w:val="00E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B98D3B-D80C-443F-8D68-F50EFA51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715E"/>
    <w:rPr>
      <w:rFonts w:cs="Times New Roman"/>
    </w:rPr>
  </w:style>
  <w:style w:type="paragraph" w:styleId="HTML">
    <w:name w:val="HTML Preformatted"/>
    <w:basedOn w:val="a"/>
    <w:link w:val="HTML0"/>
    <w:uiPriority w:val="99"/>
    <w:rsid w:val="00B8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rsid w:val="00B864C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БАНКОВ КАК АГЕНТОВ ВАЛЮТНОГО КОНТРОЛЯ</vt:lpstr>
    </vt:vector>
  </TitlesOfParts>
  <Company>Microsoft</Company>
  <LinksUpToDate>false</LinksUpToDate>
  <CharactersWithSpaces>34793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БАНКОВ КАК АГЕНТОВ ВАЛЮТНОГО КОНТРОЛЯ</dc:title>
  <dc:subject/>
  <dc:creator>Admin</dc:creator>
  <cp:keywords/>
  <dc:description/>
  <cp:lastModifiedBy>admin</cp:lastModifiedBy>
  <cp:revision>2</cp:revision>
  <dcterms:created xsi:type="dcterms:W3CDTF">2014-03-01T16:25:00Z</dcterms:created>
  <dcterms:modified xsi:type="dcterms:W3CDTF">2014-03-01T16:25:00Z</dcterms:modified>
</cp:coreProperties>
</file>