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08" w:rsidRDefault="00C11608">
      <w:pPr>
        <w:pStyle w:val="a3"/>
        <w:rPr>
          <w:rFonts w:ascii="Kursiv95" w:hAnsi="Kursiv95"/>
        </w:rPr>
      </w:pPr>
      <w:r>
        <w:rPr>
          <w:rFonts w:ascii="Kursiv95" w:hAnsi="Kursiv95"/>
        </w:rPr>
        <w:t>Оренбургская государственная медицинская академия</w:t>
      </w:r>
    </w:p>
    <w:p w:rsidR="00C11608" w:rsidRDefault="00C11608">
      <w:pPr>
        <w:jc w:val="center"/>
        <w:rPr>
          <w:rFonts w:ascii="Kursiv95" w:hAnsi="Kursiv95"/>
          <w:sz w:val="32"/>
        </w:rPr>
      </w:pPr>
      <w:r>
        <w:rPr>
          <w:rFonts w:ascii="Kursiv95" w:hAnsi="Kursiv95"/>
          <w:sz w:val="32"/>
        </w:rPr>
        <w:t>Кафедра инфекционных болезней</w:t>
      </w: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right"/>
        <w:rPr>
          <w:rFonts w:ascii="Kursiv95" w:hAnsi="Kursiv95"/>
          <w:sz w:val="32"/>
        </w:rPr>
      </w:pPr>
      <w:r>
        <w:rPr>
          <w:rFonts w:ascii="Kursiv95" w:hAnsi="Kursiv95"/>
          <w:sz w:val="32"/>
        </w:rPr>
        <w:t>Зав.каф.проф. Волков А.Н.</w:t>
      </w:r>
    </w:p>
    <w:p w:rsidR="00C11608" w:rsidRDefault="00C11608">
      <w:pPr>
        <w:jc w:val="right"/>
        <w:rPr>
          <w:rFonts w:ascii="Kursiv95" w:hAnsi="Kursiv95"/>
          <w:sz w:val="32"/>
        </w:rPr>
      </w:pPr>
      <w:r>
        <w:rPr>
          <w:rFonts w:ascii="Kursiv95" w:hAnsi="Kursiv95"/>
          <w:sz w:val="32"/>
        </w:rPr>
        <w:t>Преподаватель Мельцева Ю.В.</w:t>
      </w:r>
    </w:p>
    <w:p w:rsidR="00C11608" w:rsidRDefault="00C11608">
      <w:pPr>
        <w:jc w:val="right"/>
        <w:rPr>
          <w:sz w:val="32"/>
        </w:rPr>
      </w:pPr>
    </w:p>
    <w:p w:rsidR="00C11608" w:rsidRDefault="00C11608">
      <w:pPr>
        <w:jc w:val="right"/>
        <w:rPr>
          <w:sz w:val="32"/>
        </w:rPr>
      </w:pPr>
    </w:p>
    <w:p w:rsidR="00C11608" w:rsidRDefault="00C11608">
      <w:pPr>
        <w:jc w:val="right"/>
        <w:rPr>
          <w:sz w:val="32"/>
        </w:rPr>
      </w:pPr>
    </w:p>
    <w:p w:rsidR="00C11608" w:rsidRDefault="00C11608">
      <w:pPr>
        <w:jc w:val="right"/>
        <w:rPr>
          <w:sz w:val="32"/>
        </w:rPr>
      </w:pPr>
    </w:p>
    <w:p w:rsidR="00C11608" w:rsidRDefault="00C11608">
      <w:pPr>
        <w:jc w:val="right"/>
        <w:rPr>
          <w:sz w:val="32"/>
        </w:rPr>
      </w:pPr>
    </w:p>
    <w:p w:rsidR="00C11608" w:rsidRDefault="00C11608">
      <w:pPr>
        <w:jc w:val="center"/>
        <w:rPr>
          <w:sz w:val="32"/>
        </w:rPr>
      </w:pPr>
    </w:p>
    <w:p w:rsidR="00C11608" w:rsidRDefault="00C11608">
      <w:pPr>
        <w:jc w:val="center"/>
        <w:rPr>
          <w:sz w:val="32"/>
        </w:rPr>
      </w:pPr>
    </w:p>
    <w:p w:rsidR="00C11608" w:rsidRDefault="00C11608">
      <w:pPr>
        <w:jc w:val="center"/>
        <w:rPr>
          <w:sz w:val="32"/>
        </w:rPr>
      </w:pPr>
    </w:p>
    <w:p w:rsidR="00C11608" w:rsidRDefault="00C11608">
      <w:pPr>
        <w:pStyle w:val="1"/>
        <w:rPr>
          <w:rFonts w:ascii="Viking" w:hAnsi="Viking"/>
          <w:sz w:val="52"/>
        </w:rPr>
      </w:pPr>
      <w:r>
        <w:rPr>
          <w:rFonts w:ascii="Viking" w:hAnsi="Viking"/>
          <w:sz w:val="52"/>
        </w:rPr>
        <w:t>История болезни</w:t>
      </w:r>
    </w:p>
    <w:p w:rsidR="00C11608" w:rsidRDefault="00C11608">
      <w:pPr>
        <w:jc w:val="center"/>
        <w:rPr>
          <w:sz w:val="32"/>
        </w:rPr>
      </w:pPr>
    </w:p>
    <w:p w:rsidR="00C11608" w:rsidRDefault="00676D9B">
      <w:pPr>
        <w:jc w:val="center"/>
        <w:rPr>
          <w:rFonts w:ascii="Kursiv95" w:hAnsi="Kursiv95"/>
          <w:b/>
          <w:bCs/>
          <w:sz w:val="32"/>
        </w:rPr>
      </w:pPr>
      <w:r>
        <w:rPr>
          <w:rFonts w:ascii="Kursiv95" w:hAnsi="Kursiv95"/>
          <w:b/>
          <w:bCs/>
          <w:sz w:val="32"/>
        </w:rPr>
        <w:t>Иванов Виталий Иванович</w:t>
      </w:r>
      <w:r w:rsidR="00C11608">
        <w:rPr>
          <w:rFonts w:ascii="Kursiv95" w:hAnsi="Kursiv95"/>
          <w:b/>
          <w:bCs/>
          <w:sz w:val="32"/>
        </w:rPr>
        <w:t>, 14 лет.</w:t>
      </w:r>
    </w:p>
    <w:p w:rsidR="00C11608" w:rsidRDefault="00C11608">
      <w:pPr>
        <w:jc w:val="center"/>
        <w:rPr>
          <w:rFonts w:ascii="Kursiv95" w:hAnsi="Kursiv95"/>
          <w:b/>
          <w:bCs/>
          <w:sz w:val="32"/>
        </w:rPr>
      </w:pPr>
    </w:p>
    <w:p w:rsidR="00C11608" w:rsidRDefault="00C11608">
      <w:pPr>
        <w:jc w:val="center"/>
        <w:rPr>
          <w:rFonts w:ascii="Kursiv95" w:hAnsi="Kursiv95"/>
          <w:b/>
          <w:bCs/>
          <w:color w:val="000000"/>
          <w:sz w:val="32"/>
        </w:rPr>
      </w:pPr>
      <w:r>
        <w:rPr>
          <w:rFonts w:ascii="Kursiv95" w:hAnsi="Kursiv95"/>
          <w:b/>
          <w:bCs/>
          <w:sz w:val="32"/>
        </w:rPr>
        <w:t xml:space="preserve">Диагноз: </w:t>
      </w:r>
      <w:r>
        <w:rPr>
          <w:rFonts w:ascii="Kursiv95" w:hAnsi="Kursiv95"/>
          <w:b/>
          <w:bCs/>
          <w:color w:val="000000"/>
          <w:sz w:val="32"/>
        </w:rPr>
        <w:t>функциональная гипербилирубинемия (доброкачественная гипербилирубинемия или синдром Жильбера).</w:t>
      </w: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C11608">
      <w:pPr>
        <w:jc w:val="center"/>
        <w:rPr>
          <w:rFonts w:ascii="Kursiv95" w:hAnsi="Kursiv95"/>
          <w:sz w:val="32"/>
        </w:rPr>
      </w:pPr>
    </w:p>
    <w:p w:rsidR="00C11608" w:rsidRDefault="00676D9B">
      <w:pPr>
        <w:pStyle w:val="2"/>
        <w:rPr>
          <w:rFonts w:ascii="Kursiv95" w:hAnsi="Kursiv95"/>
        </w:rPr>
      </w:pPr>
      <w:r>
        <w:rPr>
          <w:rFonts w:ascii="Kursiv95" w:hAnsi="Kursiv95"/>
        </w:rPr>
        <w:t xml:space="preserve">Куратор студент </w:t>
      </w:r>
      <w:r>
        <w:rPr>
          <w:rFonts w:ascii="Kursiv95" w:hAnsi="Kursiv95"/>
          <w:lang w:val="en-US"/>
        </w:rPr>
        <w:t>XX</w:t>
      </w:r>
      <w:r w:rsidR="00C11608">
        <w:rPr>
          <w:rFonts w:ascii="Kursiv95" w:hAnsi="Kursiv95"/>
        </w:rPr>
        <w:t xml:space="preserve"> группы</w:t>
      </w:r>
    </w:p>
    <w:p w:rsidR="00C11608" w:rsidRPr="00676D9B" w:rsidRDefault="00676D9B">
      <w:pPr>
        <w:jc w:val="right"/>
        <w:rPr>
          <w:rFonts w:ascii="Kursiv95" w:hAnsi="Kursiv95"/>
          <w:sz w:val="32"/>
        </w:rPr>
      </w:pPr>
      <w:r>
        <w:rPr>
          <w:rFonts w:ascii="Kursiv95" w:hAnsi="Kursiv95"/>
          <w:sz w:val="32"/>
          <w:lang w:val="en-US"/>
        </w:rPr>
        <w:t>Ersallcer</w:t>
      </w:r>
    </w:p>
    <w:p w:rsidR="00C11608" w:rsidRDefault="00C11608">
      <w:pPr>
        <w:jc w:val="right"/>
        <w:rPr>
          <w:rFonts w:ascii="Kursiv95" w:hAnsi="Kursiv95"/>
          <w:sz w:val="32"/>
        </w:rPr>
      </w:pPr>
      <w:r>
        <w:rPr>
          <w:rFonts w:ascii="Kursiv95" w:hAnsi="Kursiv95"/>
          <w:sz w:val="32"/>
        </w:rPr>
        <w:t xml:space="preserve">Начало курации </w:t>
      </w:r>
      <w:r w:rsidR="00676D9B">
        <w:rPr>
          <w:rFonts w:ascii="Kursiv95" w:hAnsi="Kursiv95"/>
          <w:sz w:val="32"/>
        </w:rPr>
        <w:t>…</w:t>
      </w:r>
    </w:p>
    <w:p w:rsidR="00C11608" w:rsidRDefault="00C11608">
      <w:pPr>
        <w:jc w:val="right"/>
        <w:rPr>
          <w:rFonts w:ascii="Kursiv95" w:hAnsi="Kursiv95"/>
          <w:sz w:val="32"/>
        </w:rPr>
      </w:pPr>
      <w:r>
        <w:rPr>
          <w:rFonts w:ascii="Kursiv95" w:hAnsi="Kursiv95"/>
          <w:sz w:val="32"/>
        </w:rPr>
        <w:t xml:space="preserve">Окончание курации </w:t>
      </w:r>
      <w:r w:rsidR="00676D9B">
        <w:rPr>
          <w:rFonts w:ascii="Kursiv95" w:hAnsi="Kursiv95"/>
          <w:sz w:val="32"/>
        </w:rPr>
        <w:t>…</w:t>
      </w:r>
    </w:p>
    <w:p w:rsidR="00C11608" w:rsidRDefault="00C11608">
      <w:pPr>
        <w:jc w:val="right"/>
        <w:rPr>
          <w:rFonts w:ascii="Kursiv95" w:hAnsi="Kursiv95"/>
          <w:sz w:val="32"/>
        </w:rPr>
      </w:pPr>
    </w:p>
    <w:p w:rsidR="00C11608" w:rsidRDefault="00C11608">
      <w:pPr>
        <w:jc w:val="right"/>
        <w:rPr>
          <w:rFonts w:ascii="Kursiv95" w:hAnsi="Kursiv95"/>
          <w:sz w:val="32"/>
        </w:rPr>
      </w:pPr>
    </w:p>
    <w:p w:rsidR="00C11608" w:rsidRDefault="00C11608">
      <w:pPr>
        <w:pStyle w:val="3"/>
        <w:rPr>
          <w:rFonts w:ascii="Kursiv95" w:hAnsi="Kursiv95"/>
        </w:rPr>
      </w:pPr>
      <w:r>
        <w:rPr>
          <w:rFonts w:ascii="Kursiv95" w:hAnsi="Kursiv95"/>
        </w:rPr>
        <w:t xml:space="preserve">Оренбург </w:t>
      </w:r>
      <w:r w:rsidR="00676D9B">
        <w:rPr>
          <w:rFonts w:ascii="Kursiv95" w:hAnsi="Kursiv95"/>
        </w:rPr>
        <w:t>–</w:t>
      </w:r>
      <w:r>
        <w:rPr>
          <w:rFonts w:ascii="Kursiv95" w:hAnsi="Kursiv95"/>
        </w:rPr>
        <w:t xml:space="preserve"> 2003</w:t>
      </w:r>
    </w:p>
    <w:p w:rsidR="00676D9B" w:rsidRPr="00676D9B" w:rsidRDefault="00676D9B" w:rsidP="00676D9B"/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Паспортная часть: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Больной направлен больницей им. Пирогова.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Дата заболевания 25.12.2002</w:t>
      </w:r>
    </w:p>
    <w:p w:rsidR="00C11608" w:rsidRDefault="00C11608">
      <w:pPr>
        <w:jc w:val="both"/>
        <w:rPr>
          <w:color w:val="999999"/>
          <w:sz w:val="32"/>
          <w:vertAlign w:val="superscript"/>
        </w:rPr>
      </w:pPr>
      <w:r>
        <w:rPr>
          <w:color w:val="999999"/>
          <w:sz w:val="32"/>
        </w:rPr>
        <w:t>Дата поступления 27.12.2002 в 10</w:t>
      </w:r>
      <w:r>
        <w:rPr>
          <w:color w:val="999999"/>
          <w:sz w:val="32"/>
          <w:u w:val="single"/>
          <w:vertAlign w:val="superscript"/>
        </w:rPr>
        <w:t>15</w:t>
      </w:r>
    </w:p>
    <w:p w:rsidR="00C11608" w:rsidRDefault="00676D9B">
      <w:pPr>
        <w:pStyle w:val="4"/>
        <w:rPr>
          <w:color w:val="999999"/>
        </w:rPr>
      </w:pPr>
      <w:r>
        <w:rPr>
          <w:color w:val="999999"/>
        </w:rPr>
        <w:t>Иванов Виталий Иванович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Возраст 14 лет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Образование: неполное среднее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Место жительства Д</w:t>
      </w:r>
      <w:r w:rsidR="00676D9B">
        <w:rPr>
          <w:color w:val="999999"/>
          <w:sz w:val="32"/>
        </w:rPr>
        <w:t>зержинский район, пр. Победы 199 – 6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Место р</w:t>
      </w:r>
      <w:r w:rsidR="00676D9B">
        <w:rPr>
          <w:color w:val="999999"/>
          <w:sz w:val="32"/>
        </w:rPr>
        <w:t>аботы: ученик 9 класса лицея № 1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Жалобы больного: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На момент курации жалобы на повышенную температуру тела, изменение окраски лица, ухудшение аппетита, слабость, утомляемость.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Анамнез настоящего заболевания: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25.12.2002 отметил повышение температуры тела до 38</w:t>
      </w:r>
      <w:r>
        <w:rPr>
          <w:color w:val="999999"/>
          <w:sz w:val="32"/>
          <w:vertAlign w:val="superscript"/>
        </w:rPr>
        <w:t>0</w:t>
      </w:r>
      <w:r>
        <w:rPr>
          <w:color w:val="999999"/>
          <w:sz w:val="32"/>
        </w:rPr>
        <w:t xml:space="preserve"> С. Появились тошнота, вялость. Произошло резкое ухудшение аппетита. Заметил изменение окраски мочи. В течение последующих двух дней динамики не наблюдалось, и 27.12.2002 обратился в поликлинику им. Пирогова, где был осмотрен педиатром и направлен на стационарное лечение.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Анамнез жизни:</w:t>
      </w:r>
    </w:p>
    <w:p w:rsidR="00C11608" w:rsidRDefault="00676D9B">
      <w:pPr>
        <w:pStyle w:val="a4"/>
        <w:rPr>
          <w:color w:val="999999"/>
          <w:sz w:val="32"/>
        </w:rPr>
      </w:pPr>
      <w:r>
        <w:rPr>
          <w:color w:val="999999"/>
          <w:sz w:val="32"/>
        </w:rPr>
        <w:t>Иванов Виталий Иванович</w:t>
      </w:r>
      <w:r w:rsidR="00C11608">
        <w:rPr>
          <w:color w:val="999999"/>
          <w:sz w:val="32"/>
        </w:rPr>
        <w:t>, родился 13.07.88 в городе Оренбурге в семье рабочих, первым ребёнком. Рос и развивался соответственно возрасту. Жилищные условия хорошие. Редко болел простудными заболеваниями. Генетический анамнез: аллергические, контактные заболевания у родственников отрицает, эпилепсию у родственников отрицает. Вредные привычки: отсутствуют. Туберкулёз, гепатит В, венерические заболевания отрицает. Операции: отсутствуют. Гемотрансфузионный анамнез: отрицает.</w:t>
      </w:r>
    </w:p>
    <w:p w:rsidR="00C11608" w:rsidRDefault="00C11608">
      <w:pPr>
        <w:pStyle w:val="a4"/>
        <w:rPr>
          <w:color w:val="999999"/>
          <w:sz w:val="32"/>
        </w:rPr>
      </w:pPr>
    </w:p>
    <w:p w:rsidR="00C11608" w:rsidRDefault="00C11608">
      <w:pPr>
        <w:pStyle w:val="a4"/>
        <w:numPr>
          <w:ilvl w:val="0"/>
          <w:numId w:val="1"/>
        </w:numPr>
        <w:rPr>
          <w:color w:val="999999"/>
          <w:sz w:val="32"/>
          <w:u w:val="single"/>
        </w:rPr>
      </w:pPr>
      <w:r>
        <w:rPr>
          <w:color w:val="999999"/>
          <w:sz w:val="32"/>
          <w:u w:val="single"/>
        </w:rPr>
        <w:t>Эпидемиологический анамнез:</w:t>
      </w:r>
    </w:p>
    <w:p w:rsidR="00C11608" w:rsidRDefault="00C11608">
      <w:pPr>
        <w:pStyle w:val="a4"/>
        <w:rPr>
          <w:color w:val="999999"/>
          <w:sz w:val="32"/>
        </w:rPr>
      </w:pPr>
      <w:r>
        <w:rPr>
          <w:color w:val="999999"/>
          <w:sz w:val="32"/>
        </w:rPr>
        <w:t>Ученик лицея. В семье случаи вирусного гепатита отсутствуют. За последние 50 дней до заболевания случаев вирусного гепатита в лицее не отмечалось. Правила личной гигиены больной соблюдает, моет руки перед едой. Обедает в учебные дни в школе, все условия для соблюдения правил личной гигиены в посещаемой столовой имеются. Берут воду из водопровода, употребляют её в кипячёном виде. Никаких особенностей воды за последние 50 дней не замечали. Фрукты и овощи употребляют, всегда моют их перед употреблением. Желтухой раньше не болел. Профилактическим прививкам против вирусного гепатита подвергался. Никаким хирургическим вмешательствам больной не подвергался, за последние 6 месяцев никаких инъекций не получал. За последние 6 месяцев визитов к стоматологу не было. Плазма и кровь не переливались.</w:t>
      </w:r>
    </w:p>
    <w:p w:rsidR="00C11608" w:rsidRDefault="00C11608">
      <w:pPr>
        <w:pStyle w:val="a4"/>
        <w:rPr>
          <w:color w:val="999999"/>
          <w:sz w:val="32"/>
        </w:rPr>
      </w:pPr>
    </w:p>
    <w:p w:rsidR="00C11608" w:rsidRDefault="00C11608">
      <w:pPr>
        <w:pStyle w:val="a4"/>
        <w:numPr>
          <w:ilvl w:val="0"/>
          <w:numId w:val="1"/>
        </w:numPr>
        <w:rPr>
          <w:color w:val="999999"/>
          <w:sz w:val="32"/>
        </w:rPr>
      </w:pPr>
      <w:r>
        <w:rPr>
          <w:color w:val="999999"/>
          <w:sz w:val="32"/>
          <w:u w:val="single"/>
        </w:rPr>
        <w:t>Аллергологический анамнез:</w:t>
      </w:r>
    </w:p>
    <w:p w:rsidR="00C11608" w:rsidRDefault="00C11608">
      <w:pPr>
        <w:pStyle w:val="a4"/>
        <w:rPr>
          <w:color w:val="999999"/>
          <w:sz w:val="32"/>
        </w:rPr>
      </w:pPr>
      <w:r>
        <w:rPr>
          <w:color w:val="999999"/>
          <w:sz w:val="32"/>
        </w:rPr>
        <w:t>Непереносимости пищевых продуктов, лекарств нет.</w:t>
      </w:r>
    </w:p>
    <w:p w:rsidR="00C11608" w:rsidRDefault="00C11608">
      <w:pPr>
        <w:pStyle w:val="a4"/>
        <w:rPr>
          <w:color w:val="999999"/>
          <w:sz w:val="32"/>
        </w:rPr>
      </w:pPr>
    </w:p>
    <w:p w:rsidR="00C11608" w:rsidRDefault="00C11608">
      <w:pPr>
        <w:pStyle w:val="a4"/>
        <w:numPr>
          <w:ilvl w:val="0"/>
          <w:numId w:val="1"/>
        </w:numPr>
        <w:rPr>
          <w:color w:val="999999"/>
          <w:sz w:val="32"/>
          <w:u w:val="single"/>
        </w:rPr>
      </w:pPr>
      <w:r>
        <w:rPr>
          <w:color w:val="999999"/>
          <w:sz w:val="32"/>
          <w:u w:val="single"/>
        </w:rPr>
        <w:t>Объективные данные:</w:t>
      </w:r>
    </w:p>
    <w:p w:rsidR="00C11608" w:rsidRDefault="00C11608">
      <w:pPr>
        <w:pStyle w:val="30"/>
        <w:ind w:left="0" w:firstLine="0"/>
        <w:rPr>
          <w:color w:val="999999"/>
          <w:sz w:val="32"/>
        </w:rPr>
      </w:pPr>
      <w:r>
        <w:rPr>
          <w:color w:val="999999"/>
          <w:sz w:val="32"/>
        </w:rPr>
        <w:t>Общее состояние удовлетворительное. Больной в сознании, хорошего питания, положение в постели активное, одутловатость отсутствует. Кожные покровы и склера субинтеричные. Отёков нет. Высыпания отсутствуют. Рубцы, зуд, расчёсы отсутствуют. Пальпируются единичные безболезненные лимфатические узлы, размером с “горох”, подвижные. Подкожно-жировая клетчатка умеренно развита. Мышцы развиты удовлетворительно, боли в них отсутствуют.</w:t>
      </w:r>
    </w:p>
    <w:p w:rsidR="00C11608" w:rsidRDefault="00C11608">
      <w:pPr>
        <w:pStyle w:val="30"/>
        <w:ind w:left="0" w:firstLine="0"/>
        <w:rPr>
          <w:color w:val="999999"/>
          <w:sz w:val="32"/>
        </w:rPr>
      </w:pPr>
    </w:p>
    <w:p w:rsidR="00C11608" w:rsidRDefault="00C11608">
      <w:pPr>
        <w:pStyle w:val="a5"/>
        <w:numPr>
          <w:ilvl w:val="0"/>
          <w:numId w:val="2"/>
        </w:numPr>
        <w:ind w:left="644"/>
        <w:rPr>
          <w:color w:val="999999"/>
          <w:sz w:val="32"/>
        </w:rPr>
      </w:pPr>
      <w:r>
        <w:rPr>
          <w:color w:val="999999"/>
          <w:sz w:val="32"/>
        </w:rPr>
        <w:t>Костно-мышечная система:</w:t>
      </w:r>
    </w:p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>Мышцы развиты умеренно, симметрично. Деформации и болезненности в области костей и суставов не отмечается.</w:t>
      </w:r>
    </w:p>
    <w:p w:rsidR="00C11608" w:rsidRDefault="00C11608">
      <w:pPr>
        <w:numPr>
          <w:ilvl w:val="0"/>
          <w:numId w:val="3"/>
        </w:numPr>
        <w:ind w:left="645"/>
        <w:jc w:val="both"/>
        <w:rPr>
          <w:color w:val="999999"/>
          <w:sz w:val="32"/>
        </w:rPr>
      </w:pPr>
      <w:r>
        <w:rPr>
          <w:color w:val="999999"/>
          <w:sz w:val="32"/>
        </w:rPr>
        <w:t>Система органов дыхания:</w:t>
      </w:r>
    </w:p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Дыхание через нос свободное, грудная клетка цилиндрической формы, симметрично участвует в акте дыхания. ЧДД 20 в минуту. Тип дыхания брюшной. При пальпации – ригидность грудной клетки обычная, голосовое дрожание над всей поверхностью лёгких не изменено. Топографическая перкуссия: над лёгкими ясный лёгочный звук, высота стояния верхушек лёгких спереди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999999"/>
            <w:sz w:val="32"/>
          </w:rPr>
          <w:t>4 см</w:t>
        </w:r>
      </w:smartTag>
      <w:r>
        <w:rPr>
          <w:color w:val="999999"/>
          <w:sz w:val="32"/>
        </w:rPr>
        <w:t xml:space="preserve"> с обеих сторон над ключицами, сзади высота стояния верхушек на уровне остистого отростка 7 шейного позвонка, поля Кренига </w:t>
      </w:r>
      <w:smartTag w:uri="urn:schemas-microsoft-com:office:smarttags" w:element="metricconverter">
        <w:smartTagPr>
          <w:attr w:name="ProductID" w:val="6 см"/>
        </w:smartTagPr>
        <w:r>
          <w:rPr>
            <w:color w:val="999999"/>
            <w:sz w:val="32"/>
          </w:rPr>
          <w:t>6 см</w:t>
        </w:r>
      </w:smartTag>
      <w:r>
        <w:rPr>
          <w:color w:val="999999"/>
          <w:sz w:val="32"/>
        </w:rPr>
        <w:t xml:space="preserve"> с обеих сторон. Нижние границы лёгких: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7"/>
      </w:tblGrid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Правое лёгкое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Левое лёгкое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Окологрудинная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5 межреберье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                    – 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Среднеключичная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6 межреберье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                    – 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Пер.подмышечная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7 межреберье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7 межреберье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Ср.подмышечная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8 межреберье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8 межреберье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Зад.подмышечная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9 межреберье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9 межреберье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Лопаточная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10 межреберье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10 межреберье</w:t>
            </w:r>
          </w:p>
        </w:tc>
      </w:tr>
      <w:tr w:rsidR="00C11608"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Паравертебральная  линия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Остистый отросток 11 грудного позвонка</w:t>
            </w:r>
          </w:p>
        </w:tc>
        <w:tc>
          <w:tcPr>
            <w:tcW w:w="3237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Остистый отросток 11 грудного позвонка</w:t>
            </w:r>
          </w:p>
        </w:tc>
      </w:tr>
    </w:tbl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При сравнительной перкуссии патологии не выявлено. Активная подвижность нижнелёгочного края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999999"/>
            <w:sz w:val="32"/>
          </w:rPr>
          <w:t>4 см</w:t>
        </w:r>
      </w:smartTag>
      <w:r>
        <w:rPr>
          <w:color w:val="999999"/>
          <w:sz w:val="32"/>
        </w:rPr>
        <w:t xml:space="preserve"> с обеих сторон. При аускультации дыхание везикулярное, хрипов нет.</w:t>
      </w:r>
    </w:p>
    <w:p w:rsidR="00C11608" w:rsidRDefault="00C11608">
      <w:pPr>
        <w:numPr>
          <w:ilvl w:val="0"/>
          <w:numId w:val="4"/>
        </w:numPr>
        <w:jc w:val="both"/>
        <w:rPr>
          <w:color w:val="999999"/>
          <w:sz w:val="32"/>
        </w:rPr>
      </w:pPr>
      <w:r>
        <w:rPr>
          <w:color w:val="999999"/>
          <w:sz w:val="32"/>
        </w:rPr>
        <w:t>Сердечно-сосудистая система:</w:t>
      </w:r>
    </w:p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При осмотре область сердца не изменена. Сердечный толчок на глаз не    виден, при пальпации определяется по среднеключичной линии в 5-м межреберье </w:t>
      </w:r>
      <w:smartTag w:uri="urn:schemas-microsoft-com:office:smarttags" w:element="metricconverter">
        <w:smartTagPr>
          <w:attr w:name="ProductID" w:val="1,5 см"/>
        </w:smartTagPr>
        <w:r>
          <w:rPr>
            <w:color w:val="999999"/>
            <w:sz w:val="32"/>
          </w:rPr>
          <w:t>1,5 см</w:t>
        </w:r>
      </w:smartTag>
      <w:r>
        <w:rPr>
          <w:color w:val="999999"/>
          <w:sz w:val="32"/>
        </w:rPr>
        <w:t xml:space="preserve"> кнаружи. Выбухания сосудов и патологической пульсации не выявлено. Пульс ритмичный, хорошего наполнения и напряжения. ЧСС 80 уд/мин. Границы относительной сердечной тупости:</w:t>
      </w:r>
    </w:p>
    <w:p w:rsidR="00C11608" w:rsidRDefault="00C11608">
      <w:pPr>
        <w:ind w:left="284"/>
        <w:jc w:val="both"/>
        <w:rPr>
          <w:color w:val="999999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769"/>
      </w:tblGrid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2 межреберье справа</w:t>
            </w:r>
          </w:p>
        </w:tc>
        <w:tc>
          <w:tcPr>
            <w:tcW w:w="6769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Край грудины</w:t>
            </w:r>
          </w:p>
        </w:tc>
      </w:tr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3 межреберье справа</w:t>
            </w:r>
          </w:p>
        </w:tc>
        <w:tc>
          <w:tcPr>
            <w:tcW w:w="6769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0,5 см"/>
              </w:smartTagPr>
              <w:r>
                <w:rPr>
                  <w:color w:val="999999"/>
                  <w:sz w:val="28"/>
                </w:rPr>
                <w:t>0,5 см</w:t>
              </w:r>
            </w:smartTag>
            <w:r>
              <w:rPr>
                <w:color w:val="999999"/>
                <w:sz w:val="28"/>
              </w:rPr>
              <w:t xml:space="preserve"> от края грудины</w:t>
            </w:r>
          </w:p>
        </w:tc>
      </w:tr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4 межреберье справа</w:t>
            </w:r>
          </w:p>
        </w:tc>
        <w:tc>
          <w:tcPr>
            <w:tcW w:w="6769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color w:val="999999"/>
                  <w:sz w:val="28"/>
                </w:rPr>
                <w:t>1 см</w:t>
              </w:r>
            </w:smartTag>
            <w:r>
              <w:rPr>
                <w:color w:val="999999"/>
                <w:sz w:val="28"/>
              </w:rPr>
              <w:t xml:space="preserve"> от края грудины</w:t>
            </w:r>
          </w:p>
        </w:tc>
      </w:tr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2 межреберье слева</w:t>
            </w:r>
          </w:p>
        </w:tc>
        <w:tc>
          <w:tcPr>
            <w:tcW w:w="6769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Край грудины</w:t>
            </w:r>
          </w:p>
        </w:tc>
      </w:tr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3 межреберье слева</w:t>
            </w:r>
          </w:p>
        </w:tc>
        <w:tc>
          <w:tcPr>
            <w:tcW w:w="6769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color w:val="999999"/>
                  <w:sz w:val="28"/>
                </w:rPr>
                <w:t>1 см</w:t>
              </w:r>
            </w:smartTag>
            <w:r>
              <w:rPr>
                <w:color w:val="999999"/>
                <w:sz w:val="28"/>
              </w:rPr>
              <w:t xml:space="preserve"> латеральнее от края грудины</w:t>
            </w:r>
          </w:p>
        </w:tc>
      </w:tr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4 межреберье слева</w:t>
            </w:r>
          </w:p>
        </w:tc>
        <w:tc>
          <w:tcPr>
            <w:tcW w:w="6769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color w:val="999999"/>
                  <w:sz w:val="28"/>
                </w:rPr>
                <w:t>2 см</w:t>
              </w:r>
            </w:smartTag>
            <w:r>
              <w:rPr>
                <w:color w:val="999999"/>
                <w:sz w:val="28"/>
              </w:rPr>
              <w:t xml:space="preserve"> от края грудины</w:t>
            </w:r>
          </w:p>
        </w:tc>
      </w:tr>
      <w:tr w:rsidR="00C11608">
        <w:tc>
          <w:tcPr>
            <w:tcW w:w="2943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5 межреберье слева</w:t>
            </w:r>
          </w:p>
        </w:tc>
        <w:tc>
          <w:tcPr>
            <w:tcW w:w="6769" w:type="dxa"/>
          </w:tcPr>
          <w:p w:rsidR="00C11608" w:rsidRDefault="00C11608">
            <w:pPr>
              <w:pStyle w:val="5"/>
            </w:pPr>
            <w:r>
              <w:t xml:space="preserve">На </w:t>
            </w:r>
            <w:smartTag w:uri="urn:schemas-microsoft-com:office:smarttags" w:element="metricconverter">
              <w:smartTagPr>
                <w:attr w:name="ProductID" w:val="1,5 см"/>
              </w:smartTagPr>
              <w:r>
                <w:t>1,5 см</w:t>
              </w:r>
            </w:smartTag>
            <w:r>
              <w:t xml:space="preserve"> кнаружи от среднеключичной линии</w:t>
            </w:r>
          </w:p>
        </w:tc>
      </w:tr>
    </w:tbl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4 см"/>
        </w:smartTagPr>
        <w:r>
          <w:rPr>
            <w:color w:val="999999"/>
            <w:sz w:val="32"/>
          </w:rPr>
          <w:t>4 см</w:t>
        </w:r>
      </w:smartTag>
      <w:r>
        <w:rPr>
          <w:color w:val="999999"/>
          <w:sz w:val="32"/>
        </w:rPr>
        <w:t xml:space="preserve">. Поперечник </w:t>
      </w:r>
      <w:smartTag w:uri="urn:schemas-microsoft-com:office:smarttags" w:element="metricconverter">
        <w:smartTagPr>
          <w:attr w:name="ProductID" w:val="12 см"/>
        </w:smartTagPr>
        <w:r>
          <w:rPr>
            <w:color w:val="999999"/>
            <w:sz w:val="32"/>
          </w:rPr>
          <w:t>12 см</w:t>
        </w:r>
      </w:smartTag>
      <w:r>
        <w:rPr>
          <w:color w:val="999999"/>
          <w:sz w:val="32"/>
        </w:rPr>
        <w:t>. Границы абсолютной сердечной тупости: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328"/>
      </w:tblGrid>
      <w:tr w:rsidR="00C11608">
        <w:tc>
          <w:tcPr>
            <w:tcW w:w="1384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Верхняя </w:t>
            </w:r>
          </w:p>
        </w:tc>
        <w:tc>
          <w:tcPr>
            <w:tcW w:w="8328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3-е межреберье по парастернальной линии</w:t>
            </w:r>
          </w:p>
        </w:tc>
      </w:tr>
      <w:tr w:rsidR="00C11608">
        <w:tc>
          <w:tcPr>
            <w:tcW w:w="1384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Правая</w:t>
            </w:r>
          </w:p>
        </w:tc>
        <w:tc>
          <w:tcPr>
            <w:tcW w:w="8328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4 межреберье по левому краю грудины</w:t>
            </w:r>
          </w:p>
        </w:tc>
      </w:tr>
      <w:tr w:rsidR="00C11608">
        <w:tc>
          <w:tcPr>
            <w:tcW w:w="1384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>Левая</w:t>
            </w:r>
          </w:p>
        </w:tc>
        <w:tc>
          <w:tcPr>
            <w:tcW w:w="8328" w:type="dxa"/>
          </w:tcPr>
          <w:p w:rsidR="00C11608" w:rsidRDefault="00C11608">
            <w:pPr>
              <w:jc w:val="both"/>
              <w:rPr>
                <w:color w:val="999999"/>
                <w:sz w:val="28"/>
              </w:rPr>
            </w:pPr>
            <w:r>
              <w:rPr>
                <w:color w:val="999999"/>
                <w:sz w:val="28"/>
              </w:rPr>
              <w:t xml:space="preserve">5 межреберье </w:t>
            </w:r>
            <w:smartTag w:uri="urn:schemas-microsoft-com:office:smarttags" w:element="metricconverter">
              <w:smartTagPr>
                <w:attr w:name="ProductID" w:val="2 см"/>
              </w:smartTagPr>
              <w:r>
                <w:rPr>
                  <w:color w:val="999999"/>
                  <w:sz w:val="28"/>
                </w:rPr>
                <w:t>2 см</w:t>
              </w:r>
            </w:smartTag>
            <w:r>
              <w:rPr>
                <w:color w:val="999999"/>
                <w:sz w:val="28"/>
              </w:rPr>
              <w:t xml:space="preserve"> кнаружи от среднеключичной линии</w:t>
            </w:r>
          </w:p>
        </w:tc>
      </w:tr>
    </w:tbl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>При аускультации тоны сердца ясные, ритмичные. АД = 120/80 мм. рт. ст. (</w:t>
      </w:r>
      <w:r>
        <w:rPr>
          <w:color w:val="999999"/>
          <w:sz w:val="32"/>
          <w:lang w:val="en-US"/>
        </w:rPr>
        <w:t>D</w:t>
      </w:r>
      <w:r>
        <w:rPr>
          <w:color w:val="999999"/>
          <w:sz w:val="32"/>
        </w:rPr>
        <w:t>=</w:t>
      </w:r>
      <w:r>
        <w:rPr>
          <w:color w:val="999999"/>
          <w:sz w:val="32"/>
          <w:lang w:val="en-US"/>
        </w:rPr>
        <w:t>S</w:t>
      </w:r>
      <w:r>
        <w:rPr>
          <w:color w:val="999999"/>
          <w:sz w:val="32"/>
        </w:rPr>
        <w:t>)</w:t>
      </w:r>
    </w:p>
    <w:p w:rsidR="00C11608" w:rsidRDefault="00C11608">
      <w:pPr>
        <w:numPr>
          <w:ilvl w:val="0"/>
          <w:numId w:val="5"/>
        </w:numPr>
        <w:jc w:val="both"/>
        <w:rPr>
          <w:color w:val="999999"/>
          <w:sz w:val="32"/>
        </w:rPr>
      </w:pPr>
      <w:r>
        <w:rPr>
          <w:color w:val="999999"/>
          <w:sz w:val="32"/>
        </w:rPr>
        <w:t>Пищеварительная система:</w:t>
      </w:r>
    </w:p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>Язык влажный, слизистые полости рта бледно-розового цвета. Стоматита и кариозных зубов нет. Живот обычной формы. Печень безболезненная, не увеличена. Размеры по Курлову 10*9*7 см. Стул регулярный, оформленный.</w:t>
      </w:r>
    </w:p>
    <w:p w:rsidR="00C11608" w:rsidRDefault="00C11608">
      <w:pPr>
        <w:numPr>
          <w:ilvl w:val="0"/>
          <w:numId w:val="6"/>
        </w:numPr>
        <w:jc w:val="both"/>
        <w:rPr>
          <w:color w:val="999999"/>
          <w:sz w:val="32"/>
        </w:rPr>
      </w:pPr>
      <w:r>
        <w:rPr>
          <w:color w:val="999999"/>
          <w:sz w:val="32"/>
        </w:rPr>
        <w:t>Мочеполовая система:</w:t>
      </w:r>
    </w:p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>Осмотр поясничной области без патологии. Симптом Пастернацкого отрицательный с обеих сторон. Мочеиспускание свободное, безболезненное, дизурических расстройств нет. Отёков нет. Вторичные половые признаки развиты без отклонений.</w:t>
      </w:r>
    </w:p>
    <w:p w:rsidR="00C11608" w:rsidRDefault="00C11608">
      <w:pPr>
        <w:numPr>
          <w:ilvl w:val="0"/>
          <w:numId w:val="7"/>
        </w:numPr>
        <w:jc w:val="both"/>
        <w:rPr>
          <w:color w:val="999999"/>
          <w:sz w:val="32"/>
        </w:rPr>
      </w:pPr>
      <w:r>
        <w:rPr>
          <w:color w:val="999999"/>
          <w:sz w:val="32"/>
        </w:rPr>
        <w:t>Кроветворная система:</w:t>
      </w:r>
    </w:p>
    <w:p w:rsidR="00C11608" w:rsidRDefault="00C11608">
      <w:pPr>
        <w:ind w:left="284"/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Видимых кровоизлияний и геморрагической сыпи на коже нет. Болезненность при постукивании по грудине и трубчатым костям отсутствует. Доступные пальпации лимфатические узлы не увеличены, безболезненны. Селезёнка не пальпируется, перкуторно её размеры: поперечник </w:t>
      </w:r>
      <w:smartTag w:uri="urn:schemas-microsoft-com:office:smarttags" w:element="metricconverter">
        <w:smartTagPr>
          <w:attr w:name="ProductID" w:val="5 см"/>
        </w:smartTagPr>
        <w:r>
          <w:rPr>
            <w:color w:val="999999"/>
            <w:sz w:val="32"/>
          </w:rPr>
          <w:t>5 см</w:t>
        </w:r>
      </w:smartTag>
      <w:r>
        <w:rPr>
          <w:color w:val="999999"/>
          <w:sz w:val="32"/>
        </w:rPr>
        <w:t xml:space="preserve">, длинник </w:t>
      </w:r>
      <w:smartTag w:uri="urn:schemas-microsoft-com:office:smarttags" w:element="metricconverter">
        <w:smartTagPr>
          <w:attr w:name="ProductID" w:val="10 см"/>
        </w:smartTagPr>
        <w:r>
          <w:rPr>
            <w:color w:val="999999"/>
            <w:sz w:val="32"/>
          </w:rPr>
          <w:t>10 см</w:t>
        </w:r>
      </w:smartTag>
      <w:r>
        <w:rPr>
          <w:color w:val="999999"/>
          <w:sz w:val="32"/>
        </w:rPr>
        <w:t>.</w:t>
      </w:r>
    </w:p>
    <w:p w:rsidR="00C11608" w:rsidRDefault="00C11608">
      <w:pPr>
        <w:numPr>
          <w:ilvl w:val="0"/>
          <w:numId w:val="8"/>
        </w:numPr>
        <w:jc w:val="both"/>
        <w:rPr>
          <w:color w:val="999999"/>
          <w:sz w:val="32"/>
        </w:rPr>
      </w:pPr>
      <w:r>
        <w:rPr>
          <w:color w:val="999999"/>
          <w:sz w:val="32"/>
        </w:rPr>
        <w:t>Эндокринная система:</w:t>
      </w:r>
    </w:p>
    <w:p w:rsidR="00C11608" w:rsidRDefault="00C11608">
      <w:pPr>
        <w:ind w:left="285"/>
        <w:jc w:val="both"/>
        <w:rPr>
          <w:color w:val="999999"/>
          <w:sz w:val="32"/>
        </w:rPr>
      </w:pPr>
      <w:r>
        <w:rPr>
          <w:color w:val="999999"/>
          <w:sz w:val="32"/>
        </w:rPr>
        <w:t>Внешний вид соответствует возрасту и полу. Телосложение пропорциональное, подкожно-жировая клетчатка умеренно развита и равномерно распределена. Форма и цвет лица без особенностей. Щитовидная железа не увеличена, глазные симптомы гипертериоза отсутствуют. Состояние и структура волос без патологии, оволосение по мужскому типу.</w:t>
      </w:r>
    </w:p>
    <w:p w:rsidR="00C11608" w:rsidRDefault="00C11608">
      <w:pPr>
        <w:pStyle w:val="30"/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color w:val="999999"/>
          <w:sz w:val="32"/>
        </w:rPr>
      </w:pPr>
      <w:r>
        <w:rPr>
          <w:color w:val="999999"/>
          <w:sz w:val="32"/>
        </w:rPr>
        <w:t>Неврологический статус:</w:t>
      </w:r>
    </w:p>
    <w:p w:rsidR="00C11608" w:rsidRDefault="00C11608">
      <w:pPr>
        <w:pStyle w:val="30"/>
        <w:ind w:firstLine="0"/>
        <w:rPr>
          <w:color w:val="999999"/>
          <w:sz w:val="32"/>
        </w:rPr>
      </w:pPr>
      <w:r>
        <w:rPr>
          <w:color w:val="999999"/>
          <w:sz w:val="32"/>
        </w:rPr>
        <w:t>Состояние больного к моменту курации удовлетворительное. Сознание ясное. Положение больного активное. Больной контактен, отвечает на все заданные вопросы. Больной ориентируется в месте и во времени, настроение – хорошее, поведение – спокойное. Память сохранена, снижение интеллекта отсутствует. Менингиальные симптомы (ригидность затылочных мышц, симптом Кернига, Брудзинского) – отрицательные.</w:t>
      </w:r>
    </w:p>
    <w:p w:rsidR="00C11608" w:rsidRDefault="00C11608">
      <w:pPr>
        <w:pStyle w:val="30"/>
        <w:ind w:left="0" w:firstLine="0"/>
        <w:rPr>
          <w:color w:val="999999"/>
          <w:sz w:val="32"/>
        </w:rPr>
      </w:pPr>
    </w:p>
    <w:p w:rsidR="00C11608" w:rsidRDefault="00C11608">
      <w:pPr>
        <w:pStyle w:val="30"/>
        <w:numPr>
          <w:ilvl w:val="0"/>
          <w:numId w:val="1"/>
        </w:numPr>
        <w:rPr>
          <w:color w:val="999999"/>
          <w:sz w:val="32"/>
        </w:rPr>
      </w:pPr>
      <w:r>
        <w:rPr>
          <w:color w:val="999999"/>
          <w:sz w:val="32"/>
          <w:u w:val="single"/>
        </w:rPr>
        <w:t>Предварительный диагноз:</w:t>
      </w:r>
    </w:p>
    <w:p w:rsidR="00C11608" w:rsidRDefault="00C11608">
      <w:pPr>
        <w:pStyle w:val="30"/>
        <w:ind w:left="0" w:firstLine="0"/>
        <w:rPr>
          <w:color w:val="999999"/>
          <w:sz w:val="32"/>
        </w:rPr>
      </w:pPr>
      <w:r>
        <w:rPr>
          <w:color w:val="999999"/>
          <w:sz w:val="32"/>
        </w:rPr>
        <w:t>На основании анамнестических данных: отсутствия перенесенного вирусного гепатита, отсутствия контактов с больными вирусным гепатитом, соблюдения больным правил личной гигиены, отсутствия операций и гемотрансфузий, инъекций за последние 6 месяцев;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 так же на основании жалоб: на повышенную температуру тела, изменение окраски лица, ухудшение аппетита, слабость, утомляемость;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На основании объективных данных: лёгкой желтушности кожи и склер, отсутствии увеличения печени и селезёнки, отсутствии расчёсов на коже, 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Ставится предварительный диагноз: функциональная гипербилирубинемия (доброкачественная гипербилирубинемия или синдром Жильбера).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План обследования: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А) ОАК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Б) ОАМ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В) Общий анализ кала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Г) Ультразвуковое исследование печени, желчного пузыря, поджелудочной железы, селезёнки.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  <w:u w:val="single"/>
        </w:rPr>
      </w:pPr>
      <w:r>
        <w:rPr>
          <w:color w:val="999999"/>
          <w:sz w:val="32"/>
          <w:u w:val="single"/>
        </w:rPr>
        <w:t>Лабораторные данные: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  <w:sectPr w:rsidR="00C11608">
          <w:pgSz w:w="11906" w:h="16838"/>
          <w:pgMar w:top="540" w:right="566" w:bottom="540" w:left="540" w:header="708" w:footer="708" w:gutter="0"/>
          <w:cols w:space="708"/>
          <w:docGrid w:linePitch="360"/>
        </w:sect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Анализ крови от 27.12.02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  <w:lang w:val="en-US"/>
        </w:rPr>
        <w:t>Hb</w:t>
      </w:r>
      <w:r>
        <w:rPr>
          <w:color w:val="999999"/>
          <w:sz w:val="32"/>
        </w:rPr>
        <w:t xml:space="preserve"> – 150 г/л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Эр – 4,79</w:t>
      </w:r>
    </w:p>
    <w:p w:rsidR="00C11608" w:rsidRDefault="00C11608">
      <w:pPr>
        <w:jc w:val="both"/>
        <w:rPr>
          <w:color w:val="999999"/>
          <w:sz w:val="32"/>
          <w:lang w:val="en-US"/>
        </w:rPr>
      </w:pPr>
      <w:r>
        <w:rPr>
          <w:color w:val="999999"/>
          <w:sz w:val="32"/>
        </w:rPr>
        <w:t>ЦП</w:t>
      </w:r>
      <w:r>
        <w:rPr>
          <w:color w:val="999999"/>
          <w:sz w:val="32"/>
          <w:lang w:val="en-US"/>
        </w:rPr>
        <w:t xml:space="preserve"> – 0,9</w:t>
      </w:r>
    </w:p>
    <w:p w:rsidR="00C11608" w:rsidRDefault="00C11608">
      <w:pPr>
        <w:jc w:val="both"/>
        <w:rPr>
          <w:color w:val="999999"/>
          <w:sz w:val="32"/>
          <w:lang w:val="en-US"/>
        </w:rPr>
      </w:pPr>
      <w:r>
        <w:rPr>
          <w:color w:val="999999"/>
          <w:sz w:val="32"/>
          <w:lang w:val="en-US"/>
        </w:rPr>
        <w:t>Ht – 38%</w:t>
      </w:r>
    </w:p>
    <w:p w:rsidR="00C11608" w:rsidRDefault="00C11608">
      <w:pPr>
        <w:jc w:val="both"/>
        <w:rPr>
          <w:color w:val="999999"/>
          <w:sz w:val="32"/>
          <w:lang w:val="en-US"/>
        </w:rPr>
      </w:pPr>
      <w:r>
        <w:rPr>
          <w:color w:val="999999"/>
          <w:sz w:val="32"/>
          <w:lang w:val="en-US"/>
        </w:rPr>
        <w:t>L – 7,3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Нейтр: п/я-5, </w:t>
      </w:r>
      <w:r>
        <w:rPr>
          <w:color w:val="999999"/>
          <w:sz w:val="32"/>
          <w:lang w:val="en-US"/>
        </w:rPr>
        <w:t>c</w:t>
      </w:r>
      <w:r>
        <w:rPr>
          <w:color w:val="999999"/>
          <w:sz w:val="32"/>
        </w:rPr>
        <w:t>/я-60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Э – 3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Л – 30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М – 2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СОЭ – 3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Анализ крови от 28.12.02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Билирубин общий 55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Билирубин прямой 9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Билирубин непрямой 46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АлАТ 0,62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Сулемовая проба 1,8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Белок общий 68,9 г/л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Альбумины 40,3 г/л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Глобулины 28,6 г/л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ПТИ 76%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Анализ крови от 30.12.02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Билирубин общий 34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Билирубин прямой 20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Билирубин непрямой 14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АлАТ 0,62 ммоль/л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Сулемовая проба 1,8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Белок общий 69,4 г/л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Альбумины 48,1 г/л</w:t>
      </w:r>
    </w:p>
    <w:p w:rsidR="00C11608" w:rsidRDefault="00C11608">
      <w:pPr>
        <w:pStyle w:val="6"/>
        <w:sectPr w:rsidR="00C11608">
          <w:type w:val="continuous"/>
          <w:pgSz w:w="11906" w:h="16838"/>
          <w:pgMar w:top="540" w:right="566" w:bottom="540" w:left="540" w:header="708" w:footer="708" w:gutter="0"/>
          <w:cols w:num="3" w:space="708" w:equalWidth="0">
            <w:col w:w="3128" w:space="708"/>
            <w:col w:w="3128" w:space="708"/>
            <w:col w:w="3128"/>
          </w:cols>
          <w:docGrid w:linePitch="360"/>
        </w:sectPr>
      </w:pPr>
      <w:r>
        <w:t>Глобулины 21,3 г/л</w:t>
      </w:r>
    </w:p>
    <w:p w:rsidR="00C11608" w:rsidRDefault="00C11608">
      <w:pPr>
        <w:rPr>
          <w:sz w:val="32"/>
        </w:rPr>
      </w:pPr>
    </w:p>
    <w:p w:rsidR="00C11608" w:rsidRDefault="00C11608">
      <w:pPr>
        <w:pStyle w:val="4"/>
        <w:rPr>
          <w:color w:val="999999"/>
        </w:rPr>
        <w:sectPr w:rsidR="00C11608">
          <w:type w:val="continuous"/>
          <w:pgSz w:w="11906" w:h="16838"/>
          <w:pgMar w:top="540" w:right="566" w:bottom="540" w:left="540" w:header="708" w:footer="708" w:gutter="0"/>
          <w:cols w:space="708"/>
          <w:docGrid w:linePitch="360"/>
        </w:sectPr>
      </w:pPr>
    </w:p>
    <w:p w:rsidR="00C11608" w:rsidRDefault="00C11608">
      <w:pPr>
        <w:pStyle w:val="4"/>
        <w:rPr>
          <w:color w:val="999999"/>
        </w:rPr>
      </w:pPr>
      <w:r>
        <w:rPr>
          <w:color w:val="999999"/>
        </w:rPr>
        <w:t>Анализ мочи от 30.12.02</w:t>
      </w:r>
    </w:p>
    <w:p w:rsidR="00C11608" w:rsidRDefault="00C11608">
      <w:pPr>
        <w:pStyle w:val="7"/>
      </w:pPr>
      <w:r>
        <w:t>Цвет светло-жёлтый</w:t>
      </w:r>
    </w:p>
    <w:p w:rsidR="00C11608" w:rsidRDefault="00C11608">
      <w:pPr>
        <w:rPr>
          <w:color w:val="999999"/>
          <w:sz w:val="32"/>
        </w:rPr>
      </w:pPr>
      <w:r>
        <w:rPr>
          <w:color w:val="999999"/>
          <w:sz w:val="32"/>
        </w:rPr>
        <w:t>Прозрачная</w:t>
      </w:r>
    </w:p>
    <w:p w:rsidR="00C11608" w:rsidRDefault="00C11608">
      <w:pPr>
        <w:rPr>
          <w:color w:val="999999"/>
          <w:sz w:val="32"/>
        </w:rPr>
      </w:pPr>
      <w:r>
        <w:rPr>
          <w:color w:val="999999"/>
          <w:sz w:val="32"/>
        </w:rPr>
        <w:t>Отн. плотность 1010</w:t>
      </w:r>
    </w:p>
    <w:p w:rsidR="00C11608" w:rsidRDefault="00C11608">
      <w:pPr>
        <w:rPr>
          <w:color w:val="999999"/>
          <w:sz w:val="32"/>
        </w:rPr>
      </w:pPr>
      <w:r>
        <w:rPr>
          <w:color w:val="999999"/>
          <w:sz w:val="32"/>
        </w:rPr>
        <w:t>Реакция кислая</w:t>
      </w:r>
    </w:p>
    <w:p w:rsidR="00C11608" w:rsidRDefault="00C11608">
      <w:pPr>
        <w:rPr>
          <w:color w:val="999999"/>
          <w:sz w:val="32"/>
        </w:rPr>
      </w:pPr>
    </w:p>
    <w:p w:rsidR="00C11608" w:rsidRDefault="00C11608">
      <w:pPr>
        <w:rPr>
          <w:color w:val="999999"/>
          <w:sz w:val="32"/>
        </w:rPr>
      </w:pPr>
      <w:r>
        <w:rPr>
          <w:color w:val="999999"/>
          <w:sz w:val="32"/>
        </w:rPr>
        <w:t>Общий анализ кала от 30.12.02</w:t>
      </w:r>
    </w:p>
    <w:p w:rsidR="00C11608" w:rsidRDefault="00C11608">
      <w:pPr>
        <w:rPr>
          <w:color w:val="999999"/>
          <w:sz w:val="32"/>
        </w:rPr>
      </w:pPr>
      <w:r>
        <w:rPr>
          <w:color w:val="999999"/>
          <w:sz w:val="32"/>
        </w:rPr>
        <w:t>Кал оформлен</w:t>
      </w:r>
    </w:p>
    <w:p w:rsidR="00C11608" w:rsidRDefault="00C11608">
      <w:pPr>
        <w:rPr>
          <w:color w:val="999999"/>
          <w:sz w:val="32"/>
        </w:rPr>
        <w:sectPr w:rsidR="00C11608">
          <w:type w:val="continuous"/>
          <w:pgSz w:w="11906" w:h="16838"/>
          <w:pgMar w:top="540" w:right="566" w:bottom="540" w:left="540" w:header="708" w:footer="708" w:gutter="0"/>
          <w:cols w:num="2" w:space="708" w:equalWidth="0">
            <w:col w:w="5046" w:space="708"/>
            <w:col w:w="5046"/>
          </w:cols>
          <w:docGrid w:linePitch="360"/>
        </w:sectPr>
      </w:pPr>
      <w:r>
        <w:rPr>
          <w:color w:val="999999"/>
          <w:sz w:val="32"/>
        </w:rPr>
        <w:t>Слизь и кровь отсутствуют</w:t>
      </w:r>
    </w:p>
    <w:p w:rsidR="00C11608" w:rsidRDefault="00C11608">
      <w:pPr>
        <w:rPr>
          <w:color w:val="999999"/>
          <w:sz w:val="32"/>
        </w:rPr>
      </w:pPr>
      <w:r>
        <w:rPr>
          <w:color w:val="999999"/>
          <w:sz w:val="32"/>
        </w:rPr>
        <w:t>Белка нет</w:t>
      </w:r>
    </w:p>
    <w:p w:rsidR="00C11608" w:rsidRDefault="00C11608">
      <w:pPr>
        <w:rPr>
          <w:color w:val="999999"/>
          <w:sz w:val="32"/>
        </w:rPr>
      </w:pPr>
    </w:p>
    <w:p w:rsidR="00C11608" w:rsidRDefault="00C11608">
      <w:pPr>
        <w:pStyle w:val="6"/>
      </w:pPr>
      <w:r>
        <w:t>УЗИ от 28.12.02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Печень: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Левая доля </w:t>
      </w:r>
      <w:smartTag w:uri="urn:schemas-microsoft-com:office:smarttags" w:element="metricconverter">
        <w:smartTagPr>
          <w:attr w:name="ProductID" w:val="50 мм"/>
        </w:smartTagPr>
        <w:r>
          <w:rPr>
            <w:color w:val="999999"/>
            <w:sz w:val="32"/>
          </w:rPr>
          <w:t>50 мм</w:t>
        </w:r>
      </w:smartTag>
      <w:r>
        <w:rPr>
          <w:color w:val="999999"/>
          <w:sz w:val="32"/>
        </w:rPr>
        <w:t xml:space="preserve">, правая </w:t>
      </w:r>
      <w:smartTag w:uri="urn:schemas-microsoft-com:office:smarttags" w:element="metricconverter">
        <w:smartTagPr>
          <w:attr w:name="ProductID" w:val="130 мм"/>
        </w:smartTagPr>
        <w:r>
          <w:rPr>
            <w:color w:val="999999"/>
            <w:sz w:val="32"/>
          </w:rPr>
          <w:t>130 мм</w:t>
        </w:r>
      </w:smartTag>
      <w:r>
        <w:rPr>
          <w:color w:val="999999"/>
          <w:sz w:val="32"/>
        </w:rPr>
        <w:t xml:space="preserve">, эхоструктура однородная, эхогенность не изменена. Воротная вена </w:t>
      </w:r>
      <w:smartTag w:uri="urn:schemas-microsoft-com:office:smarttags" w:element="metricconverter">
        <w:smartTagPr>
          <w:attr w:name="ProductID" w:val="12 мм"/>
        </w:smartTagPr>
        <w:r>
          <w:rPr>
            <w:color w:val="999999"/>
            <w:sz w:val="32"/>
          </w:rPr>
          <w:t>12 мм</w:t>
        </w:r>
      </w:smartTag>
      <w:r>
        <w:rPr>
          <w:color w:val="999999"/>
          <w:sz w:val="32"/>
        </w:rPr>
        <w:t xml:space="preserve"> (</w:t>
      </w:r>
      <w:r>
        <w:rPr>
          <w:color w:val="999999"/>
          <w:sz w:val="32"/>
          <w:lang w:val="en-US"/>
        </w:rPr>
        <w:t>N</w:t>
      </w:r>
      <w:r>
        <w:rPr>
          <w:color w:val="999999"/>
          <w:sz w:val="32"/>
        </w:rPr>
        <w:t xml:space="preserve"> до </w:t>
      </w:r>
      <w:smartTag w:uri="urn:schemas-microsoft-com:office:smarttags" w:element="metricconverter">
        <w:smartTagPr>
          <w:attr w:name="ProductID" w:val="14 мм"/>
        </w:smartTagPr>
        <w:r>
          <w:rPr>
            <w:color w:val="999999"/>
            <w:sz w:val="32"/>
          </w:rPr>
          <w:t>14 мм</w:t>
        </w:r>
      </w:smartTag>
      <w:r>
        <w:rPr>
          <w:color w:val="999999"/>
          <w:sz w:val="32"/>
        </w:rPr>
        <w:t xml:space="preserve">), холедох </w:t>
      </w:r>
      <w:smartTag w:uri="urn:schemas-microsoft-com:office:smarttags" w:element="metricconverter">
        <w:smartTagPr>
          <w:attr w:name="ProductID" w:val="4 мм"/>
        </w:smartTagPr>
        <w:r>
          <w:rPr>
            <w:color w:val="999999"/>
            <w:sz w:val="32"/>
          </w:rPr>
          <w:t>4 мм</w:t>
        </w:r>
      </w:smartTag>
      <w:r>
        <w:rPr>
          <w:color w:val="999999"/>
          <w:sz w:val="32"/>
        </w:rPr>
        <w:t xml:space="preserve"> (</w:t>
      </w:r>
      <w:r>
        <w:rPr>
          <w:color w:val="999999"/>
          <w:sz w:val="32"/>
          <w:lang w:val="en-US"/>
        </w:rPr>
        <w:t>N</w:t>
      </w:r>
      <w:r>
        <w:rPr>
          <w:color w:val="999999"/>
          <w:sz w:val="32"/>
        </w:rPr>
        <w:t xml:space="preserve"> до </w:t>
      </w:r>
      <w:smartTag w:uri="urn:schemas-microsoft-com:office:smarttags" w:element="metricconverter">
        <w:smartTagPr>
          <w:attr w:name="ProductID" w:val="6 мм"/>
        </w:smartTagPr>
        <w:r>
          <w:rPr>
            <w:color w:val="999999"/>
            <w:sz w:val="32"/>
          </w:rPr>
          <w:t>6 мм</w:t>
        </w:r>
      </w:smartTag>
      <w:r>
        <w:rPr>
          <w:color w:val="999999"/>
          <w:sz w:val="32"/>
        </w:rPr>
        <w:t>).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Желчный пузырь: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70 х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999999"/>
            <w:sz w:val="32"/>
          </w:rPr>
          <w:t>20 мм</w:t>
        </w:r>
      </w:smartTag>
      <w:r>
        <w:rPr>
          <w:color w:val="999999"/>
          <w:sz w:val="32"/>
        </w:rPr>
        <w:t xml:space="preserve">, форма обычная. Эхогенность стенок обычная, толщина </w:t>
      </w:r>
      <w:smartTag w:uri="urn:schemas-microsoft-com:office:smarttags" w:element="metricconverter">
        <w:smartTagPr>
          <w:attr w:name="ProductID" w:val="2 мм"/>
        </w:smartTagPr>
        <w:r>
          <w:rPr>
            <w:color w:val="999999"/>
            <w:sz w:val="32"/>
          </w:rPr>
          <w:t>2 мм</w:t>
        </w:r>
      </w:smartTag>
      <w:r>
        <w:rPr>
          <w:color w:val="999999"/>
          <w:sz w:val="32"/>
        </w:rPr>
        <w:t>. Содержимое однородное, конкременты чётко не определяются.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Поджелудочная железа: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Головка </w:t>
      </w:r>
      <w:smartTag w:uri="urn:schemas-microsoft-com:office:smarttags" w:element="metricconverter">
        <w:smartTagPr>
          <w:attr w:name="ProductID" w:val="20 мм"/>
        </w:smartTagPr>
        <w:r>
          <w:rPr>
            <w:color w:val="999999"/>
            <w:sz w:val="32"/>
          </w:rPr>
          <w:t>20 мм</w:t>
        </w:r>
      </w:smartTag>
      <w:r>
        <w:rPr>
          <w:color w:val="999999"/>
          <w:sz w:val="32"/>
        </w:rPr>
        <w:t xml:space="preserve">, тело </w:t>
      </w:r>
      <w:smartTag w:uri="urn:schemas-microsoft-com:office:smarttags" w:element="metricconverter">
        <w:smartTagPr>
          <w:attr w:name="ProductID" w:val="17 мм"/>
        </w:smartTagPr>
        <w:r>
          <w:rPr>
            <w:color w:val="999999"/>
            <w:sz w:val="32"/>
          </w:rPr>
          <w:t>17 мм</w:t>
        </w:r>
      </w:smartTag>
      <w:r>
        <w:rPr>
          <w:color w:val="999999"/>
          <w:sz w:val="32"/>
        </w:rPr>
        <w:t xml:space="preserve">, хвост </w:t>
      </w:r>
      <w:smartTag w:uri="urn:schemas-microsoft-com:office:smarttags" w:element="metricconverter">
        <w:smartTagPr>
          <w:attr w:name="ProductID" w:val="23 мм"/>
        </w:smartTagPr>
        <w:r>
          <w:rPr>
            <w:color w:val="999999"/>
            <w:sz w:val="32"/>
          </w:rPr>
          <w:t>23 мм</w:t>
        </w:r>
      </w:smartTag>
      <w:r>
        <w:rPr>
          <w:color w:val="999999"/>
          <w:sz w:val="32"/>
        </w:rPr>
        <w:t>, контуры ровные, эхоструктура однородная, эхогенность не изменена.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Селезёнка: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Не увеличена (100 х </w:t>
      </w:r>
      <w:smartTag w:uri="urn:schemas-microsoft-com:office:smarttags" w:element="metricconverter">
        <w:smartTagPr>
          <w:attr w:name="ProductID" w:val="45 мм"/>
        </w:smartTagPr>
        <w:r>
          <w:rPr>
            <w:color w:val="999999"/>
            <w:sz w:val="32"/>
          </w:rPr>
          <w:t>45 мм</w:t>
        </w:r>
      </w:smartTag>
      <w:r>
        <w:rPr>
          <w:color w:val="999999"/>
          <w:sz w:val="32"/>
        </w:rPr>
        <w:t>), контуры ровные, эхоструктура однородная, эхогенность не изменена.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Заключение: Явной органической УЗ-патологии не выявлено.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Дифференциальная диагностика:</w:t>
      </w:r>
    </w:p>
    <w:p w:rsidR="00C11608" w:rsidRDefault="00C11608">
      <w:pPr>
        <w:pStyle w:val="20"/>
      </w:pPr>
      <w:r>
        <w:t>Дифференциальную диагностику проводят с гемолитической анемией, с хроническими гепатитами, с гепатитами А и В.</w:t>
      </w:r>
    </w:p>
    <w:p w:rsidR="00C11608" w:rsidRDefault="00C11608">
      <w:pPr>
        <w:pStyle w:val="20"/>
      </w:pPr>
      <w:r>
        <w:t>Важный признак гемолитических анемий - значительное нарастание в крови процента "новорожденных" эритроцитов - ретикулоцитов за счет повышения продукции клеток красной крови, а при синдроме Жильбера этого не происходит, как и у нашего больного. Гемолитическая анемия, обусловленная наследственным микросфероцитозом, характеризуется, в частности, значительным увеличением селезёнки и деформацией лицевого скелета, в нашем же случае этого нет. Гемолитические анемии, обусловленные дефицитом глюкозо-6-фосфатдегидрогэназы (Г-6-ФДГ), характеризуются появлением темно-бурой мочи (гемосидерин и свободный гемоглобин в моче), небольшой желтухой на 2-3-й день приема медикамента, спровоцировавшего гемолиз, цвет же мочи нашего больного не тёмно-бурый, и никаких медикаментов до появления клиники он не принимал.</w:t>
      </w:r>
    </w:p>
    <w:p w:rsidR="00C11608" w:rsidRDefault="00C11608">
      <w:pPr>
        <w:pStyle w:val="a7"/>
        <w:jc w:val="both"/>
        <w:rPr>
          <w:rFonts w:ascii="Times New Roman" w:hAnsi="Times New Roman" w:cs="Times New Roman"/>
          <w:color w:val="999999"/>
          <w:sz w:val="32"/>
        </w:rPr>
      </w:pPr>
      <w:r>
        <w:rPr>
          <w:rFonts w:ascii="Times New Roman" w:hAnsi="Times New Roman" w:cs="Times New Roman"/>
          <w:color w:val="999999"/>
          <w:sz w:val="32"/>
        </w:rPr>
        <w:t>Дифференциальный диагноз хронических гепатитов с функциональной гипербилирубинемией основывается на особенностях её клинической картины (легкая</w:t>
      </w:r>
      <w:r w:rsidRPr="00381131">
        <w:rPr>
          <w:rFonts w:ascii="Times New Roman" w:hAnsi="Times New Roman" w:cs="Times New Roman"/>
          <w:color w:val="999999"/>
          <w:sz w:val="32"/>
        </w:rPr>
        <w:t xml:space="preserve"> желтуха</w:t>
      </w:r>
      <w:r>
        <w:rPr>
          <w:rFonts w:ascii="Times New Roman" w:hAnsi="Times New Roman" w:cs="Times New Roman"/>
          <w:color w:val="999999"/>
          <w:sz w:val="32"/>
        </w:rPr>
        <w:t xml:space="preserve"> с гипербилирубинемией без яркой клинической симптоматики и изменения данных лабораторных печеночных проб и пункционной биопсии печени).</w:t>
      </w:r>
      <w:r w:rsidRPr="00381131">
        <w:rPr>
          <w:rFonts w:ascii="Times New Roman" w:hAnsi="Times New Roman" w:cs="Times New Roman"/>
          <w:color w:val="999999"/>
          <w:sz w:val="32"/>
        </w:rPr>
        <w:t xml:space="preserve"> Амилоидозу</w:t>
      </w:r>
      <w:r>
        <w:rPr>
          <w:rFonts w:ascii="Times New Roman" w:hAnsi="Times New Roman" w:cs="Times New Roman"/>
          <w:color w:val="999999"/>
          <w:sz w:val="32"/>
        </w:rPr>
        <w:t xml:space="preserve"> с преимущественной печеночной локализацией в отличие от хронического гепатита свойственны симптомы и других органных локализаций процесса, положительная проба с Конго красным или метиленовым синим; диагноз подтверждается пункционной биопсией печени. При очаговых поражениях (опухоль, киста, туберкулома и др.) </w:t>
      </w:r>
      <w:r w:rsidRPr="00381131">
        <w:rPr>
          <w:rFonts w:ascii="Times New Roman" w:hAnsi="Times New Roman" w:cs="Times New Roman"/>
          <w:color w:val="999999"/>
          <w:sz w:val="32"/>
        </w:rPr>
        <w:t>печень</w:t>
      </w:r>
      <w:r>
        <w:rPr>
          <w:rFonts w:ascii="Times New Roman" w:hAnsi="Times New Roman" w:cs="Times New Roman"/>
          <w:color w:val="999999"/>
          <w:sz w:val="32"/>
        </w:rPr>
        <w:t xml:space="preserve"> неравномерно увеличена, а сканирование определяет очаг деструкции печеночной паренхимы, в нашем же случае увеличения печени не наблюдается и никаких очагов деструкции в ней нет.</w:t>
      </w:r>
    </w:p>
    <w:p w:rsidR="00C11608" w:rsidRDefault="00C11608">
      <w:pPr>
        <w:pStyle w:val="a7"/>
        <w:jc w:val="both"/>
        <w:rPr>
          <w:rFonts w:ascii="Times New Roman" w:hAnsi="Times New Roman" w:cs="Times New Roman"/>
          <w:color w:val="999999"/>
          <w:sz w:val="32"/>
        </w:rPr>
      </w:pPr>
      <w:r>
        <w:rPr>
          <w:rFonts w:ascii="Times New Roman" w:hAnsi="Times New Roman" w:cs="Times New Roman"/>
          <w:color w:val="999999"/>
          <w:sz w:val="32"/>
        </w:rPr>
        <w:t>Самыми существенными моментами в дифференциальной диагностике синдрома Жильбера с вирусными гепатитами А и В является то, что при этих видах гепатита происходит нарастание активности аминотрансфераз (в частности АлАТ), снижен протромбиновый индекс, лейкопения, нейтропения, моноцитоз, при серологическом исследовании крови определяются анти-HAV IgM, гипоальбуминемия, при критическом падении коагуляционного потенциала появляются кровоизлияния, а в тяжелых случаях — массивные кровотечения (геморрагический синдром), ничего этого в нашем случае нет.</w:t>
      </w:r>
    </w:p>
    <w:p w:rsidR="00C11608" w:rsidRDefault="00C1160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999999"/>
          <w:sz w:val="32"/>
        </w:rPr>
      </w:pPr>
      <w:r>
        <w:rPr>
          <w:rFonts w:ascii="Times New Roman" w:hAnsi="Times New Roman" w:cs="Times New Roman"/>
          <w:color w:val="999999"/>
          <w:sz w:val="32"/>
          <w:u w:val="single"/>
        </w:rPr>
        <w:t>Окончательный диагноз: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На основании клинических данных: боли в животе, общую слабость, повышенную утомляемость, понижение аппетита, тошноту; на основании данных объективного обследования: лёгкой желтухи кожи и склер; на основании данных лабораторно-инструментального обследования: УЗИ печени и селезёнки патологии не выявило, нормальные цифры АлАТ, отсутствие маркёров, а так же нормальной окраски кала ставится окончательный диагноз: функциональная гипербилирубинемия (доброкачественная гипербилирубинемия или синдром Жильбера).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Лечение: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Щадящая диета № 5.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Витаминотерапия: 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Компливит (Cоmplivitum), по 1 драже 2 раза в день после еды. Механизм действия компливита, учитывая содержание в нем большого количества биологически активных веществ, является весьма сложным. Препарат рекомендован для компенсации витаминной и минеральной недостаточности при разных патологических состояниях (гиперлипидемия и ранние проявления атеросклеpоза, сниженный уровень гемоглобина и др.), для повышения толерантности к длительным физическим нагрузкам.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Рибоксин (</w:t>
      </w:r>
      <w:r>
        <w:rPr>
          <w:color w:val="999999"/>
          <w:sz w:val="32"/>
          <w:lang w:val="en-US"/>
        </w:rPr>
        <w:t>Riboxinum</w:t>
      </w:r>
      <w:r>
        <w:rPr>
          <w:color w:val="999999"/>
          <w:sz w:val="32"/>
        </w:rPr>
        <w:t>), (Тabulettae Riboxini 0,2 оbductae), по 1 драже 3 раза в день до еды. Механизм действия: Рибоксин является производным (нуклеозидом) пурина. Его можно рассматривать в качестве предшественника АТФ. Имеются данные о способности препарата повышать активность ряда ферментов цикла Кребса, стимулировать синтез нуклеотидов, оказывать положительное влияние на обменные процессы в миокарде и улучшать коронарное кровообращение. По типу действия относится к анаболическим веществам.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Зиксорин (Zixorin), по </w:t>
      </w:r>
      <w:smartTag w:uri="urn:schemas-microsoft-com:office:smarttags" w:element="metricconverter">
        <w:smartTagPr>
          <w:attr w:name="ProductID" w:val="0,1 г"/>
        </w:smartTagPr>
        <w:r>
          <w:rPr>
            <w:color w:val="999999"/>
            <w:sz w:val="32"/>
          </w:rPr>
          <w:t>0,1 г</w:t>
        </w:r>
      </w:smartTag>
      <w:r>
        <w:rPr>
          <w:color w:val="999999"/>
          <w:sz w:val="32"/>
        </w:rPr>
        <w:t xml:space="preserve"> 3 раза в день, принимать 2 недели. Механизм действия: препарат индуцирует оксидазную ферментативную активность микросом печени; усиливает образование глюкуронидов, способствует выведению из организма эндогенных и экзогенных метаболитов, увеличивает выделение желчи. Препарат на микросомальные ферменты действует относительно избирательно, других выраженных фармакологических эффектов не оказывает.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pStyle w:val="20"/>
      </w:pPr>
      <w:r>
        <w:t xml:space="preserve">Фенобарбитал (Phenobaritalum), по </w:t>
      </w:r>
      <w:smartTag w:uri="urn:schemas-microsoft-com:office:smarttags" w:element="metricconverter">
        <w:smartTagPr>
          <w:attr w:name="ProductID" w:val="0,1 г"/>
        </w:smartTagPr>
        <w:r>
          <w:t>0,1 г</w:t>
        </w:r>
      </w:smartTag>
      <w:r>
        <w:t xml:space="preserve"> 2 раза в день в период обострения. Механизм действия: является мощным индуктором ферментов, в частности глюкуронилтрансферазы.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pStyle w:val="31"/>
      </w:pPr>
      <w:r>
        <w:t>Запрещается употреблять алкогольные напитки, острую и жирную пищу, не рекомендуются  физические перегрузки.</w:t>
      </w:r>
    </w:p>
    <w:p w:rsidR="00C11608" w:rsidRDefault="00C11608">
      <w:pPr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rPr>
          <w:color w:val="999999"/>
          <w:sz w:val="32"/>
        </w:rPr>
      </w:pPr>
      <w:r>
        <w:rPr>
          <w:color w:val="999999"/>
          <w:sz w:val="32"/>
          <w:u w:val="single"/>
        </w:rPr>
        <w:t>Эпикриз:</w:t>
      </w:r>
    </w:p>
    <w:p w:rsidR="00C11608" w:rsidRDefault="00676D9B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Иванов</w:t>
      </w:r>
      <w:r w:rsidR="00C11608">
        <w:rPr>
          <w:color w:val="999999"/>
          <w:sz w:val="32"/>
        </w:rPr>
        <w:t xml:space="preserve"> Виталий </w:t>
      </w:r>
      <w:r>
        <w:rPr>
          <w:color w:val="999999"/>
          <w:sz w:val="32"/>
        </w:rPr>
        <w:t>Иванович</w:t>
      </w:r>
      <w:r w:rsidR="00C11608">
        <w:rPr>
          <w:color w:val="999999"/>
          <w:sz w:val="32"/>
        </w:rPr>
        <w:t xml:space="preserve">, 14 лет, находился на обследовании во </w:t>
      </w:r>
      <w:r w:rsidR="00C11608">
        <w:rPr>
          <w:color w:val="999999"/>
          <w:sz w:val="32"/>
          <w:lang w:val="en-US"/>
        </w:rPr>
        <w:t>II</w:t>
      </w:r>
      <w:r w:rsidR="00C11608">
        <w:rPr>
          <w:color w:val="999999"/>
          <w:sz w:val="32"/>
        </w:rPr>
        <w:t xml:space="preserve"> отделении с 27.12.02 по 31.12.02 по поводу вирусного гепатита. На основании данных анамнеза, клинических данных, данных объективного осмотра и лабораторно-инструментального исследования был поставлен диагноз: </w:t>
      </w:r>
      <w:r w:rsidR="00C11608">
        <w:rPr>
          <w:color w:val="999999"/>
          <w:sz w:val="32"/>
        </w:rPr>
        <w:br w:type="textWrapping" w:clear="all"/>
        <w:t>функциональная гипербилирубинемия (доброкачественная гипербилирубинемия или синдром Жильбера). Назначено лечение: стол № 5, витаминотерапия, Зиксорин. Выписан в удовлетворительном состоянии под наблюдение педиатра и окулиста.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numPr>
          <w:ilvl w:val="0"/>
          <w:numId w:val="1"/>
        </w:numPr>
        <w:jc w:val="both"/>
        <w:rPr>
          <w:color w:val="999999"/>
          <w:sz w:val="32"/>
        </w:rPr>
      </w:pPr>
      <w:r>
        <w:rPr>
          <w:color w:val="999999"/>
          <w:sz w:val="32"/>
          <w:u w:val="single"/>
        </w:rPr>
        <w:t>Список литературы: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1.Большая медицинская энциклопедия, 2002 год.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2.Справочник лекарственных средств, 2002 год.</w:t>
      </w: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>3.Интернет-литература.</w:t>
      </w: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      </w:t>
      </w:r>
    </w:p>
    <w:p w:rsidR="00C11608" w:rsidRDefault="00C11608">
      <w:pPr>
        <w:pStyle w:val="a7"/>
        <w:jc w:val="both"/>
        <w:rPr>
          <w:rFonts w:ascii="Times New Roman" w:hAnsi="Times New Roman" w:cs="Times New Roman"/>
          <w:color w:val="999999"/>
          <w:sz w:val="32"/>
        </w:rPr>
      </w:pPr>
    </w:p>
    <w:p w:rsidR="00C11608" w:rsidRDefault="00C11608">
      <w:pPr>
        <w:pStyle w:val="20"/>
      </w:pPr>
    </w:p>
    <w:p w:rsidR="00C11608" w:rsidRDefault="00C11608">
      <w:pPr>
        <w:jc w:val="both"/>
        <w:rPr>
          <w:color w:val="999999"/>
          <w:sz w:val="32"/>
        </w:rPr>
      </w:pPr>
      <w:r>
        <w:rPr>
          <w:color w:val="999999"/>
          <w:sz w:val="32"/>
        </w:rPr>
        <w:t xml:space="preserve"> </w:t>
      </w:r>
      <w:bookmarkStart w:id="0" w:name="_GoBack"/>
      <w:bookmarkEnd w:id="0"/>
    </w:p>
    <w:sectPr w:rsidR="00C11608">
      <w:type w:val="continuous"/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rsiv95">
    <w:altName w:val="Courier New"/>
    <w:charset w:val="CC"/>
    <w:family w:val="script"/>
    <w:pitch w:val="variable"/>
    <w:sig w:usb0="00000287" w:usb1="00000000" w:usb2="00000000" w:usb3="00000000" w:csb0="0000009F" w:csb1="00000000"/>
  </w:font>
  <w:font w:name="Viking">
    <w:altName w:val="Courier New"/>
    <w:charset w:val="CC"/>
    <w:family w:val="decorative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C1E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70D6681"/>
    <w:multiLevelType w:val="singleLevel"/>
    <w:tmpl w:val="5198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0D4729"/>
    <w:multiLevelType w:val="singleLevel"/>
    <w:tmpl w:val="5198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A880132"/>
    <w:multiLevelType w:val="singleLevel"/>
    <w:tmpl w:val="5198C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C91DF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8936C58"/>
    <w:multiLevelType w:val="hybridMultilevel"/>
    <w:tmpl w:val="B4887A32"/>
    <w:lvl w:ilvl="0" w:tplc="6E7CF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EF1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EC21F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D9B"/>
    <w:rsid w:val="00381131"/>
    <w:rsid w:val="00676D9B"/>
    <w:rsid w:val="00BF53FF"/>
    <w:rsid w:val="00C11608"/>
    <w:rsid w:val="00E9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1C7A-ACA8-4B27-9947-0425D242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color w:val="999999"/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color w:val="999999"/>
      <w:sz w:val="32"/>
    </w:rPr>
  </w:style>
  <w:style w:type="paragraph" w:styleId="7">
    <w:name w:val="heading 7"/>
    <w:basedOn w:val="a"/>
    <w:next w:val="a"/>
    <w:qFormat/>
    <w:pPr>
      <w:keepNext/>
      <w:outlineLvl w:val="6"/>
    </w:pPr>
    <w:rPr>
      <w:color w:val="999999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Body Text"/>
    <w:basedOn w:val="a"/>
    <w:pPr>
      <w:jc w:val="both"/>
    </w:pPr>
    <w:rPr>
      <w:sz w:val="28"/>
      <w:szCs w:val="20"/>
    </w:rPr>
  </w:style>
  <w:style w:type="paragraph" w:styleId="30">
    <w:name w:val="Body Text Indent 3"/>
    <w:basedOn w:val="a"/>
    <w:pPr>
      <w:ind w:left="284" w:hanging="284"/>
      <w:jc w:val="both"/>
    </w:pPr>
    <w:rPr>
      <w:sz w:val="28"/>
      <w:szCs w:val="20"/>
    </w:rPr>
  </w:style>
  <w:style w:type="paragraph" w:styleId="a5">
    <w:name w:val="Body Text Indent"/>
    <w:basedOn w:val="a"/>
    <w:pPr>
      <w:ind w:left="284"/>
      <w:jc w:val="both"/>
    </w:pPr>
    <w:rPr>
      <w:sz w:val="28"/>
      <w:szCs w:val="20"/>
    </w:rPr>
  </w:style>
  <w:style w:type="paragraph" w:styleId="20">
    <w:name w:val="Body Text 2"/>
    <w:basedOn w:val="a"/>
    <w:pPr>
      <w:jc w:val="both"/>
    </w:pPr>
    <w:rPr>
      <w:color w:val="999999"/>
      <w:sz w:val="32"/>
    </w:rPr>
  </w:style>
  <w:style w:type="character" w:styleId="a6">
    <w:name w:val="Hyperlink"/>
    <w:rPr>
      <w:rFonts w:ascii="Arial" w:hAnsi="Arial" w:cs="Arial" w:hint="default"/>
      <w:strike w:val="0"/>
      <w:dstrike w:val="0"/>
      <w:color w:val="000080"/>
      <w:sz w:val="18"/>
      <w:szCs w:val="18"/>
      <w:u w:val="none"/>
      <w:effect w:val="none"/>
    </w:rPr>
  </w:style>
  <w:style w:type="paragraph" w:styleId="a7">
    <w:name w:val="Normal (Web)"/>
    <w:basedOn w:val="a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31">
    <w:name w:val="Body Text 3"/>
    <w:basedOn w:val="a"/>
    <w:rPr>
      <w:color w:val="999999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Оренбургская государственная медицинская академия</vt:lpstr>
    </vt:vector>
  </TitlesOfParts>
  <Company>Домашний</Company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Оренбургская государственная медицинская академия</dc:title>
  <dc:subject/>
  <dc:creator>Ersallcer</dc:creator>
  <cp:keywords/>
  <dc:description/>
  <cp:lastModifiedBy>admin</cp:lastModifiedBy>
  <cp:revision>2</cp:revision>
  <dcterms:created xsi:type="dcterms:W3CDTF">2014-02-14T14:57:00Z</dcterms:created>
  <dcterms:modified xsi:type="dcterms:W3CDTF">2014-02-14T14:57:00Z</dcterms:modified>
</cp:coreProperties>
</file>