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36C9" w:rsidRDefault="00B25E82">
      <w:pPr>
        <w:spacing w:line="360" w:lineRule="atLeast"/>
        <w:ind w:right="-1" w:firstLine="340"/>
        <w:jc w:val="both"/>
        <w:rPr>
          <w:rFonts w:ascii="Antiqua" w:hAnsi="Antiqua"/>
          <w:sz w:val="24"/>
        </w:rPr>
      </w:pPr>
      <w:r>
        <w:rPr>
          <w:rFonts w:ascii="Antiqua" w:hAnsi="Antiqua"/>
          <w:sz w:val="24"/>
        </w:rPr>
        <w:tab/>
      </w:r>
      <w:r>
        <w:rPr>
          <w:rFonts w:ascii="Antiqua" w:hAnsi="Antiqua"/>
          <w:sz w:val="24"/>
        </w:rPr>
        <w:tab/>
        <w:t>Московская Государственная Текстильная Академия</w:t>
      </w:r>
    </w:p>
    <w:p w:rsidR="004336C9" w:rsidRDefault="00B25E82">
      <w:pPr>
        <w:spacing w:line="360" w:lineRule="atLeast"/>
        <w:ind w:right="-1" w:firstLine="340"/>
        <w:jc w:val="both"/>
        <w:rPr>
          <w:rFonts w:ascii="Antiqua" w:hAnsi="Antiqua"/>
          <w:sz w:val="24"/>
        </w:rPr>
      </w:pPr>
      <w:r>
        <w:rPr>
          <w:rFonts w:ascii="Antiqua" w:hAnsi="Antiqua"/>
          <w:sz w:val="24"/>
        </w:rPr>
        <w:tab/>
      </w:r>
      <w:r>
        <w:rPr>
          <w:rFonts w:ascii="Antiqua" w:hAnsi="Antiqua"/>
          <w:sz w:val="24"/>
        </w:rPr>
        <w:tab/>
      </w:r>
      <w:r>
        <w:rPr>
          <w:rFonts w:ascii="Antiqua" w:hAnsi="Antiqua"/>
          <w:sz w:val="24"/>
        </w:rPr>
        <w:tab/>
      </w:r>
      <w:r>
        <w:rPr>
          <w:rFonts w:ascii="Antiqua" w:hAnsi="Antiqua"/>
          <w:sz w:val="24"/>
        </w:rPr>
        <w:tab/>
      </w:r>
      <w:r>
        <w:rPr>
          <w:rFonts w:ascii="Antiqua" w:hAnsi="Antiqua"/>
          <w:sz w:val="24"/>
        </w:rPr>
        <w:tab/>
        <w:t>им. А. Н. Косыгина</w:t>
      </w: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B25E82">
      <w:pPr>
        <w:spacing w:line="360" w:lineRule="atLeast"/>
        <w:ind w:right="-1" w:firstLine="340"/>
        <w:jc w:val="both"/>
        <w:rPr>
          <w:rFonts w:ascii="Antiqua" w:hAnsi="Antiqua"/>
          <w:sz w:val="24"/>
        </w:rPr>
      </w:pPr>
      <w:r>
        <w:rPr>
          <w:rFonts w:ascii="Antiqua" w:hAnsi="Antiqua"/>
          <w:sz w:val="24"/>
        </w:rPr>
        <w:tab/>
      </w:r>
      <w:r>
        <w:rPr>
          <w:rFonts w:ascii="Antiqua" w:hAnsi="Antiqua"/>
          <w:sz w:val="24"/>
        </w:rPr>
        <w:tab/>
      </w:r>
      <w:r>
        <w:rPr>
          <w:rFonts w:ascii="Antiqua" w:hAnsi="Antiqua"/>
          <w:sz w:val="24"/>
        </w:rPr>
        <w:tab/>
      </w:r>
      <w:r>
        <w:rPr>
          <w:rFonts w:ascii="Antiqua" w:hAnsi="Antiqua"/>
          <w:sz w:val="24"/>
        </w:rPr>
        <w:tab/>
      </w:r>
      <w:r>
        <w:rPr>
          <w:rFonts w:ascii="Antiqua" w:hAnsi="Antiqua"/>
          <w:sz w:val="24"/>
        </w:rPr>
        <w:tab/>
      </w:r>
      <w:r>
        <w:rPr>
          <w:rFonts w:ascii="Antiqua" w:hAnsi="Antiqua"/>
          <w:sz w:val="24"/>
        </w:rPr>
        <w:tab/>
      </w:r>
      <w:r>
        <w:rPr>
          <w:rFonts w:ascii="Antiqua" w:hAnsi="Antiqua"/>
          <w:sz w:val="24"/>
        </w:rPr>
        <w:tab/>
        <w:t>кафедра экономической теории</w:t>
      </w: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B25E82">
      <w:pPr>
        <w:spacing w:line="360" w:lineRule="atLeast"/>
        <w:ind w:right="-1" w:firstLine="340"/>
        <w:jc w:val="both"/>
        <w:rPr>
          <w:rFonts w:ascii="Antiqua" w:hAnsi="Antiqua"/>
          <w:sz w:val="24"/>
        </w:rPr>
      </w:pPr>
      <w:r>
        <w:rPr>
          <w:rFonts w:ascii="Antiqua" w:hAnsi="Antiqua"/>
          <w:sz w:val="24"/>
        </w:rPr>
        <w:t xml:space="preserve">  </w:t>
      </w:r>
      <w:r>
        <w:rPr>
          <w:rFonts w:ascii="Antiqua" w:hAnsi="Antiqua"/>
          <w:sz w:val="24"/>
        </w:rPr>
        <w:tab/>
      </w:r>
      <w:r>
        <w:rPr>
          <w:rFonts w:ascii="Antiqua" w:hAnsi="Antiqua"/>
          <w:sz w:val="24"/>
        </w:rPr>
        <w:tab/>
      </w:r>
      <w:r>
        <w:rPr>
          <w:rFonts w:ascii="Antiqua" w:hAnsi="Antiqua"/>
          <w:sz w:val="24"/>
        </w:rPr>
        <w:tab/>
        <w:t>Факультет экономики и менеджмента</w:t>
      </w: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B25E82">
      <w:pPr>
        <w:spacing w:line="360" w:lineRule="atLeast"/>
        <w:ind w:right="-1" w:firstLine="340"/>
        <w:jc w:val="both"/>
        <w:rPr>
          <w:rFonts w:ascii="Antiqua" w:hAnsi="Antiqua"/>
          <w:sz w:val="24"/>
        </w:rPr>
      </w:pPr>
      <w:r>
        <w:rPr>
          <w:rFonts w:ascii="Antiqua" w:hAnsi="Antiqua"/>
          <w:sz w:val="24"/>
        </w:rPr>
        <w:t xml:space="preserve"> </w:t>
      </w:r>
      <w:r>
        <w:rPr>
          <w:rFonts w:ascii="Antiqua" w:hAnsi="Antiqua"/>
          <w:sz w:val="24"/>
        </w:rPr>
        <w:tab/>
      </w:r>
      <w:r>
        <w:rPr>
          <w:rFonts w:ascii="Antiqua" w:hAnsi="Antiqua"/>
          <w:sz w:val="24"/>
        </w:rPr>
        <w:tab/>
      </w:r>
      <w:r>
        <w:rPr>
          <w:rFonts w:ascii="Antiqua" w:hAnsi="Antiqua"/>
          <w:sz w:val="24"/>
        </w:rPr>
        <w:tab/>
      </w:r>
      <w:r>
        <w:rPr>
          <w:rFonts w:ascii="Antiqua" w:hAnsi="Antiqua"/>
          <w:sz w:val="24"/>
        </w:rPr>
        <w:tab/>
      </w:r>
      <w:r>
        <w:rPr>
          <w:rFonts w:ascii="Antiqua" w:hAnsi="Antiqua"/>
          <w:sz w:val="24"/>
        </w:rPr>
        <w:tab/>
        <w:t>Курсовая работа</w:t>
      </w:r>
    </w:p>
    <w:p w:rsidR="004336C9" w:rsidRDefault="00B25E82">
      <w:pPr>
        <w:spacing w:line="360" w:lineRule="atLeast"/>
        <w:ind w:right="-1" w:firstLine="340"/>
        <w:jc w:val="both"/>
        <w:rPr>
          <w:rFonts w:ascii="Antiqua" w:hAnsi="Antiqua"/>
          <w:sz w:val="24"/>
        </w:rPr>
      </w:pPr>
      <w:r>
        <w:rPr>
          <w:rFonts w:ascii="Antiqua" w:hAnsi="Antiqua"/>
          <w:sz w:val="24"/>
        </w:rPr>
        <w:tab/>
      </w:r>
      <w:r>
        <w:rPr>
          <w:rFonts w:ascii="Antiqua" w:hAnsi="Antiqua"/>
          <w:sz w:val="24"/>
        </w:rPr>
        <w:tab/>
      </w:r>
      <w:r>
        <w:rPr>
          <w:rFonts w:ascii="Antiqua" w:hAnsi="Antiqua"/>
          <w:sz w:val="24"/>
        </w:rPr>
        <w:tab/>
        <w:t xml:space="preserve">     по курсу: “Экономическая теория”</w:t>
      </w:r>
    </w:p>
    <w:p w:rsidR="004336C9" w:rsidRDefault="00B25E82">
      <w:pPr>
        <w:spacing w:line="360" w:lineRule="atLeast"/>
        <w:ind w:right="-1" w:firstLine="340"/>
        <w:jc w:val="both"/>
        <w:rPr>
          <w:rFonts w:ascii="Antiqua" w:hAnsi="Antiqua"/>
          <w:sz w:val="24"/>
        </w:rPr>
      </w:pPr>
      <w:r>
        <w:rPr>
          <w:rFonts w:ascii="Antiqua" w:hAnsi="Antiqua"/>
          <w:sz w:val="24"/>
        </w:rPr>
        <w:tab/>
      </w:r>
      <w:r>
        <w:rPr>
          <w:rFonts w:ascii="Antiqua" w:hAnsi="Antiqua"/>
          <w:sz w:val="24"/>
        </w:rPr>
        <w:tab/>
      </w:r>
      <w:r>
        <w:rPr>
          <w:rFonts w:ascii="Antiqua" w:hAnsi="Antiqua"/>
          <w:sz w:val="24"/>
        </w:rPr>
        <w:tab/>
      </w:r>
      <w:r>
        <w:rPr>
          <w:rFonts w:ascii="Antiqua" w:hAnsi="Antiqua"/>
          <w:sz w:val="24"/>
        </w:rPr>
        <w:tab/>
      </w:r>
      <w:r>
        <w:rPr>
          <w:rFonts w:ascii="Antiqua" w:hAnsi="Antiqua"/>
          <w:sz w:val="24"/>
        </w:rPr>
        <w:tab/>
        <w:t xml:space="preserve">  на тему:</w:t>
      </w:r>
    </w:p>
    <w:p w:rsidR="004336C9" w:rsidRDefault="00B25E82">
      <w:pPr>
        <w:spacing w:line="360" w:lineRule="atLeast"/>
        <w:ind w:right="-1" w:firstLine="340"/>
        <w:jc w:val="both"/>
        <w:rPr>
          <w:rFonts w:ascii="Antiqua" w:hAnsi="Antiqua"/>
          <w:sz w:val="24"/>
        </w:rPr>
      </w:pPr>
      <w:r>
        <w:rPr>
          <w:rFonts w:ascii="Antiqua" w:hAnsi="Antiqua"/>
          <w:sz w:val="24"/>
        </w:rPr>
        <w:tab/>
      </w:r>
      <w:r>
        <w:rPr>
          <w:rFonts w:ascii="Antiqua" w:hAnsi="Antiqua"/>
          <w:sz w:val="24"/>
        </w:rPr>
        <w:tab/>
      </w:r>
      <w:r>
        <w:rPr>
          <w:rFonts w:ascii="Antiqua" w:hAnsi="Antiqua"/>
          <w:sz w:val="24"/>
        </w:rPr>
        <w:tab/>
        <w:t xml:space="preserve"> “ФЬЮЧЕРСНЫЙ РЫНОК В РОССИИ”.</w:t>
      </w:r>
    </w:p>
    <w:p w:rsidR="004336C9" w:rsidRDefault="00B25E82">
      <w:pPr>
        <w:spacing w:line="360" w:lineRule="atLeast"/>
        <w:ind w:right="-1" w:firstLine="340"/>
        <w:jc w:val="both"/>
        <w:rPr>
          <w:rFonts w:ascii="Antiqua" w:hAnsi="Antiqua"/>
          <w:sz w:val="24"/>
        </w:rPr>
      </w:pPr>
      <w:r>
        <w:rPr>
          <w:rFonts w:ascii="Antiqua" w:hAnsi="Antiqua"/>
          <w:sz w:val="24"/>
        </w:rPr>
        <w:tab/>
      </w:r>
      <w:r>
        <w:rPr>
          <w:rFonts w:ascii="Antiqua" w:hAnsi="Antiqua"/>
          <w:sz w:val="24"/>
        </w:rPr>
        <w:tab/>
      </w: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B25E82">
      <w:pPr>
        <w:spacing w:line="360" w:lineRule="atLeast"/>
        <w:ind w:right="-1" w:firstLine="340"/>
        <w:jc w:val="both"/>
        <w:rPr>
          <w:rFonts w:ascii="Antiqua" w:hAnsi="Antiqua"/>
          <w:sz w:val="24"/>
        </w:rPr>
      </w:pPr>
      <w:r>
        <w:rPr>
          <w:rFonts w:ascii="Antiqua" w:hAnsi="Antiqua"/>
          <w:sz w:val="24"/>
        </w:rPr>
        <w:tab/>
      </w:r>
      <w:r>
        <w:rPr>
          <w:rFonts w:ascii="Antiqua" w:hAnsi="Antiqua"/>
          <w:sz w:val="24"/>
        </w:rPr>
        <w:tab/>
      </w:r>
      <w:r>
        <w:rPr>
          <w:rFonts w:ascii="Antiqua" w:hAnsi="Antiqua"/>
          <w:sz w:val="24"/>
        </w:rPr>
        <w:tab/>
      </w:r>
      <w:r>
        <w:rPr>
          <w:rFonts w:ascii="Antiqua" w:hAnsi="Antiqua"/>
          <w:sz w:val="24"/>
        </w:rPr>
        <w:tab/>
      </w:r>
      <w:r>
        <w:rPr>
          <w:rFonts w:ascii="Antiqua" w:hAnsi="Antiqua"/>
          <w:sz w:val="24"/>
        </w:rPr>
        <w:tab/>
        <w:t>Группа 47 / 94</w:t>
      </w:r>
    </w:p>
    <w:p w:rsidR="004336C9" w:rsidRDefault="004336C9">
      <w:pPr>
        <w:spacing w:line="360" w:lineRule="atLeast"/>
        <w:ind w:right="-1" w:firstLine="340"/>
        <w:jc w:val="both"/>
        <w:rPr>
          <w:rFonts w:ascii="Antiqua" w:hAnsi="Antiqua"/>
          <w:sz w:val="24"/>
        </w:rPr>
      </w:pPr>
    </w:p>
    <w:p w:rsidR="004336C9" w:rsidRDefault="00B25E82">
      <w:pPr>
        <w:spacing w:line="360" w:lineRule="atLeast"/>
        <w:ind w:right="-1" w:firstLine="340"/>
        <w:jc w:val="both"/>
        <w:rPr>
          <w:rFonts w:ascii="Antiqua" w:hAnsi="Antiqua"/>
          <w:sz w:val="24"/>
        </w:rPr>
      </w:pPr>
      <w:r>
        <w:rPr>
          <w:rFonts w:ascii="Antiqua" w:hAnsi="Antiqua"/>
          <w:sz w:val="24"/>
        </w:rPr>
        <w:tab/>
      </w:r>
      <w:r>
        <w:rPr>
          <w:rFonts w:ascii="Antiqua" w:hAnsi="Antiqua"/>
          <w:sz w:val="24"/>
        </w:rPr>
        <w:tab/>
        <w:t>Выполнила</w:t>
      </w:r>
      <w:r>
        <w:rPr>
          <w:rFonts w:ascii="Antiqua" w:hAnsi="Antiqua"/>
          <w:sz w:val="24"/>
        </w:rPr>
        <w:tab/>
      </w:r>
      <w:r>
        <w:rPr>
          <w:rFonts w:ascii="Antiqua" w:hAnsi="Antiqua"/>
          <w:sz w:val="24"/>
        </w:rPr>
        <w:tab/>
      </w:r>
      <w:r>
        <w:rPr>
          <w:rFonts w:ascii="Antiqua" w:hAnsi="Antiqua"/>
          <w:sz w:val="24"/>
        </w:rPr>
        <w:tab/>
      </w:r>
      <w:r>
        <w:rPr>
          <w:rFonts w:ascii="Antiqua" w:hAnsi="Antiqua"/>
          <w:sz w:val="24"/>
        </w:rPr>
        <w:tab/>
      </w:r>
      <w:r>
        <w:rPr>
          <w:rFonts w:ascii="Antiqua" w:hAnsi="Antiqua"/>
          <w:sz w:val="24"/>
        </w:rPr>
        <w:tab/>
      </w:r>
      <w:r>
        <w:rPr>
          <w:rFonts w:ascii="Antiqua" w:hAnsi="Antiqua"/>
          <w:sz w:val="24"/>
        </w:rPr>
        <w:tab/>
      </w:r>
      <w:r>
        <w:rPr>
          <w:rFonts w:ascii="Antiqua" w:hAnsi="Antiqua"/>
          <w:sz w:val="24"/>
        </w:rPr>
        <w:tab/>
        <w:t>Петухова Н. В.</w:t>
      </w:r>
    </w:p>
    <w:p w:rsidR="004336C9" w:rsidRDefault="004336C9">
      <w:pPr>
        <w:spacing w:line="360" w:lineRule="atLeast"/>
        <w:ind w:right="-1" w:firstLine="340"/>
        <w:jc w:val="both"/>
        <w:rPr>
          <w:rFonts w:ascii="Antiqua" w:hAnsi="Antiqua"/>
          <w:sz w:val="24"/>
        </w:rPr>
      </w:pPr>
    </w:p>
    <w:p w:rsidR="004336C9" w:rsidRDefault="00B25E82">
      <w:pPr>
        <w:spacing w:line="360" w:lineRule="atLeast"/>
        <w:ind w:right="-1" w:firstLine="340"/>
        <w:jc w:val="both"/>
        <w:rPr>
          <w:rFonts w:ascii="Antiqua" w:hAnsi="Antiqua"/>
          <w:sz w:val="24"/>
        </w:rPr>
      </w:pPr>
      <w:r>
        <w:rPr>
          <w:rFonts w:ascii="Antiqua" w:hAnsi="Antiqua"/>
          <w:sz w:val="24"/>
        </w:rPr>
        <w:tab/>
      </w:r>
      <w:r>
        <w:rPr>
          <w:rFonts w:ascii="Antiqua" w:hAnsi="Antiqua"/>
          <w:sz w:val="24"/>
        </w:rPr>
        <w:tab/>
        <w:t>Проверил</w:t>
      </w:r>
      <w:r>
        <w:rPr>
          <w:rFonts w:ascii="Antiqua" w:hAnsi="Antiqua"/>
          <w:sz w:val="24"/>
        </w:rPr>
        <w:tab/>
      </w:r>
      <w:r>
        <w:rPr>
          <w:rFonts w:ascii="Antiqua" w:hAnsi="Antiqua"/>
          <w:sz w:val="24"/>
        </w:rPr>
        <w:tab/>
      </w:r>
      <w:r>
        <w:rPr>
          <w:rFonts w:ascii="Antiqua" w:hAnsi="Antiqua"/>
          <w:sz w:val="24"/>
        </w:rPr>
        <w:tab/>
      </w:r>
      <w:r>
        <w:rPr>
          <w:rFonts w:ascii="Antiqua" w:hAnsi="Antiqua"/>
          <w:sz w:val="24"/>
        </w:rPr>
        <w:tab/>
      </w:r>
      <w:r>
        <w:rPr>
          <w:rFonts w:ascii="Antiqua" w:hAnsi="Antiqua"/>
          <w:sz w:val="24"/>
        </w:rPr>
        <w:tab/>
      </w:r>
      <w:r>
        <w:rPr>
          <w:rFonts w:ascii="Antiqua" w:hAnsi="Antiqua"/>
          <w:sz w:val="24"/>
        </w:rPr>
        <w:tab/>
        <w:t>проф.  Иванов А. П.</w:t>
      </w: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B25E82">
      <w:pPr>
        <w:spacing w:line="360" w:lineRule="atLeast"/>
        <w:ind w:right="-1" w:firstLine="340"/>
        <w:jc w:val="both"/>
        <w:rPr>
          <w:rFonts w:ascii="Antiqua" w:hAnsi="Antiqua"/>
          <w:sz w:val="24"/>
        </w:rPr>
      </w:pPr>
      <w:r>
        <w:rPr>
          <w:rFonts w:ascii="Antiqua" w:hAnsi="Antiqua"/>
          <w:sz w:val="24"/>
        </w:rPr>
        <w:t xml:space="preserve">        </w:t>
      </w:r>
      <w:r>
        <w:rPr>
          <w:rFonts w:ascii="Antiqua" w:hAnsi="Antiqua"/>
          <w:sz w:val="24"/>
        </w:rPr>
        <w:tab/>
      </w:r>
      <w:r>
        <w:rPr>
          <w:rFonts w:ascii="Antiqua" w:hAnsi="Antiqua"/>
          <w:sz w:val="24"/>
        </w:rPr>
        <w:tab/>
      </w:r>
      <w:r>
        <w:rPr>
          <w:rFonts w:ascii="Antiqua" w:hAnsi="Antiqua"/>
          <w:sz w:val="24"/>
        </w:rPr>
        <w:tab/>
      </w:r>
      <w:r>
        <w:rPr>
          <w:rFonts w:ascii="Antiqua" w:hAnsi="Antiqua"/>
          <w:sz w:val="24"/>
        </w:rPr>
        <w:tab/>
        <w:t>МОСКВА</w:t>
      </w:r>
    </w:p>
    <w:p w:rsidR="004336C9" w:rsidRDefault="00B25E82">
      <w:pPr>
        <w:spacing w:line="360" w:lineRule="atLeast"/>
        <w:ind w:right="-1" w:firstLine="340"/>
        <w:jc w:val="both"/>
        <w:rPr>
          <w:rFonts w:ascii="Antiqua" w:hAnsi="Antiqua"/>
          <w:sz w:val="24"/>
        </w:rPr>
      </w:pPr>
      <w:r>
        <w:rPr>
          <w:rFonts w:ascii="Antiqua" w:hAnsi="Antiqua"/>
          <w:sz w:val="24"/>
        </w:rPr>
        <w:t xml:space="preserve">        </w:t>
      </w:r>
      <w:r>
        <w:rPr>
          <w:rFonts w:ascii="Antiqua" w:hAnsi="Antiqua"/>
          <w:sz w:val="24"/>
        </w:rPr>
        <w:tab/>
      </w:r>
      <w:r>
        <w:rPr>
          <w:rFonts w:ascii="Antiqua" w:hAnsi="Antiqua"/>
          <w:sz w:val="24"/>
        </w:rPr>
        <w:tab/>
      </w:r>
      <w:r>
        <w:rPr>
          <w:rFonts w:ascii="Antiqua" w:hAnsi="Antiqua"/>
          <w:sz w:val="24"/>
        </w:rPr>
        <w:tab/>
      </w:r>
      <w:r>
        <w:rPr>
          <w:rFonts w:ascii="Antiqua" w:hAnsi="Antiqua"/>
          <w:sz w:val="24"/>
        </w:rPr>
        <w:tab/>
        <w:t>1996 г.</w:t>
      </w:r>
    </w:p>
    <w:p w:rsidR="004336C9" w:rsidRDefault="004336C9">
      <w:pPr>
        <w:spacing w:line="360" w:lineRule="atLeast"/>
        <w:ind w:right="-1" w:firstLine="340"/>
        <w:jc w:val="both"/>
        <w:rPr>
          <w:rFonts w:ascii="Antiqua" w:hAnsi="Antiqua"/>
          <w:sz w:val="24"/>
        </w:rPr>
      </w:pPr>
    </w:p>
    <w:p w:rsidR="004336C9" w:rsidRDefault="00B25E82">
      <w:pPr>
        <w:spacing w:line="360" w:lineRule="atLeast"/>
        <w:ind w:right="-1" w:firstLine="340"/>
        <w:jc w:val="both"/>
        <w:rPr>
          <w:rFonts w:ascii="Arial Cyr Italic" w:hAnsi="Arial Cyr Italic"/>
          <w:b/>
          <w:sz w:val="24"/>
        </w:rPr>
      </w:pPr>
      <w:r>
        <w:rPr>
          <w:rFonts w:ascii="Arial Cyr Italic" w:hAnsi="Arial Cyr Italic"/>
          <w:sz w:val="24"/>
        </w:rPr>
        <w:t>Аннотация.</w:t>
      </w:r>
    </w:p>
    <w:p w:rsidR="004336C9" w:rsidRDefault="00B25E82">
      <w:pPr>
        <w:spacing w:line="360" w:lineRule="atLeast"/>
        <w:ind w:right="-1" w:firstLine="340"/>
        <w:jc w:val="both"/>
        <w:rPr>
          <w:rFonts w:ascii="Antiqua" w:hAnsi="Antiqua"/>
          <w:sz w:val="24"/>
        </w:rPr>
      </w:pPr>
      <w:r>
        <w:rPr>
          <w:rFonts w:ascii="Antiqua" w:hAnsi="Antiqua"/>
          <w:sz w:val="24"/>
        </w:rPr>
        <w:t>Данная работа посвящена вопросам становления и развития фьючерсного рынка в России. Она содержит сведения о видах фьючерсных контрактов; о принципах действия и обращения фьючерсных контрактов как на биржевом, так и на внебиржевом рынках; об основных участниках фьючерсного рынка. Также в работе освещены основные проблемы организации фьючерсной торговли на современном этапе развития российской экономики.</w:t>
      </w:r>
    </w:p>
    <w:p w:rsidR="004336C9" w:rsidRDefault="00B25E82">
      <w:pPr>
        <w:spacing w:line="360" w:lineRule="atLeast"/>
        <w:ind w:firstLine="340"/>
        <w:jc w:val="both"/>
        <w:rPr>
          <w:rFonts w:ascii="Antiqua" w:hAnsi="Antiqua"/>
          <w:sz w:val="24"/>
        </w:rPr>
      </w:pPr>
      <w:r>
        <w:rPr>
          <w:rFonts w:ascii="Antiqua" w:hAnsi="Antiqua"/>
          <w:sz w:val="24"/>
        </w:rPr>
        <w:t xml:space="preserve">Рассмотренные в данной работе вопросы естественно не исчерпывают полностью такую сложную тему, как фьючерсный рынок в России. Поэтому в работе детально рассмотрены наиболее важные и основополагающие понятия фьючерсного рынка, что вполне достаточно для приобретения общего представления о фьючерсном рынке. </w:t>
      </w:r>
    </w:p>
    <w:p w:rsidR="004336C9" w:rsidRDefault="00B25E82">
      <w:pPr>
        <w:spacing w:line="360" w:lineRule="atLeast"/>
        <w:ind w:firstLine="340"/>
        <w:jc w:val="both"/>
        <w:rPr>
          <w:rFonts w:ascii="Antiqua" w:hAnsi="Antiqua"/>
          <w:sz w:val="24"/>
        </w:rPr>
      </w:pPr>
      <w:r>
        <w:rPr>
          <w:rFonts w:ascii="Antiqua" w:hAnsi="Antiqua"/>
          <w:sz w:val="24"/>
        </w:rPr>
        <w:t>Для более глубокого ознакомления с данной темой рекомендуется изучить дополнительную литературу, в которой освещены незатронутые в данной работе вопросы.</w:t>
      </w:r>
    </w:p>
    <w:p w:rsidR="004336C9" w:rsidRDefault="004336C9">
      <w:pPr>
        <w:spacing w:line="360" w:lineRule="atLeast"/>
        <w:ind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firstLine="340"/>
        <w:jc w:val="both"/>
        <w:rPr>
          <w:rFonts w:ascii="Antiqua" w:hAnsi="Antiqua"/>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rial Cyr Italic" w:hAnsi="Arial Cyr Italic"/>
          <w:sz w:val="24"/>
        </w:rPr>
      </w:pPr>
    </w:p>
    <w:p w:rsidR="004336C9" w:rsidRDefault="004336C9">
      <w:pPr>
        <w:spacing w:line="360" w:lineRule="atLeast"/>
        <w:ind w:right="-1" w:firstLine="340"/>
        <w:jc w:val="both"/>
        <w:rPr>
          <w:rFonts w:ascii="Arial Cyr Italic" w:hAnsi="Arial Cyr Italic"/>
          <w:sz w:val="24"/>
        </w:rPr>
      </w:pPr>
    </w:p>
    <w:p w:rsidR="004336C9" w:rsidRDefault="004336C9">
      <w:pPr>
        <w:spacing w:line="360" w:lineRule="atLeast"/>
        <w:ind w:right="-1" w:firstLine="340"/>
        <w:jc w:val="both"/>
        <w:rPr>
          <w:rFonts w:ascii="Arial Cyr Italic" w:hAnsi="Arial Cyr Italic"/>
          <w:sz w:val="24"/>
        </w:rPr>
      </w:pPr>
    </w:p>
    <w:p w:rsidR="004336C9" w:rsidRDefault="004336C9">
      <w:pPr>
        <w:spacing w:line="360" w:lineRule="atLeast"/>
        <w:ind w:right="-1" w:firstLine="340"/>
        <w:jc w:val="both"/>
        <w:rPr>
          <w:rFonts w:ascii="Arial Cyr Italic" w:hAnsi="Arial Cyr Italic"/>
          <w:sz w:val="24"/>
        </w:rPr>
      </w:pPr>
    </w:p>
    <w:p w:rsidR="004336C9" w:rsidRDefault="004336C9">
      <w:pPr>
        <w:spacing w:line="360" w:lineRule="atLeast"/>
        <w:ind w:right="-1" w:firstLine="340"/>
        <w:jc w:val="both"/>
        <w:rPr>
          <w:rFonts w:ascii="Arial Cyr Italic" w:hAnsi="Arial Cyr Italic"/>
          <w:sz w:val="24"/>
        </w:rPr>
      </w:pPr>
    </w:p>
    <w:p w:rsidR="004336C9" w:rsidRDefault="004336C9">
      <w:pPr>
        <w:spacing w:line="360" w:lineRule="atLeast"/>
        <w:ind w:right="-1" w:firstLine="340"/>
        <w:jc w:val="both"/>
        <w:rPr>
          <w:rFonts w:ascii="Arial Cyr Italic" w:hAnsi="Arial Cyr Italic"/>
          <w:sz w:val="24"/>
        </w:rPr>
      </w:pPr>
    </w:p>
    <w:p w:rsidR="004336C9" w:rsidRDefault="004336C9">
      <w:pPr>
        <w:spacing w:line="360" w:lineRule="atLeast"/>
        <w:ind w:right="-1" w:firstLine="340"/>
        <w:jc w:val="both"/>
        <w:rPr>
          <w:rFonts w:ascii="Arial Cyr Italic" w:hAnsi="Arial Cyr Italic"/>
          <w:sz w:val="24"/>
        </w:rPr>
      </w:pPr>
    </w:p>
    <w:p w:rsidR="004336C9" w:rsidRDefault="004336C9">
      <w:pPr>
        <w:spacing w:line="360" w:lineRule="atLeast"/>
        <w:ind w:right="-1" w:firstLine="340"/>
        <w:jc w:val="both"/>
        <w:rPr>
          <w:rFonts w:ascii="Arial Cyr Italic" w:hAnsi="Arial Cyr Italic"/>
          <w:sz w:val="24"/>
        </w:rPr>
      </w:pPr>
    </w:p>
    <w:p w:rsidR="004336C9" w:rsidRDefault="00B25E82">
      <w:pPr>
        <w:spacing w:line="360" w:lineRule="atLeast"/>
        <w:ind w:right="-1" w:firstLine="340"/>
        <w:jc w:val="both"/>
        <w:rPr>
          <w:rFonts w:ascii="Arial Cyr Italic" w:hAnsi="Arial Cyr Italic"/>
          <w:b/>
          <w:sz w:val="24"/>
        </w:rPr>
      </w:pPr>
      <w:r>
        <w:rPr>
          <w:rFonts w:ascii="Arial Cyr Italic" w:hAnsi="Arial Cyr Italic"/>
          <w:sz w:val="24"/>
        </w:rPr>
        <w:t>Содержание:</w:t>
      </w:r>
    </w:p>
    <w:p w:rsidR="004336C9" w:rsidRDefault="004336C9">
      <w:pPr>
        <w:spacing w:line="360" w:lineRule="atLeast"/>
        <w:ind w:right="-1" w:firstLine="340"/>
        <w:jc w:val="both"/>
        <w:rPr>
          <w:rFonts w:ascii="Antiqua" w:hAnsi="Antiqua"/>
          <w:b/>
          <w:sz w:val="24"/>
        </w:rPr>
      </w:pPr>
    </w:p>
    <w:p w:rsidR="004336C9" w:rsidRDefault="00B25E82">
      <w:pPr>
        <w:spacing w:line="360" w:lineRule="atLeast"/>
        <w:ind w:right="-1" w:firstLine="340"/>
        <w:jc w:val="both"/>
        <w:rPr>
          <w:rFonts w:ascii="Antiqua" w:hAnsi="Antiqua"/>
          <w:b/>
          <w:sz w:val="24"/>
        </w:rPr>
      </w:pPr>
      <w:r>
        <w:rPr>
          <w:rFonts w:ascii="Antiqua" w:hAnsi="Antiqua"/>
          <w:sz w:val="24"/>
        </w:rPr>
        <w:t>Введение. . . . . . . . . . . . . . . . . . . . . . . . . . . . . . . . . . . . . . . . . . . . . . . . . . 4</w:t>
      </w:r>
    </w:p>
    <w:p w:rsidR="004336C9" w:rsidRDefault="00B25E82">
      <w:pPr>
        <w:spacing w:line="360" w:lineRule="atLeast"/>
        <w:ind w:right="-1" w:firstLine="340"/>
        <w:jc w:val="both"/>
        <w:rPr>
          <w:rFonts w:ascii="Antiqua" w:hAnsi="Antiqua"/>
          <w:b/>
          <w:sz w:val="24"/>
        </w:rPr>
      </w:pPr>
      <w:r>
        <w:rPr>
          <w:rFonts w:ascii="Antiqua" w:hAnsi="Antiqua"/>
          <w:sz w:val="24"/>
        </w:rPr>
        <w:t>1. Основные понятия в теории фьючерсных контрактов. . . . . . . . . . . . . . . . . 5</w:t>
      </w:r>
    </w:p>
    <w:p w:rsidR="004336C9" w:rsidRDefault="00B25E82">
      <w:pPr>
        <w:spacing w:line="360" w:lineRule="atLeast"/>
        <w:ind w:right="-1" w:firstLine="340"/>
        <w:jc w:val="both"/>
        <w:rPr>
          <w:rFonts w:ascii="Antiqua" w:hAnsi="Antiqua"/>
          <w:b/>
          <w:sz w:val="24"/>
        </w:rPr>
      </w:pPr>
      <w:r>
        <w:rPr>
          <w:rFonts w:ascii="Antiqua" w:hAnsi="Antiqua"/>
          <w:sz w:val="24"/>
        </w:rPr>
        <w:t>2. Техника заключения фьючерсных контрактов. . . . . . . . . . . . . . . . . . . . . . .7</w:t>
      </w:r>
    </w:p>
    <w:p w:rsidR="004336C9" w:rsidRDefault="00B25E82">
      <w:pPr>
        <w:spacing w:line="360" w:lineRule="atLeast"/>
        <w:ind w:right="-1" w:firstLine="340"/>
        <w:jc w:val="both"/>
        <w:rPr>
          <w:rFonts w:ascii="Antiqua" w:hAnsi="Antiqua"/>
          <w:b/>
          <w:sz w:val="24"/>
        </w:rPr>
      </w:pPr>
      <w:r>
        <w:rPr>
          <w:rFonts w:ascii="Antiqua" w:hAnsi="Antiqua"/>
          <w:b/>
          <w:sz w:val="24"/>
        </w:rPr>
        <w:tab/>
      </w:r>
      <w:r>
        <w:rPr>
          <w:rFonts w:ascii="Antiqua" w:hAnsi="Antiqua"/>
          <w:sz w:val="24"/>
        </w:rPr>
        <w:t xml:space="preserve">2.1. Биржевой рынок. . . . . . . . . . . . . . . . . . . . . . . . . . . . . . . . . . . . . . . 7 </w:t>
      </w:r>
    </w:p>
    <w:p w:rsidR="004336C9" w:rsidRDefault="00B25E82">
      <w:pPr>
        <w:spacing w:line="360" w:lineRule="atLeast"/>
        <w:ind w:right="-1" w:firstLine="340"/>
        <w:jc w:val="both"/>
        <w:rPr>
          <w:rFonts w:ascii="Antiqua" w:hAnsi="Antiqua"/>
          <w:sz w:val="24"/>
        </w:rPr>
      </w:pPr>
      <w:r>
        <w:rPr>
          <w:rFonts w:ascii="Antiqua" w:hAnsi="Antiqua"/>
          <w:sz w:val="24"/>
        </w:rPr>
        <w:tab/>
      </w:r>
      <w:r>
        <w:rPr>
          <w:rFonts w:ascii="Antiqua" w:hAnsi="Antiqua"/>
          <w:sz w:val="24"/>
        </w:rPr>
        <w:tab/>
        <w:t xml:space="preserve">2.1.1. История биржевой торговли  фьючерсными </w:t>
      </w:r>
    </w:p>
    <w:p w:rsidR="004336C9" w:rsidRDefault="00B25E82">
      <w:pPr>
        <w:spacing w:line="360" w:lineRule="atLeast"/>
        <w:ind w:right="-1" w:firstLine="340"/>
        <w:jc w:val="both"/>
        <w:rPr>
          <w:rFonts w:ascii="Antiqua" w:hAnsi="Antiqua"/>
          <w:sz w:val="24"/>
        </w:rPr>
      </w:pPr>
      <w:r>
        <w:rPr>
          <w:rFonts w:ascii="Antiqua" w:hAnsi="Antiqua"/>
          <w:sz w:val="24"/>
        </w:rPr>
        <w:t xml:space="preserve">                    контрактами в мире и в России. . . . . . . . . . . . . . . . . . . . . . . 7</w:t>
      </w:r>
    </w:p>
    <w:p w:rsidR="004336C9" w:rsidRDefault="00B25E82">
      <w:pPr>
        <w:spacing w:line="360" w:lineRule="atLeast"/>
        <w:ind w:right="-1" w:firstLine="340"/>
        <w:jc w:val="both"/>
        <w:rPr>
          <w:rFonts w:ascii="Antiqua" w:hAnsi="Antiqua"/>
          <w:sz w:val="24"/>
        </w:rPr>
      </w:pPr>
      <w:r>
        <w:rPr>
          <w:rFonts w:ascii="Antiqua" w:hAnsi="Antiqua"/>
          <w:sz w:val="24"/>
        </w:rPr>
        <w:tab/>
      </w:r>
      <w:r>
        <w:rPr>
          <w:rFonts w:ascii="Antiqua" w:hAnsi="Antiqua"/>
          <w:sz w:val="24"/>
        </w:rPr>
        <w:tab/>
        <w:t>2.1.2. Участники биржевой торговли контрактами. . . . . . . . . . . . . . 8</w:t>
      </w:r>
    </w:p>
    <w:p w:rsidR="004336C9" w:rsidRDefault="00B25E82">
      <w:pPr>
        <w:spacing w:line="360" w:lineRule="atLeast"/>
        <w:ind w:right="-1" w:firstLine="340"/>
        <w:jc w:val="both"/>
        <w:rPr>
          <w:rFonts w:ascii="Antiqua" w:hAnsi="Antiqua"/>
          <w:sz w:val="24"/>
        </w:rPr>
      </w:pPr>
      <w:r>
        <w:rPr>
          <w:rFonts w:ascii="Antiqua" w:hAnsi="Antiqua"/>
          <w:sz w:val="24"/>
        </w:rPr>
        <w:tab/>
      </w:r>
      <w:r>
        <w:rPr>
          <w:rFonts w:ascii="Antiqua" w:hAnsi="Antiqua"/>
          <w:sz w:val="24"/>
        </w:rPr>
        <w:tab/>
        <w:t xml:space="preserve">2.1.3. Основные понятия биржевой торговли </w:t>
      </w:r>
    </w:p>
    <w:p w:rsidR="004336C9" w:rsidRDefault="00B25E82">
      <w:pPr>
        <w:spacing w:line="360" w:lineRule="atLeast"/>
        <w:ind w:right="-1" w:firstLine="340"/>
        <w:jc w:val="both"/>
        <w:rPr>
          <w:rFonts w:ascii="Antiqua" w:hAnsi="Antiqua"/>
          <w:b/>
          <w:sz w:val="24"/>
        </w:rPr>
      </w:pPr>
      <w:r>
        <w:rPr>
          <w:rFonts w:ascii="Antiqua" w:hAnsi="Antiqua"/>
          <w:sz w:val="24"/>
        </w:rPr>
        <w:t xml:space="preserve">                    фьючерсными контрактами. . . . . . . . . . . . . . . . . . . . . . . . . . 9</w:t>
      </w:r>
    </w:p>
    <w:p w:rsidR="004336C9" w:rsidRDefault="00B25E82">
      <w:pPr>
        <w:spacing w:line="360" w:lineRule="atLeast"/>
        <w:ind w:right="-1" w:firstLine="340"/>
        <w:jc w:val="both"/>
        <w:rPr>
          <w:rFonts w:ascii="Antiqua" w:hAnsi="Antiqua"/>
          <w:sz w:val="24"/>
        </w:rPr>
      </w:pPr>
      <w:r>
        <w:rPr>
          <w:rFonts w:ascii="Antiqua" w:hAnsi="Antiqua"/>
          <w:b/>
          <w:sz w:val="24"/>
        </w:rPr>
        <w:tab/>
      </w:r>
      <w:r>
        <w:rPr>
          <w:rFonts w:ascii="Antiqua" w:hAnsi="Antiqua"/>
          <w:b/>
          <w:sz w:val="24"/>
        </w:rPr>
        <w:tab/>
      </w:r>
      <w:r>
        <w:rPr>
          <w:rFonts w:ascii="Antiqua" w:hAnsi="Antiqua"/>
          <w:sz w:val="24"/>
        </w:rPr>
        <w:t>2.1.4. Порядок заключения и исполнения сделок</w:t>
      </w:r>
    </w:p>
    <w:p w:rsidR="004336C9" w:rsidRDefault="00B25E82">
      <w:pPr>
        <w:spacing w:line="360" w:lineRule="atLeast"/>
        <w:ind w:right="-1" w:firstLine="340"/>
        <w:jc w:val="both"/>
        <w:rPr>
          <w:rFonts w:ascii="Antiqua" w:hAnsi="Antiqua"/>
          <w:b/>
          <w:sz w:val="24"/>
        </w:rPr>
      </w:pPr>
      <w:r>
        <w:rPr>
          <w:rFonts w:ascii="Antiqua" w:hAnsi="Antiqua"/>
          <w:sz w:val="24"/>
        </w:rPr>
        <w:t xml:space="preserve">                   на куплю-продажу фьючерсных контрактов. . . . . . . . . . . . . . .11</w:t>
      </w:r>
    </w:p>
    <w:p w:rsidR="004336C9" w:rsidRDefault="00B25E82">
      <w:pPr>
        <w:spacing w:line="360" w:lineRule="atLeast"/>
        <w:ind w:right="-1" w:firstLine="340"/>
        <w:jc w:val="both"/>
        <w:rPr>
          <w:rFonts w:ascii="Antiqua" w:hAnsi="Antiqua"/>
          <w:sz w:val="24"/>
        </w:rPr>
      </w:pPr>
      <w:r>
        <w:rPr>
          <w:rFonts w:ascii="Antiqua" w:hAnsi="Antiqua"/>
          <w:b/>
          <w:sz w:val="24"/>
        </w:rPr>
        <w:tab/>
      </w:r>
      <w:r>
        <w:rPr>
          <w:rFonts w:ascii="Antiqua" w:hAnsi="Antiqua"/>
          <w:sz w:val="24"/>
        </w:rPr>
        <w:t>2.2. Внебиржевой рынок. . . . . . . . . . . . . . . . . . . . . . . . . . . . . . . . . . . . 17</w:t>
      </w:r>
    </w:p>
    <w:p w:rsidR="004336C9" w:rsidRDefault="00B25E82">
      <w:pPr>
        <w:spacing w:line="360" w:lineRule="atLeast"/>
        <w:ind w:right="-1" w:firstLine="340"/>
        <w:jc w:val="both"/>
        <w:rPr>
          <w:rFonts w:ascii="Antiqua" w:hAnsi="Antiqua"/>
          <w:b/>
          <w:sz w:val="24"/>
        </w:rPr>
      </w:pPr>
      <w:r>
        <w:rPr>
          <w:rFonts w:ascii="Antiqua" w:hAnsi="Antiqua"/>
          <w:sz w:val="24"/>
        </w:rPr>
        <w:t>3. Участники рынка срочных контрактов. . . . . . . . . . . . . . . . . . . . . . . . . . . 18</w:t>
      </w:r>
    </w:p>
    <w:p w:rsidR="004336C9" w:rsidRDefault="00B25E82">
      <w:pPr>
        <w:spacing w:line="360" w:lineRule="atLeast"/>
        <w:ind w:right="-1" w:firstLine="340"/>
        <w:jc w:val="both"/>
        <w:rPr>
          <w:rFonts w:ascii="Antiqua" w:hAnsi="Antiqua"/>
          <w:sz w:val="24"/>
        </w:rPr>
      </w:pPr>
      <w:r>
        <w:rPr>
          <w:rFonts w:ascii="Antiqua" w:hAnsi="Antiqua"/>
          <w:b/>
          <w:sz w:val="24"/>
        </w:rPr>
        <w:tab/>
      </w:r>
      <w:r>
        <w:rPr>
          <w:rFonts w:ascii="Antiqua" w:hAnsi="Antiqua"/>
          <w:sz w:val="24"/>
        </w:rPr>
        <w:t>3.1 Хеджеры. . . . . . . . . . . . . . . . . . . . . . . . . . . . . . . . . . . . . . . . . . . . .18</w:t>
      </w:r>
    </w:p>
    <w:p w:rsidR="004336C9" w:rsidRDefault="00B25E82">
      <w:pPr>
        <w:spacing w:line="360" w:lineRule="atLeast"/>
        <w:ind w:right="-1" w:firstLine="340"/>
        <w:jc w:val="both"/>
        <w:rPr>
          <w:rFonts w:ascii="Antiqua" w:hAnsi="Antiqua"/>
          <w:b/>
          <w:sz w:val="24"/>
        </w:rPr>
      </w:pPr>
      <w:r>
        <w:rPr>
          <w:rFonts w:ascii="Antiqua" w:hAnsi="Antiqua"/>
          <w:sz w:val="24"/>
        </w:rPr>
        <w:tab/>
        <w:t>3.2 Спекулянты. . . . . . . . . . . . . . . . . . . . . . . . . . . . . . . . . . . . . . . . . . .22</w:t>
      </w:r>
    </w:p>
    <w:p w:rsidR="004336C9" w:rsidRDefault="00B25E82">
      <w:pPr>
        <w:spacing w:line="360" w:lineRule="atLeast"/>
        <w:ind w:right="-1" w:firstLine="340"/>
        <w:jc w:val="both"/>
        <w:rPr>
          <w:rFonts w:ascii="Antiqua" w:hAnsi="Antiqua"/>
          <w:sz w:val="24"/>
        </w:rPr>
      </w:pPr>
      <w:r>
        <w:rPr>
          <w:rFonts w:ascii="Antiqua" w:hAnsi="Antiqua"/>
          <w:sz w:val="24"/>
        </w:rPr>
        <w:t>4. Проблемы организации фьючерсной торговли на современном</w:t>
      </w:r>
    </w:p>
    <w:p w:rsidR="004336C9" w:rsidRDefault="00B25E82">
      <w:pPr>
        <w:spacing w:line="360" w:lineRule="atLeast"/>
        <w:ind w:right="-1" w:firstLine="340"/>
        <w:jc w:val="both"/>
        <w:rPr>
          <w:rFonts w:ascii="Antiqua" w:hAnsi="Antiqua"/>
          <w:b/>
          <w:sz w:val="24"/>
        </w:rPr>
      </w:pPr>
      <w:r>
        <w:rPr>
          <w:rFonts w:ascii="Antiqua" w:hAnsi="Antiqua"/>
          <w:sz w:val="24"/>
        </w:rPr>
        <w:t xml:space="preserve">   этапе развития российской экономики. . . . . . . . . . . . . . . . . . . . . . . . . . . 24</w:t>
      </w:r>
    </w:p>
    <w:p w:rsidR="004336C9" w:rsidRDefault="00B25E82">
      <w:pPr>
        <w:spacing w:line="360" w:lineRule="atLeast"/>
        <w:ind w:right="-1" w:firstLine="340"/>
        <w:jc w:val="both"/>
        <w:rPr>
          <w:rFonts w:ascii="Antiqua" w:hAnsi="Antiqua"/>
          <w:b/>
          <w:sz w:val="24"/>
        </w:rPr>
      </w:pPr>
      <w:r>
        <w:rPr>
          <w:rFonts w:ascii="Antiqua" w:hAnsi="Antiqua"/>
          <w:sz w:val="24"/>
        </w:rPr>
        <w:t>Заключение. . . . . . . . . . . . . . . . . . . . . . . . . . . . . . . . . . . . . . . . . . . . . . . .26</w:t>
      </w:r>
    </w:p>
    <w:p w:rsidR="004336C9" w:rsidRDefault="00B25E82">
      <w:pPr>
        <w:spacing w:line="360" w:lineRule="atLeast"/>
        <w:ind w:right="-1" w:firstLine="340"/>
        <w:jc w:val="both"/>
        <w:rPr>
          <w:rFonts w:ascii="Antiqua" w:hAnsi="Antiqua"/>
          <w:b/>
          <w:sz w:val="24"/>
        </w:rPr>
      </w:pPr>
      <w:r>
        <w:rPr>
          <w:rFonts w:ascii="Antiqua" w:hAnsi="Antiqua"/>
          <w:sz w:val="24"/>
        </w:rPr>
        <w:t>Литература. . . . . . . . . . . . . . . . . . . . . . . . . . . . . . . . . . . . . . . . . . . . . . . . 27</w:t>
      </w: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B25E82">
      <w:pPr>
        <w:spacing w:line="360" w:lineRule="atLeast"/>
        <w:ind w:right="-1" w:firstLine="340"/>
        <w:jc w:val="both"/>
        <w:rPr>
          <w:rFonts w:ascii="Arial Cyr Italic" w:hAnsi="Arial Cyr Italic"/>
          <w:sz w:val="24"/>
        </w:rPr>
      </w:pPr>
      <w:r>
        <w:rPr>
          <w:rFonts w:ascii="Arial Cyr Italic" w:hAnsi="Arial Cyr Italic"/>
          <w:sz w:val="24"/>
        </w:rPr>
        <w:t>Введение.</w:t>
      </w:r>
    </w:p>
    <w:p w:rsidR="004336C9" w:rsidRDefault="004336C9">
      <w:pPr>
        <w:spacing w:line="360" w:lineRule="atLeast"/>
        <w:ind w:right="-1" w:firstLine="340"/>
        <w:jc w:val="both"/>
        <w:rPr>
          <w:rFonts w:ascii="Arial Cyr Italic" w:hAnsi="Arial Cyr Italic"/>
          <w:b/>
          <w:sz w:val="24"/>
        </w:rPr>
      </w:pPr>
    </w:p>
    <w:p w:rsidR="004336C9" w:rsidRDefault="00B25E82">
      <w:pPr>
        <w:spacing w:line="360" w:lineRule="atLeast"/>
        <w:ind w:right="-1" w:firstLine="340"/>
        <w:jc w:val="both"/>
        <w:rPr>
          <w:rFonts w:ascii="Antiqua" w:hAnsi="Antiqua"/>
          <w:sz w:val="24"/>
        </w:rPr>
      </w:pPr>
      <w:r>
        <w:rPr>
          <w:rFonts w:ascii="Antiqua" w:hAnsi="Antiqua"/>
          <w:sz w:val="24"/>
        </w:rPr>
        <w:t xml:space="preserve">Инфляция представляет собой одну из острых проблем современного развития российской экономики. В этих условиях становится актуальной проблема оптимального размещения свободных денежных средств и выбора инвестиционной стратегии, обеспечивающей их защиту и получение максимальной прибыли. Стремительное развитие кризиса в России в “пост-перестроечный период”, сопровождающееся катастрофическим обесцениванием денежных ресурсов, спадом производства заставляют потенциальных инвесторов использовать нетрадиционные, и зачастую очень рискованные, инвестиционные стратегии (размещение денежных средств в сомнительные фонды, обналичивание и т.п.) Между тем мировой опыт свидетельствует, что существуют вполне законные и эффективные механизмы инвестиций в производные финансовые инструменты - фьючерсные контракты, которые именно в периоды нестабильности и инфляции обеспечивают получение сверхприбыли, повышая устойчивость работы предприятий и организаций, приумножая капитал частных инвесторов. </w:t>
      </w:r>
    </w:p>
    <w:p w:rsidR="004336C9" w:rsidRDefault="00B25E82">
      <w:pPr>
        <w:spacing w:line="360" w:lineRule="atLeast"/>
        <w:ind w:right="-1" w:firstLine="340"/>
        <w:jc w:val="both"/>
        <w:rPr>
          <w:rFonts w:ascii="Antiqua" w:hAnsi="Antiqua"/>
          <w:b/>
          <w:sz w:val="24"/>
        </w:rPr>
      </w:pPr>
      <w:r>
        <w:rPr>
          <w:rFonts w:ascii="Antiqua" w:hAnsi="Antiqua"/>
          <w:sz w:val="24"/>
        </w:rPr>
        <w:t>В настоящее время в России  фьючерсный рынок является одним из центральных звеньев современных рыночных отношений. Он представляет собой хорошо организованную систему биржевой и внебиржевой торговли.</w:t>
      </w: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4336C9">
      <w:pPr>
        <w:spacing w:line="360" w:lineRule="atLeast"/>
        <w:ind w:right="-1" w:firstLine="340"/>
        <w:jc w:val="both"/>
        <w:rPr>
          <w:rFonts w:ascii="Antiqua" w:hAnsi="Antiqua"/>
          <w:b/>
          <w:sz w:val="24"/>
        </w:rPr>
      </w:pPr>
    </w:p>
    <w:p w:rsidR="004336C9" w:rsidRDefault="00B25E82">
      <w:pPr>
        <w:spacing w:line="360" w:lineRule="atLeast"/>
        <w:ind w:right="-1" w:firstLine="340"/>
        <w:jc w:val="both"/>
        <w:rPr>
          <w:rFonts w:ascii="Arial Cyr Italic" w:hAnsi="Arial Cyr Italic"/>
          <w:sz w:val="24"/>
        </w:rPr>
      </w:pPr>
      <w:r>
        <w:rPr>
          <w:rFonts w:ascii="Arial Cyr Italic" w:hAnsi="Arial Cyr Italic"/>
          <w:sz w:val="24"/>
        </w:rPr>
        <w:t>1. Основные понятия в теории фьючерсных контрактов.</w:t>
      </w:r>
    </w:p>
    <w:p w:rsidR="004336C9" w:rsidRDefault="004336C9">
      <w:pPr>
        <w:spacing w:line="360" w:lineRule="atLeast"/>
        <w:ind w:right="-1" w:firstLine="340"/>
        <w:jc w:val="both"/>
        <w:rPr>
          <w:rFonts w:ascii="Arial Cyr Italic" w:hAnsi="Arial Cyr Italic"/>
          <w:b/>
          <w:sz w:val="24"/>
        </w:rPr>
      </w:pPr>
    </w:p>
    <w:p w:rsidR="004336C9" w:rsidRDefault="00B25E82">
      <w:pPr>
        <w:spacing w:line="360" w:lineRule="atLeast"/>
        <w:ind w:right="-1" w:firstLine="340"/>
        <w:jc w:val="both"/>
        <w:rPr>
          <w:rFonts w:ascii="Antiqua" w:hAnsi="Antiqua"/>
          <w:sz w:val="24"/>
        </w:rPr>
      </w:pPr>
      <w:r>
        <w:rPr>
          <w:rFonts w:ascii="Antiqua" w:hAnsi="Antiqua"/>
          <w:sz w:val="24"/>
        </w:rPr>
        <w:t xml:space="preserve">Фьючерсный контракт (фьючерс) представляет собой контракт, по которому инвестор, заключающий его, берет на себя обязательство по истечении определенного срока продать своему контрагенту (или купить у него) определенное количество биржевого товара или финансовых инструментов по обусловленной цене. Таким образом, в контракте должны быть обязательно указаны количество товара, его цена и срок поставки. Фьючерсы могут заключаться на поставку сельскохозяйственной продукции или производственного сырья, акций и других ценный бумаг, иностранной валюты и т.д. </w:t>
      </w:r>
    </w:p>
    <w:p w:rsidR="004336C9" w:rsidRDefault="00B25E82">
      <w:pPr>
        <w:spacing w:line="360" w:lineRule="atLeast"/>
        <w:ind w:right="-1" w:firstLine="340"/>
        <w:jc w:val="both"/>
        <w:rPr>
          <w:rFonts w:ascii="Antiqua" w:hAnsi="Antiqua"/>
          <w:sz w:val="24"/>
        </w:rPr>
      </w:pPr>
      <w:r>
        <w:rPr>
          <w:rFonts w:ascii="Antiqua" w:hAnsi="Antiqua"/>
          <w:sz w:val="24"/>
        </w:rPr>
        <w:t>Заключение фьючерсного контракта не является непосредственным актом купли-продажи, т.е. продавец не отдает покупателю свой товар, а покупатель не отдает продавцу свои деньги. Фьючерс становится ценной бумагой и может в течение всего срока действия перекупаться много раз.</w:t>
      </w:r>
    </w:p>
    <w:p w:rsidR="004336C9" w:rsidRDefault="00B25E82">
      <w:pPr>
        <w:spacing w:line="360" w:lineRule="atLeast"/>
        <w:ind w:right="-1" w:firstLine="340"/>
        <w:jc w:val="both"/>
        <w:rPr>
          <w:rFonts w:ascii="Antiqua" w:hAnsi="Antiqua"/>
          <w:sz w:val="24"/>
        </w:rPr>
      </w:pPr>
      <w:r>
        <w:rPr>
          <w:rFonts w:ascii="Antiqua" w:hAnsi="Antiqua"/>
          <w:sz w:val="24"/>
        </w:rPr>
        <w:t>Фьючерсы бывают на покупку и на продажу. Допустим, фермер знает, что ему потребуется к весенне-полевым работам в марте 40т. топлива. Однако хранить это топливо всю зиму негде или дорого. Фермер может подождать до марта, но неизвестно, какая цена на топливо будет в марте. Поэтому он покупает фьючерсный контракт, т.е. заключает контракт на покупку топлива. Тем самым он гарантирует себе поставку топлива при заранее известных затратах на него. Чтобы быть уверенным в том, что он продаст весь собранный урожай, фермер продает фьючерсный контракт, т.е. заключает контракт на продажу зерна, с поставкой, например в сентябре. Этим он гарантирует уровень своих доходов от сбыта зерна.</w:t>
      </w:r>
    </w:p>
    <w:p w:rsidR="004336C9" w:rsidRDefault="00B25E82">
      <w:pPr>
        <w:spacing w:line="360" w:lineRule="atLeast"/>
        <w:ind w:right="-1" w:firstLine="340"/>
        <w:jc w:val="both"/>
        <w:rPr>
          <w:rFonts w:ascii="Antiqua" w:hAnsi="Antiqua"/>
          <w:sz w:val="24"/>
        </w:rPr>
      </w:pPr>
      <w:r>
        <w:rPr>
          <w:rFonts w:ascii="Antiqua" w:hAnsi="Antiqua"/>
          <w:sz w:val="24"/>
        </w:rPr>
        <w:t>Конечно, владелец фьючерсного контракта на покупку выигрывает только в том случае, если рыночная цена товара в момент исполнения окажется выше указанной во фьючерсном контракте. Владелец фьючерса на продажу получит выигрыш тогда, когда рыночная цена будет ниже, чем во фьючерсном контракте. Таким образом, держатель контракта может как угадать, так и не угадать колеблемую стоимость товара, проиграть или получить прибыль. [3, с. 100]</w:t>
      </w:r>
    </w:p>
    <w:p w:rsidR="004336C9" w:rsidRDefault="00B25E82">
      <w:pPr>
        <w:spacing w:line="360" w:lineRule="atLeast"/>
        <w:ind w:right="-1" w:firstLine="340"/>
        <w:jc w:val="both"/>
        <w:rPr>
          <w:rFonts w:ascii="Antiqua" w:hAnsi="Antiqua"/>
          <w:sz w:val="24"/>
        </w:rPr>
      </w:pPr>
      <w:r>
        <w:rPr>
          <w:rFonts w:ascii="Antiqua" w:hAnsi="Antiqua"/>
          <w:sz w:val="24"/>
        </w:rPr>
        <w:t>Цена, которая фиксируется при заключении фьючерсного контракта, называется фьючерсной ценой. Она отражает ожидания инвесторов относительно будущей рыночной цены (цены-спот) для соответствующего актива. При заключении фьючерсного контракта фьючерсная цена может быть выше или ниже цены-спот для данного актива. Ситуация, когда фьючерсная цена выше цены-спот, называется “контанго”; а ситуация, когда фьючерсная цена ниже цены-спот - “бэквардация”. Как уже было отмечено, в момент заключения контракта фьючерсная цена будет отличаться от цены-спот, однако к дате истечения контракта обе цены станут одинаковыми (рис. 1).</w:t>
      </w: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CE788F">
      <w:pPr>
        <w:spacing w:line="360" w:lineRule="atLeast"/>
        <w:ind w:right="-1" w:firstLine="340"/>
        <w:jc w:val="both"/>
        <w:rPr>
          <w:rFonts w:ascii="Antiqua" w:hAnsi="Antiqua"/>
          <w:sz w:val="24"/>
        </w:rPr>
      </w:pPr>
      <w:r>
        <w:rPr>
          <w:rFonts w:ascii="Tms Rmn" w:hAnsi="Tms Rmn"/>
          <w:noProof/>
        </w:rPr>
        <w:pict>
          <v:line id="_x0000_s1028" style="position:absolute;left:0;text-align:left;flip:y;z-index:251639808;mso-position-horizontal-relative:text;mso-position-vertical-relative:text" from="87.6pt,15.4pt" to="87.65pt,173.85pt" o:allowincell="f">
            <v:stroke startarrowwidth="narrow" startarrowlength="short" endarrow="block" endarrowwidth="narrow" endarrowlength="short"/>
          </v:line>
        </w:pict>
      </w:r>
      <w:r w:rsidR="00B25E82">
        <w:rPr>
          <w:rFonts w:ascii="Antiqua" w:hAnsi="Antiqua"/>
          <w:sz w:val="24"/>
        </w:rPr>
        <w:t xml:space="preserve">               </w:t>
      </w:r>
      <w:r w:rsidR="00B25E82">
        <w:rPr>
          <w:rFonts w:ascii="Antiqua" w:hAnsi="Antiqua"/>
          <w:sz w:val="22"/>
        </w:rPr>
        <w:t>F</w:t>
      </w:r>
    </w:p>
    <w:p w:rsidR="004336C9" w:rsidRDefault="004336C9">
      <w:pPr>
        <w:spacing w:line="360" w:lineRule="atLeast"/>
        <w:ind w:right="-1" w:firstLine="340"/>
        <w:jc w:val="both"/>
        <w:rPr>
          <w:rFonts w:ascii="Antiqua" w:hAnsi="Antiqua"/>
          <w:sz w:val="24"/>
        </w:rPr>
      </w:pPr>
    </w:p>
    <w:p w:rsidR="004336C9" w:rsidRDefault="00CE788F">
      <w:pPr>
        <w:spacing w:line="360" w:lineRule="atLeast"/>
        <w:ind w:right="-1" w:firstLine="340"/>
        <w:jc w:val="both"/>
        <w:rPr>
          <w:rFonts w:ascii="Antiqua" w:hAnsi="Antiqua"/>
          <w:sz w:val="24"/>
        </w:rPr>
      </w:pPr>
      <w:r>
        <w:rPr>
          <w:rFonts w:ascii="Tms Rmn" w:hAnsi="Tms Rmn"/>
          <w:noProof/>
        </w:rPr>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34" type="#_x0000_t19" style="position:absolute;left:0;text-align:left;margin-left:87.6pt;margin-top:1pt;width:165.65pt;height:64.85pt;flip:x y;z-index:251645952;mso-position-horizontal-relative:text;mso-position-vertical-relative:text" o:allowincell="f" strokeweight="1pt"/>
        </w:pict>
      </w:r>
    </w:p>
    <w:p w:rsidR="004336C9" w:rsidRDefault="00B25E82">
      <w:pPr>
        <w:spacing w:line="360" w:lineRule="atLeast"/>
        <w:ind w:right="-1" w:firstLine="340"/>
        <w:jc w:val="both"/>
        <w:rPr>
          <w:rFonts w:ascii="Antiqua" w:hAnsi="Antiqua"/>
          <w:sz w:val="24"/>
        </w:rPr>
      </w:pPr>
      <w:r>
        <w:rPr>
          <w:rFonts w:ascii="Antiqua" w:hAnsi="Antiqua"/>
          <w:sz w:val="24"/>
        </w:rPr>
        <w:t xml:space="preserve">                          </w:t>
      </w:r>
      <w:r>
        <w:rPr>
          <w:rFonts w:ascii="Antiqua" w:hAnsi="Antiqua"/>
          <w:sz w:val="22"/>
        </w:rPr>
        <w:t>контанго</w:t>
      </w:r>
    </w:p>
    <w:p w:rsidR="004336C9" w:rsidRDefault="004336C9">
      <w:pPr>
        <w:spacing w:line="360" w:lineRule="atLeast"/>
        <w:ind w:right="-1" w:firstLine="340"/>
        <w:jc w:val="both"/>
        <w:rPr>
          <w:rFonts w:ascii="Antiqua" w:hAnsi="Antiqua"/>
          <w:sz w:val="24"/>
        </w:rPr>
      </w:pPr>
    </w:p>
    <w:p w:rsidR="004336C9" w:rsidRDefault="00CE788F">
      <w:pPr>
        <w:spacing w:line="360" w:lineRule="atLeast"/>
        <w:ind w:right="-1" w:firstLine="340"/>
        <w:jc w:val="both"/>
        <w:rPr>
          <w:rFonts w:ascii="Antiqua" w:hAnsi="Antiqua"/>
          <w:sz w:val="24"/>
        </w:rPr>
      </w:pPr>
      <w:r>
        <w:rPr>
          <w:rFonts w:ascii="Tms Rmn" w:hAnsi="Tms Rmn"/>
          <w:noProof/>
        </w:rPr>
        <w:pict>
          <v:shape id="_x0000_s1036" type="#_x0000_t19" style="position:absolute;left:0;text-align:left;margin-left:87.6pt;margin-top:11.8pt;width:172.85pt;height:64.85pt;flip:x;z-index:251648000;mso-position-horizontal-relative:text;mso-position-vertical-relative:text" o:allowincell="f" strokeweight="1pt"/>
        </w:pict>
      </w:r>
      <w:r>
        <w:rPr>
          <w:rFonts w:ascii="Tms Rmn" w:hAnsi="Tms Rmn"/>
          <w:noProof/>
        </w:rPr>
        <w:pict>
          <v:line id="_x0000_s1032" style="position:absolute;left:0;text-align:left;z-index:251643904;mso-position-horizontal-relative:text;mso-position-vertical-relative:text" from="253.2pt,11.8pt" to="253.25pt,83.85pt" o:allowincell="f" strokeweight=".5pt">
            <v:stroke dashstyle="1 1" startarrowwidth="narrow" startarrowlength="short" endarrowwidth="narrow" endarrowlength="short"/>
          </v:line>
        </w:pict>
      </w:r>
      <w:r>
        <w:rPr>
          <w:rFonts w:ascii="Tms Rmn" w:hAnsi="Tms Rmn"/>
          <w:noProof/>
        </w:rPr>
        <w:pict>
          <v:line id="_x0000_s1030" style="position:absolute;left:0;text-align:left;z-index:251641856;mso-position-horizontal-relative:text;mso-position-vertical-relative:text" from="87.6pt,11.8pt" to="289.25pt,11.85pt" o:allowincell="f" strokeweight="1pt">
            <v:stroke startarrowwidth="narrow" startarrowlength="short" endarrowwidth="narrow" endarrowlength="short"/>
          </v:line>
        </w:pict>
      </w:r>
      <w:r w:rsidR="00B25E82">
        <w:rPr>
          <w:rFonts w:ascii="Antiqua" w:hAnsi="Antiqua"/>
          <w:sz w:val="24"/>
        </w:rPr>
        <w:t xml:space="preserve">            </w:t>
      </w:r>
      <w:r w:rsidR="00B25E82">
        <w:rPr>
          <w:rFonts w:ascii="Antiqua" w:hAnsi="Antiqua"/>
          <w:sz w:val="22"/>
        </w:rPr>
        <w:t>Fo</w:t>
      </w:r>
    </w:p>
    <w:p w:rsidR="004336C9" w:rsidRDefault="004336C9">
      <w:pPr>
        <w:spacing w:line="360" w:lineRule="atLeast"/>
        <w:ind w:right="-1" w:firstLine="340"/>
        <w:jc w:val="both"/>
        <w:rPr>
          <w:rFonts w:ascii="Antiqua" w:hAnsi="Antiqua"/>
          <w:sz w:val="24"/>
        </w:rPr>
      </w:pPr>
    </w:p>
    <w:p w:rsidR="004336C9" w:rsidRDefault="00B25E82">
      <w:pPr>
        <w:spacing w:line="360" w:lineRule="atLeast"/>
        <w:ind w:right="-1" w:firstLine="340"/>
        <w:jc w:val="both"/>
        <w:rPr>
          <w:rFonts w:ascii="Antiqua" w:hAnsi="Antiqua"/>
          <w:sz w:val="24"/>
        </w:rPr>
      </w:pPr>
      <w:r>
        <w:rPr>
          <w:rFonts w:ascii="Antiqua" w:hAnsi="Antiqua"/>
          <w:sz w:val="24"/>
        </w:rPr>
        <w:t xml:space="preserve">                       </w:t>
      </w:r>
      <w:r>
        <w:rPr>
          <w:rFonts w:ascii="Antiqua" w:hAnsi="Antiqua"/>
          <w:sz w:val="22"/>
        </w:rPr>
        <w:t xml:space="preserve"> бэквардация</w:t>
      </w:r>
    </w:p>
    <w:p w:rsidR="004336C9" w:rsidRDefault="004336C9">
      <w:pPr>
        <w:spacing w:line="360" w:lineRule="atLeast"/>
        <w:ind w:right="-1" w:firstLine="340"/>
        <w:jc w:val="both"/>
        <w:rPr>
          <w:rFonts w:ascii="Antiqua" w:hAnsi="Antiqua"/>
          <w:sz w:val="24"/>
        </w:rPr>
      </w:pPr>
    </w:p>
    <w:p w:rsidR="004336C9" w:rsidRDefault="00CE788F">
      <w:pPr>
        <w:spacing w:line="360" w:lineRule="atLeast"/>
        <w:ind w:right="-1" w:firstLine="340"/>
        <w:jc w:val="both"/>
        <w:rPr>
          <w:rFonts w:ascii="Antiqua" w:hAnsi="Antiqua"/>
          <w:sz w:val="24"/>
        </w:rPr>
      </w:pPr>
      <w:r>
        <w:rPr>
          <w:rFonts w:ascii="Tms Rmn" w:hAnsi="Tms Rmn"/>
          <w:noProof/>
        </w:rPr>
        <w:pict>
          <v:line id="_x0000_s1026" style="position:absolute;left:0;text-align:left;z-index:251637760;mso-position-horizontal-relative:text;mso-position-vertical-relative:text" from="87.6pt,11.8pt" to="303.65pt,11.85pt" o:allowincell="f">
            <v:stroke startarrowwidth="narrow" startarrowlength="short" endarrow="block" endarrowwidth="narrow" endarrowlength="short"/>
          </v:line>
        </w:pict>
      </w:r>
    </w:p>
    <w:p w:rsidR="004336C9" w:rsidRDefault="00B25E82">
      <w:pPr>
        <w:spacing w:line="360" w:lineRule="atLeast"/>
        <w:ind w:right="-1" w:firstLine="340"/>
        <w:jc w:val="both"/>
        <w:rPr>
          <w:rFonts w:ascii="Antiqua" w:hAnsi="Antiqua"/>
          <w:sz w:val="22"/>
        </w:rPr>
      </w:pPr>
      <w:r>
        <w:rPr>
          <w:rFonts w:ascii="Antiqua" w:hAnsi="Antiqua"/>
          <w:sz w:val="24"/>
        </w:rPr>
        <w:t xml:space="preserve">       </w:t>
      </w:r>
      <w:r>
        <w:rPr>
          <w:rFonts w:ascii="Antiqua" w:hAnsi="Antiqua"/>
          <w:sz w:val="22"/>
        </w:rPr>
        <w:t xml:space="preserve">           0                                            То      Т</w:t>
      </w:r>
    </w:p>
    <w:p w:rsidR="004336C9" w:rsidRDefault="00B25E82">
      <w:pPr>
        <w:spacing w:line="360" w:lineRule="atLeast"/>
        <w:ind w:right="-1" w:firstLine="340"/>
        <w:jc w:val="both"/>
        <w:rPr>
          <w:rFonts w:ascii="Antiqua" w:hAnsi="Antiqua"/>
          <w:sz w:val="24"/>
        </w:rPr>
      </w:pPr>
      <w:r>
        <w:rPr>
          <w:rFonts w:ascii="Antiqua" w:hAnsi="Antiqua"/>
          <w:sz w:val="24"/>
        </w:rPr>
        <w:t xml:space="preserve">               </w:t>
      </w:r>
    </w:p>
    <w:p w:rsidR="004336C9" w:rsidRDefault="00B25E82">
      <w:pPr>
        <w:spacing w:line="360" w:lineRule="atLeast"/>
        <w:ind w:right="-1" w:firstLine="340"/>
        <w:jc w:val="both"/>
        <w:rPr>
          <w:rFonts w:ascii="Antiqua" w:hAnsi="Antiqua"/>
          <w:sz w:val="22"/>
        </w:rPr>
      </w:pPr>
      <w:r>
        <w:rPr>
          <w:rFonts w:ascii="Antiqua" w:hAnsi="Antiqua"/>
          <w:sz w:val="24"/>
        </w:rPr>
        <w:t xml:space="preserve">       </w:t>
      </w:r>
      <w:r>
        <w:rPr>
          <w:rFonts w:ascii="Antiqua" w:hAnsi="Antiqua"/>
          <w:sz w:val="22"/>
        </w:rPr>
        <w:t>Рис. 1. Фьючерсные цены и цена-спот.</w:t>
      </w:r>
    </w:p>
    <w:p w:rsidR="004336C9" w:rsidRDefault="00B25E82">
      <w:pPr>
        <w:spacing w:line="360" w:lineRule="atLeast"/>
        <w:ind w:right="-1" w:firstLine="340"/>
        <w:jc w:val="both"/>
        <w:rPr>
          <w:rFonts w:ascii="Antiqua" w:hAnsi="Antiqua"/>
          <w:sz w:val="22"/>
        </w:rPr>
      </w:pPr>
      <w:r>
        <w:rPr>
          <w:rFonts w:ascii="Antiqua" w:hAnsi="Antiqua"/>
          <w:sz w:val="22"/>
        </w:rPr>
        <w:t>Fо - цена-спот к моменту исполнения фьючерсного контракта</w:t>
      </w:r>
    </w:p>
    <w:p w:rsidR="004336C9" w:rsidRDefault="00B25E82">
      <w:pPr>
        <w:spacing w:line="360" w:lineRule="atLeast"/>
        <w:ind w:right="-1" w:firstLine="340"/>
        <w:jc w:val="both"/>
        <w:rPr>
          <w:rFonts w:ascii="Antiqua" w:hAnsi="Antiqua"/>
          <w:sz w:val="22"/>
        </w:rPr>
      </w:pPr>
      <w:r>
        <w:rPr>
          <w:rFonts w:ascii="Antiqua" w:hAnsi="Antiqua"/>
          <w:sz w:val="22"/>
        </w:rPr>
        <w:t>То - интервал времени до истечения фьючерсного контракта</w:t>
      </w:r>
    </w:p>
    <w:p w:rsidR="004336C9" w:rsidRDefault="004336C9">
      <w:pPr>
        <w:spacing w:line="360" w:lineRule="atLeast"/>
        <w:ind w:right="-1" w:firstLine="340"/>
        <w:jc w:val="both"/>
        <w:rPr>
          <w:rFonts w:ascii="Antiqua" w:hAnsi="Antiqua"/>
          <w:sz w:val="24"/>
        </w:rPr>
      </w:pPr>
    </w:p>
    <w:p w:rsidR="004336C9" w:rsidRDefault="00B25E82">
      <w:pPr>
        <w:spacing w:line="360" w:lineRule="atLeast"/>
        <w:ind w:right="-1" w:firstLine="340"/>
        <w:jc w:val="both"/>
        <w:rPr>
          <w:rFonts w:ascii="Antiqua" w:hAnsi="Antiqua"/>
          <w:sz w:val="24"/>
        </w:rPr>
      </w:pPr>
      <w:r>
        <w:rPr>
          <w:rFonts w:ascii="Antiqua" w:hAnsi="Antiqua"/>
          <w:sz w:val="24"/>
        </w:rPr>
        <w:t>Почему наблюдается данная закономерность? Предположим, что к моменту истечения срока контракта фьючерсная цена установилась выше цены-спот; тогда участник фьючерсного рынка продает фьючерсный контракт и покупает на спотовом рынке актив, лежащий в основе фьючерсного контракта. В день поставки он исполняет свои обязательства по фьючерсному контракту за счет приобретенного актива. Разница между фьючерсной ценой и реальной ценой составит его прибыль. Если так поступят и другие инвесторы, то предложение на фьючерсном рынке возрастет, следовательно, цена  будет падать. Одновременно инвесторы начинают покупать соответствующие активы на спотовом рынке, в результате цена их возрастает в силу увеличивающегося спроса. В итоге фьючерсная цена и цена-спот становятся одинаковыми.  Такое же выравнивание фьючерсной и спотовой цен будет наблюдаться и в случае, если к дате поставки фьючерсная цена окажется ниже цены-спот.</w:t>
      </w:r>
    </w:p>
    <w:p w:rsidR="004336C9" w:rsidRDefault="00B25E82">
      <w:pPr>
        <w:spacing w:line="360" w:lineRule="atLeast"/>
        <w:ind w:right="-1" w:firstLine="340"/>
        <w:jc w:val="both"/>
        <w:rPr>
          <w:rFonts w:ascii="Antiqua" w:hAnsi="Antiqua"/>
          <w:sz w:val="24"/>
        </w:rPr>
      </w:pPr>
      <w:r>
        <w:rPr>
          <w:rFonts w:ascii="Antiqua" w:hAnsi="Antiqua"/>
          <w:sz w:val="24"/>
        </w:rPr>
        <w:t>Можно сказать, что фьючерсная цена в любой момент времени характеризуется тем, что примерно одинаковое число людей полагает, что она выше или ниже будущей наличной цены. Поэтому экономисты иногда говорят, что фьючерсная цена представляет собой рыночный прогноз будущих наличных цен, причем под рынком будущих наличных цен здесь подразумевается усредненная точка зрения его участников.</w:t>
      </w:r>
    </w:p>
    <w:p w:rsidR="004336C9" w:rsidRDefault="00B25E82">
      <w:pPr>
        <w:spacing w:line="360" w:lineRule="atLeast"/>
        <w:ind w:right="-1" w:firstLine="340"/>
        <w:jc w:val="both"/>
        <w:rPr>
          <w:rFonts w:ascii="Antiqua" w:hAnsi="Antiqua"/>
          <w:sz w:val="24"/>
        </w:rPr>
      </w:pPr>
      <w:r>
        <w:rPr>
          <w:rFonts w:ascii="Antiqua" w:hAnsi="Antiqua"/>
          <w:sz w:val="24"/>
        </w:rPr>
        <w:t>Однозначно ответить на вопрос, дают ли фьючерсные цены качественный прогноз будущих наличных цен, нельзя. Нет, потому что они часто значительно отличаются от фактически преобладающих наличных цен. Это, главным образом, отражает присущую рынку неопределенность и изменчивость соответствующих наличных цен. Да, потому что фьючерсные цены не оказываются все время ошибочными. Иными словами, в среднем они не выше и не ниже прогнозируемых будущих наличных цен, однако вокруг этого усреднения имеется сильная вариация.</w:t>
      </w:r>
    </w:p>
    <w:p w:rsidR="004336C9" w:rsidRDefault="00B25E82">
      <w:pPr>
        <w:spacing w:line="360" w:lineRule="atLeast"/>
        <w:ind w:right="-1" w:firstLine="340"/>
        <w:jc w:val="both"/>
        <w:rPr>
          <w:rFonts w:ascii="Arial Cyr Italic" w:hAnsi="Arial Cyr Italic"/>
          <w:b/>
          <w:sz w:val="24"/>
        </w:rPr>
      </w:pPr>
      <w:r>
        <w:rPr>
          <w:rFonts w:ascii="Arial Cyr Italic" w:hAnsi="Arial Cyr Italic"/>
          <w:sz w:val="24"/>
        </w:rPr>
        <w:t>2. Техника заключения фьючерсных контрактов.</w:t>
      </w:r>
    </w:p>
    <w:p w:rsidR="004336C9" w:rsidRDefault="00B25E82">
      <w:pPr>
        <w:spacing w:line="360" w:lineRule="atLeast"/>
        <w:ind w:right="-1" w:firstLine="340"/>
        <w:jc w:val="both"/>
        <w:rPr>
          <w:rFonts w:ascii="Antiqua" w:hAnsi="Antiqua"/>
          <w:sz w:val="24"/>
        </w:rPr>
      </w:pPr>
      <w:r>
        <w:rPr>
          <w:rFonts w:ascii="Antiqua" w:hAnsi="Antiqua"/>
          <w:sz w:val="24"/>
        </w:rPr>
        <w:t>Рынок фьючерсных контрактов делится на биржевой и внебиржевой. В России оба рынка в настоящее время активно развиваются. Биржевой рынок срочных контрактов - это совокупность сделок, совершаемых на фондовых и фьючерсных биржах, а также в фондовых и фьючерсных отделах товарных и валютных бирж. Внебиржевой рынок - все остальные сделки с фьючерсными контрактами на различные активы. На Западе внебиржевой рынок носит название “уличного” рынка. Это менее организованный рынок, однако и на нем сделки совершаются в рамках организованных институтов, таких как фондовые магазины, электронные сети и другие.</w:t>
      </w:r>
    </w:p>
    <w:p w:rsidR="004336C9" w:rsidRDefault="004336C9">
      <w:pPr>
        <w:spacing w:line="360" w:lineRule="atLeast"/>
        <w:ind w:right="-1" w:firstLine="340"/>
        <w:jc w:val="both"/>
        <w:rPr>
          <w:rFonts w:ascii="Antiqua" w:hAnsi="Antiqua"/>
          <w:b/>
          <w:sz w:val="24"/>
        </w:rPr>
      </w:pPr>
    </w:p>
    <w:p w:rsidR="004336C9" w:rsidRDefault="00B25E82">
      <w:pPr>
        <w:spacing w:line="360" w:lineRule="atLeast"/>
        <w:ind w:right="-1" w:firstLine="340"/>
        <w:jc w:val="both"/>
        <w:rPr>
          <w:rFonts w:ascii="Arial Cyr Italic" w:hAnsi="Arial Cyr Italic"/>
          <w:sz w:val="24"/>
        </w:rPr>
      </w:pPr>
      <w:r>
        <w:rPr>
          <w:rFonts w:ascii="Arial Cyr Italic" w:hAnsi="Arial Cyr Italic"/>
          <w:sz w:val="24"/>
        </w:rPr>
        <w:tab/>
        <w:t>2.1. Биржевой рынок.</w:t>
      </w:r>
    </w:p>
    <w:p w:rsidR="004336C9" w:rsidRDefault="00B25E82">
      <w:pPr>
        <w:spacing w:line="360" w:lineRule="atLeast"/>
        <w:ind w:right="-1" w:firstLine="340"/>
        <w:jc w:val="both"/>
        <w:rPr>
          <w:rFonts w:ascii="Antiqua" w:hAnsi="Antiqua"/>
          <w:sz w:val="24"/>
        </w:rPr>
      </w:pPr>
      <w:r>
        <w:rPr>
          <w:rFonts w:ascii="Antiqua" w:hAnsi="Antiqua"/>
          <w:sz w:val="24"/>
        </w:rPr>
        <w:t>Как правило, фьючерсные контракты заключаются на бирже, хотя никто не запрещает заключать контракты между конкретным продавцом и покупателем на свободном рынке.</w:t>
      </w:r>
    </w:p>
    <w:p w:rsidR="004336C9" w:rsidRDefault="004336C9">
      <w:pPr>
        <w:spacing w:line="360" w:lineRule="atLeast"/>
        <w:ind w:right="-1" w:firstLine="340"/>
        <w:jc w:val="both"/>
        <w:rPr>
          <w:rFonts w:ascii="Antiqua" w:hAnsi="Antiqua"/>
          <w:b/>
          <w:sz w:val="24"/>
        </w:rPr>
      </w:pPr>
    </w:p>
    <w:p w:rsidR="004336C9" w:rsidRDefault="00B25E82">
      <w:pPr>
        <w:spacing w:line="360" w:lineRule="atLeast"/>
        <w:ind w:right="-1" w:firstLine="340"/>
        <w:jc w:val="both"/>
        <w:rPr>
          <w:rFonts w:ascii="Arial Cyr Italic" w:hAnsi="Arial Cyr Italic"/>
          <w:sz w:val="24"/>
        </w:rPr>
      </w:pPr>
      <w:r>
        <w:rPr>
          <w:rFonts w:ascii="Arial Cyr Italic" w:hAnsi="Arial Cyr Italic"/>
          <w:sz w:val="24"/>
        </w:rPr>
        <w:tab/>
      </w:r>
      <w:r>
        <w:rPr>
          <w:rFonts w:ascii="Arial Cyr Italic" w:hAnsi="Arial Cyr Italic"/>
          <w:sz w:val="24"/>
        </w:rPr>
        <w:tab/>
        <w:t xml:space="preserve">2.1.1. История биржевой торговли фьючерсными контрактами в    </w:t>
      </w:r>
    </w:p>
    <w:p w:rsidR="004336C9" w:rsidRDefault="00B25E82">
      <w:pPr>
        <w:spacing w:line="360" w:lineRule="atLeast"/>
        <w:ind w:right="-1" w:firstLine="340"/>
        <w:jc w:val="both"/>
        <w:rPr>
          <w:rFonts w:ascii="Arial Cyr Italic" w:hAnsi="Arial Cyr Italic"/>
          <w:sz w:val="24"/>
        </w:rPr>
      </w:pPr>
      <w:r>
        <w:rPr>
          <w:rFonts w:ascii="Arial Cyr Italic" w:hAnsi="Arial Cyr Italic"/>
          <w:sz w:val="24"/>
        </w:rPr>
        <w:tab/>
      </w:r>
      <w:r>
        <w:rPr>
          <w:rFonts w:ascii="Arial Cyr Italic" w:hAnsi="Arial Cyr Italic"/>
          <w:sz w:val="24"/>
        </w:rPr>
        <w:tab/>
      </w:r>
      <w:r>
        <w:rPr>
          <w:rFonts w:ascii="Arial Cyr Italic" w:hAnsi="Arial Cyr Italic"/>
          <w:sz w:val="24"/>
        </w:rPr>
        <w:tab/>
      </w:r>
      <w:r>
        <w:rPr>
          <w:rFonts w:ascii="Arial Cyr Italic" w:hAnsi="Arial Cyr Italic"/>
          <w:sz w:val="24"/>
        </w:rPr>
        <w:tab/>
        <w:t>мире и в России.</w:t>
      </w:r>
    </w:p>
    <w:p w:rsidR="004336C9" w:rsidRDefault="00B25E82">
      <w:pPr>
        <w:spacing w:line="360" w:lineRule="atLeast"/>
        <w:ind w:right="-1" w:firstLine="340"/>
        <w:jc w:val="both"/>
        <w:rPr>
          <w:rFonts w:ascii="Antiqua" w:hAnsi="Antiqua"/>
          <w:sz w:val="24"/>
        </w:rPr>
      </w:pPr>
      <w:r>
        <w:rPr>
          <w:rFonts w:ascii="Antiqua" w:hAnsi="Antiqua"/>
          <w:sz w:val="24"/>
        </w:rPr>
        <w:t>Биржевая торговля фьючерсными контрактами возникла во второй половине 19 века как реакция на резкие колебания цен на зерно в течение года, сыграв положительную роль в стабилизации спроса и предложения. Вообще говоря, и задолго до того фермеры заключали с переработчиками заблаговременные, предварительные контракты на поставку сельскохозяйственной продукции. Но эти контракты не были стандартизированы в отношении качества, объемов и сроков поставок. В 1865 году Чикагская товарная биржа сделала первый шаг к формализации торговли зерном посредством разработки стандартных, типовых соглашений, названных фьючерсными контрактами, а также системы гарантийных взносов на случай невыполнения покупателями своих обязательств. Со временем ассортимент фьючерсного рынка расширялся за счет введения контрактов на новые виды товаров, а затем и на акции, облигации, цены на которые не являлись стабильными. Переход в 70-е годы нашего столетия в международной финансовой практике к плавающим валютным курсам усилил их неустойчивость относительно друг друга и вызвал качественный скачок в объемах фьючерсных операций на валюту. [12, с. 11]</w:t>
      </w:r>
    </w:p>
    <w:p w:rsidR="004336C9" w:rsidRDefault="00B25E82">
      <w:pPr>
        <w:spacing w:line="360" w:lineRule="atLeast"/>
        <w:ind w:right="-1" w:firstLine="340"/>
        <w:jc w:val="both"/>
        <w:rPr>
          <w:rFonts w:ascii="Antiqua" w:hAnsi="Antiqua"/>
          <w:sz w:val="24"/>
        </w:rPr>
      </w:pPr>
      <w:r>
        <w:rPr>
          <w:rFonts w:ascii="Antiqua" w:hAnsi="Antiqua"/>
          <w:sz w:val="24"/>
        </w:rPr>
        <w:t>В России фьючерсный рынок появился недавно; фьючерсные торги в нашей стране касаются нефти и нефтепродуктов, валюты, с которой и началось рождение фьючерсного рынка в России.</w:t>
      </w:r>
    </w:p>
    <w:p w:rsidR="004336C9" w:rsidRDefault="00B25E82">
      <w:pPr>
        <w:spacing w:line="360" w:lineRule="atLeast"/>
        <w:ind w:right="-1" w:firstLine="340"/>
        <w:jc w:val="both"/>
        <w:rPr>
          <w:rFonts w:ascii="Antiqua" w:hAnsi="Antiqua"/>
          <w:sz w:val="24"/>
        </w:rPr>
      </w:pPr>
      <w:r>
        <w:rPr>
          <w:rFonts w:ascii="Antiqua" w:hAnsi="Antiqua"/>
          <w:sz w:val="24"/>
        </w:rPr>
        <w:t>Почему? Дело в том, что предметом торговли на фьючерсном рынке может стать далеко не любой товар, а лишь тот, что соответствует определенным требованиям. С одной стороны, он обязательно должен поддаваться количественному измерению и быть достаточно однородным, подлежащим стандартизации.</w:t>
      </w:r>
    </w:p>
    <w:p w:rsidR="004336C9" w:rsidRDefault="00B25E82">
      <w:pPr>
        <w:spacing w:line="360" w:lineRule="atLeast"/>
        <w:ind w:right="-1" w:firstLine="340"/>
        <w:jc w:val="both"/>
        <w:rPr>
          <w:rFonts w:ascii="Antiqua" w:hAnsi="Antiqua"/>
          <w:sz w:val="24"/>
        </w:rPr>
      </w:pPr>
      <w:r>
        <w:rPr>
          <w:rFonts w:ascii="Antiqua" w:hAnsi="Antiqua"/>
          <w:sz w:val="24"/>
        </w:rPr>
        <w:t>Ну а с другой стороны, рынок этого товара не должен быть монополизирован, а его цена может быть подвержена сильным колебаниям. В наших условиях до недавнего времени всем этим требованиям вполне отвечал американский доллар.</w:t>
      </w:r>
    </w:p>
    <w:p w:rsidR="004336C9" w:rsidRDefault="00B25E82">
      <w:pPr>
        <w:spacing w:line="360" w:lineRule="atLeast"/>
        <w:ind w:right="-1" w:firstLine="340"/>
        <w:jc w:val="both"/>
        <w:rPr>
          <w:rFonts w:ascii="Antiqua" w:hAnsi="Antiqua"/>
          <w:sz w:val="24"/>
        </w:rPr>
      </w:pPr>
      <w:r>
        <w:rPr>
          <w:rFonts w:ascii="Antiqua" w:hAnsi="Antiqua"/>
          <w:sz w:val="24"/>
        </w:rPr>
        <w:t>Первый в России рынок валютных фьючерсов был создан в октябре 1992 года на Московской товарной бирже. Выбрав конкретный финансовый инструмент в виде фьючерсного контракта на доллар США, сделав ставку на мелких спекулянтов и предложив удобную для них технологию торговли, МТБ заняла определенную нишу на рождающемся рынке срочных контрактов. В настоящее время на МТБ ведутся также торги на курс немецкой марки.</w:t>
      </w:r>
    </w:p>
    <w:p w:rsidR="004336C9" w:rsidRDefault="00B25E82">
      <w:pPr>
        <w:spacing w:line="360" w:lineRule="atLeast"/>
        <w:ind w:right="-1" w:firstLine="340"/>
        <w:jc w:val="both"/>
        <w:rPr>
          <w:rFonts w:ascii="Antiqua" w:hAnsi="Antiqua"/>
          <w:sz w:val="24"/>
        </w:rPr>
      </w:pPr>
      <w:r>
        <w:rPr>
          <w:rFonts w:ascii="Antiqua" w:hAnsi="Antiqua"/>
          <w:sz w:val="24"/>
        </w:rPr>
        <w:t>С 11 марта 1994 года начались фьючерсные торги контрактами на доллар США и на курс ГКО на Московской центральной фондовой бирже. Торговля валютными фьючерсами также осуществляется на МТП, ТМБ “Гермес”, Сибирской фондовой бирже, Челябинской фондовой бирже и др.</w:t>
      </w:r>
    </w:p>
    <w:p w:rsidR="004336C9" w:rsidRDefault="00B25E82">
      <w:pPr>
        <w:spacing w:line="360" w:lineRule="atLeast"/>
        <w:ind w:right="-1" w:firstLine="340"/>
        <w:jc w:val="both"/>
        <w:rPr>
          <w:rFonts w:ascii="Antiqua" w:hAnsi="Antiqua"/>
          <w:sz w:val="24"/>
        </w:rPr>
      </w:pPr>
      <w:r>
        <w:rPr>
          <w:rFonts w:ascii="Antiqua" w:hAnsi="Antiqua"/>
          <w:sz w:val="24"/>
        </w:rPr>
        <w:t>Из товарных фьючерсных контрактов наибольший оборот имеют фьючерсные контракты на бензин (ТМБ “Гермес”), зерно, сахар (МТБ).</w:t>
      </w:r>
    </w:p>
    <w:p w:rsidR="004336C9" w:rsidRDefault="004336C9">
      <w:pPr>
        <w:spacing w:line="360" w:lineRule="atLeast"/>
        <w:ind w:right="-1" w:firstLine="340"/>
        <w:jc w:val="both"/>
        <w:rPr>
          <w:rFonts w:ascii="Antiqua" w:hAnsi="Antiqua"/>
          <w:sz w:val="24"/>
        </w:rPr>
      </w:pPr>
    </w:p>
    <w:p w:rsidR="004336C9" w:rsidRDefault="00B25E82">
      <w:pPr>
        <w:spacing w:line="360" w:lineRule="atLeast"/>
        <w:ind w:right="-1" w:firstLine="340"/>
        <w:jc w:val="both"/>
        <w:rPr>
          <w:rFonts w:ascii="Arial Cyr Italic" w:hAnsi="Arial Cyr Italic"/>
          <w:sz w:val="24"/>
        </w:rPr>
      </w:pPr>
      <w:r>
        <w:rPr>
          <w:rFonts w:ascii="Arial Cyr Italic" w:hAnsi="Arial Cyr Italic"/>
          <w:sz w:val="24"/>
        </w:rPr>
        <w:tab/>
      </w:r>
      <w:r>
        <w:rPr>
          <w:rFonts w:ascii="Arial Cyr Italic" w:hAnsi="Arial Cyr Italic"/>
          <w:sz w:val="24"/>
        </w:rPr>
        <w:tab/>
        <w:t>2.1.2. Участники биржевой торговли.</w:t>
      </w:r>
    </w:p>
    <w:p w:rsidR="004336C9" w:rsidRDefault="00B25E82">
      <w:pPr>
        <w:spacing w:line="360" w:lineRule="atLeast"/>
        <w:ind w:right="-1" w:firstLine="340"/>
        <w:jc w:val="both"/>
        <w:rPr>
          <w:rFonts w:ascii="Antiqua" w:hAnsi="Antiqua"/>
          <w:sz w:val="24"/>
        </w:rPr>
      </w:pPr>
      <w:r>
        <w:rPr>
          <w:rFonts w:ascii="Antiqua" w:hAnsi="Antiqua"/>
          <w:sz w:val="24"/>
        </w:rPr>
        <w:t xml:space="preserve">Каждая биржа, организующая куплю-продажу фьючерсных контрактов, вправе установить свой порядок их заключения и исполнения согласно законодательству конкретной биржи. Для заключения биржевой фьючерсной сделки прежде всего устанавливают его участников. К ним относятся: </w:t>
      </w:r>
    </w:p>
    <w:p w:rsidR="004336C9" w:rsidRDefault="00B25E82">
      <w:pPr>
        <w:spacing w:line="360" w:lineRule="atLeast"/>
        <w:ind w:right="-1" w:firstLine="340"/>
        <w:jc w:val="both"/>
        <w:rPr>
          <w:rFonts w:ascii="Antiqua" w:hAnsi="Antiqua"/>
          <w:sz w:val="24"/>
        </w:rPr>
      </w:pPr>
      <w:r>
        <w:rPr>
          <w:rFonts w:ascii="Antiqua" w:hAnsi="Antiqua"/>
          <w:i/>
          <w:sz w:val="24"/>
          <w:u w:val="single"/>
        </w:rPr>
        <w:t>1. Клиенты, желающие принять участие в процессе торговли</w:t>
      </w:r>
      <w:r>
        <w:rPr>
          <w:rFonts w:ascii="Antiqua" w:hAnsi="Antiqua"/>
          <w:sz w:val="24"/>
        </w:rPr>
        <w:t>. Ими могут быть члены любой биржи, постоянные или разовые ее посетители, как физические, так и любые юридические лица, включая институциональных инвесторов, к которым относятся инвестиционные институты, банки, холдинговые и финансово-холдинговые компании, фонды имущества, страховые компании. Непосредственное участие в торговле фьючерсными контрактами они не принимают, а действуют через посредников, которые состоят на расчетном обслуживании в Расчетной палате.</w:t>
      </w:r>
    </w:p>
    <w:p w:rsidR="004336C9" w:rsidRDefault="00B25E82">
      <w:pPr>
        <w:spacing w:line="360" w:lineRule="atLeast"/>
        <w:ind w:right="-1" w:firstLine="340"/>
        <w:jc w:val="both"/>
        <w:rPr>
          <w:rFonts w:ascii="Antiqua" w:hAnsi="Antiqua"/>
          <w:sz w:val="24"/>
        </w:rPr>
      </w:pPr>
      <w:r>
        <w:rPr>
          <w:rFonts w:ascii="Antiqua" w:hAnsi="Antiqua"/>
          <w:i/>
          <w:sz w:val="24"/>
          <w:u w:val="single"/>
        </w:rPr>
        <w:t xml:space="preserve">2. Посредническая фирма </w:t>
      </w:r>
      <w:r>
        <w:rPr>
          <w:rFonts w:ascii="Antiqua" w:hAnsi="Antiqua"/>
          <w:sz w:val="24"/>
        </w:rPr>
        <w:t>- это юридическое или физическое лицо, которое самостоятельно или по поручению клиента принимает участие в процессе биржевого торга или заключает сделки вне его и осуществляет все расчеты по ним с клиентами и членами Расчетной палаты в соответствии с Правилами биржевой торговли. Большинство посреднических фирм сочетает брокерские и дилерские функции, однако некоторые сосредотачиваются только на второй функции и не занимаются посредническими услугами.</w:t>
      </w:r>
    </w:p>
    <w:p w:rsidR="004336C9" w:rsidRDefault="00B25E82">
      <w:pPr>
        <w:spacing w:line="360" w:lineRule="atLeast"/>
        <w:ind w:right="-1" w:firstLine="340"/>
        <w:jc w:val="both"/>
        <w:rPr>
          <w:rFonts w:ascii="Antiqua" w:hAnsi="Antiqua"/>
          <w:sz w:val="24"/>
        </w:rPr>
      </w:pPr>
      <w:r>
        <w:rPr>
          <w:rFonts w:ascii="Antiqua" w:hAnsi="Antiqua"/>
          <w:sz w:val="24"/>
        </w:rPr>
        <w:t xml:space="preserve"> При регистрации в качестве участника торговли фьючерсными контрактами биржа предъявляет к посредническим фирмам ряд требований:</w:t>
      </w:r>
    </w:p>
    <w:p w:rsidR="004336C9" w:rsidRDefault="00B25E82">
      <w:pPr>
        <w:spacing w:line="360" w:lineRule="atLeast"/>
        <w:ind w:right="-1" w:firstLine="340"/>
        <w:jc w:val="both"/>
        <w:rPr>
          <w:rFonts w:ascii="Antiqua" w:hAnsi="Antiqua"/>
          <w:sz w:val="24"/>
        </w:rPr>
      </w:pPr>
      <w:r>
        <w:rPr>
          <w:rFonts w:ascii="Antiqua" w:hAnsi="Antiqua"/>
          <w:sz w:val="24"/>
        </w:rPr>
        <w:t>- приобретение определенного количества акций Биржи, дающее право торговать на свой счет и/или по поручениям клиентов;</w:t>
      </w:r>
    </w:p>
    <w:p w:rsidR="004336C9" w:rsidRDefault="00B25E82">
      <w:pPr>
        <w:spacing w:line="360" w:lineRule="atLeast"/>
        <w:ind w:right="-1" w:firstLine="340"/>
        <w:jc w:val="both"/>
        <w:rPr>
          <w:rFonts w:ascii="Antiqua" w:hAnsi="Antiqua"/>
          <w:sz w:val="24"/>
        </w:rPr>
      </w:pPr>
      <w:r>
        <w:rPr>
          <w:rFonts w:ascii="Antiqua" w:hAnsi="Antiqua"/>
          <w:sz w:val="24"/>
        </w:rPr>
        <w:t>- заключение договора о расчетном обслуживании;</w:t>
      </w:r>
    </w:p>
    <w:p w:rsidR="004336C9" w:rsidRDefault="00B25E82">
      <w:pPr>
        <w:spacing w:line="360" w:lineRule="atLeast"/>
        <w:ind w:right="-1" w:firstLine="340"/>
        <w:jc w:val="both"/>
        <w:rPr>
          <w:rFonts w:ascii="Antiqua" w:hAnsi="Antiqua"/>
          <w:sz w:val="24"/>
        </w:rPr>
      </w:pPr>
      <w:r>
        <w:rPr>
          <w:rFonts w:ascii="Antiqua" w:hAnsi="Antiqua"/>
          <w:sz w:val="24"/>
        </w:rPr>
        <w:t>- владение необходимыми денежными средствами для формирования риско-капитала и гарантийного фонда;</w:t>
      </w:r>
    </w:p>
    <w:p w:rsidR="004336C9" w:rsidRDefault="00B25E82">
      <w:pPr>
        <w:spacing w:line="360" w:lineRule="atLeast"/>
        <w:ind w:right="-1" w:firstLine="340"/>
        <w:jc w:val="both"/>
        <w:rPr>
          <w:rFonts w:ascii="Antiqua" w:hAnsi="Antiqua"/>
          <w:sz w:val="24"/>
        </w:rPr>
      </w:pPr>
      <w:r>
        <w:rPr>
          <w:rFonts w:ascii="Antiqua" w:hAnsi="Antiqua"/>
          <w:sz w:val="24"/>
        </w:rPr>
        <w:t>- получение квалификационного допуска.</w:t>
      </w:r>
    </w:p>
    <w:p w:rsidR="004336C9" w:rsidRDefault="00B25E82">
      <w:pPr>
        <w:spacing w:line="360" w:lineRule="atLeast"/>
        <w:ind w:right="-1" w:firstLine="340"/>
        <w:jc w:val="both"/>
        <w:rPr>
          <w:rFonts w:ascii="Antiqua" w:hAnsi="Antiqua"/>
          <w:sz w:val="24"/>
        </w:rPr>
      </w:pPr>
      <w:r>
        <w:rPr>
          <w:rFonts w:ascii="Antiqua" w:hAnsi="Antiqua"/>
          <w:i/>
          <w:sz w:val="24"/>
          <w:u w:val="single"/>
        </w:rPr>
        <w:t>3. Расчетная палата (РП)</w:t>
      </w:r>
      <w:r>
        <w:rPr>
          <w:rFonts w:ascii="Antiqua" w:hAnsi="Antiqua"/>
          <w:sz w:val="24"/>
        </w:rPr>
        <w:t xml:space="preserve"> является сердцевиной всех расчетов по фьючерсным контрактам, ключевым техническим звеном в организации фьючерсной торговли. Расчетная палата призвана обеспечить финансовую устойчивость рынка фьючерсных контрактов, защиту интересов клиентов, контроль за биржевыми операциями. Она выступает как третья сторона в сделках по всем контрактам, т.е. покупатели и продавцы принимают на себя финансовые обязательства не друг перед другом, а перед Расчетной палатой. Будучи участником любой сделки, она принимает на себя ответственность в качестве гаранта. Расчетная палата:</w:t>
      </w:r>
    </w:p>
    <w:p w:rsidR="004336C9" w:rsidRDefault="00B25E82">
      <w:pPr>
        <w:spacing w:line="360" w:lineRule="atLeast"/>
        <w:ind w:right="-1" w:firstLine="340"/>
        <w:jc w:val="both"/>
        <w:rPr>
          <w:rFonts w:ascii="Antiqua" w:hAnsi="Antiqua"/>
          <w:sz w:val="24"/>
        </w:rPr>
      </w:pPr>
      <w:r>
        <w:rPr>
          <w:rFonts w:ascii="Antiqua" w:hAnsi="Antiqua"/>
          <w:sz w:val="24"/>
        </w:rPr>
        <w:t>- регистрирует в результате биржевых торгов сделки;</w:t>
      </w:r>
    </w:p>
    <w:p w:rsidR="004336C9" w:rsidRDefault="00B25E82">
      <w:pPr>
        <w:spacing w:line="360" w:lineRule="atLeast"/>
        <w:ind w:right="-1" w:firstLine="340"/>
        <w:jc w:val="both"/>
        <w:rPr>
          <w:rFonts w:ascii="Antiqua" w:hAnsi="Antiqua"/>
          <w:sz w:val="24"/>
        </w:rPr>
      </w:pPr>
      <w:r>
        <w:rPr>
          <w:rFonts w:ascii="Antiqua" w:hAnsi="Antiqua"/>
          <w:sz w:val="24"/>
        </w:rPr>
        <w:t>- определяет и взимает залоговые суммы по заключенным контрактам;</w:t>
      </w:r>
    </w:p>
    <w:p w:rsidR="004336C9" w:rsidRDefault="00B25E82">
      <w:pPr>
        <w:spacing w:line="360" w:lineRule="atLeast"/>
        <w:ind w:right="-1" w:firstLine="340"/>
        <w:jc w:val="both"/>
        <w:rPr>
          <w:rFonts w:ascii="Antiqua" w:hAnsi="Antiqua"/>
          <w:sz w:val="24"/>
        </w:rPr>
      </w:pPr>
      <w:r>
        <w:rPr>
          <w:rFonts w:ascii="Antiqua" w:hAnsi="Antiqua"/>
          <w:sz w:val="24"/>
        </w:rPr>
        <w:t>- определяет и перечисляет суммы выигрышей и проигрышей членов Расчетной палаты при отклонении текущей биржевой цены от контрактной;</w:t>
      </w:r>
    </w:p>
    <w:p w:rsidR="004336C9" w:rsidRDefault="00B25E82">
      <w:pPr>
        <w:spacing w:line="360" w:lineRule="atLeast"/>
        <w:ind w:right="-1" w:firstLine="340"/>
        <w:jc w:val="both"/>
        <w:rPr>
          <w:rFonts w:ascii="Antiqua" w:hAnsi="Antiqua"/>
          <w:sz w:val="24"/>
        </w:rPr>
      </w:pPr>
      <w:r>
        <w:rPr>
          <w:rFonts w:ascii="Antiqua" w:hAnsi="Antiqua"/>
          <w:sz w:val="24"/>
        </w:rPr>
        <w:t>- осуществляет ликвидацию взаимопогашающихся контрактов и расчеты по ним;</w:t>
      </w:r>
    </w:p>
    <w:p w:rsidR="004336C9" w:rsidRDefault="00B25E82">
      <w:pPr>
        <w:spacing w:line="360" w:lineRule="atLeast"/>
        <w:ind w:right="-1" w:firstLine="340"/>
        <w:jc w:val="both"/>
        <w:rPr>
          <w:rFonts w:ascii="Antiqua" w:hAnsi="Antiqua"/>
          <w:sz w:val="24"/>
        </w:rPr>
      </w:pPr>
      <w:r>
        <w:rPr>
          <w:rFonts w:ascii="Antiqua" w:hAnsi="Antiqua"/>
          <w:sz w:val="24"/>
        </w:rPr>
        <w:t>- организует и гарантирует исполнение фьючерсных контрактов.</w:t>
      </w:r>
    </w:p>
    <w:p w:rsidR="004336C9" w:rsidRDefault="00B25E82">
      <w:pPr>
        <w:spacing w:line="360" w:lineRule="atLeast"/>
        <w:ind w:right="-1" w:firstLine="340"/>
        <w:jc w:val="both"/>
        <w:rPr>
          <w:rFonts w:ascii="Antiqua" w:hAnsi="Antiqua"/>
          <w:sz w:val="24"/>
        </w:rPr>
      </w:pPr>
      <w:r>
        <w:rPr>
          <w:rFonts w:ascii="Antiqua" w:hAnsi="Antiqua"/>
          <w:sz w:val="24"/>
        </w:rPr>
        <w:t>Расчетная палата обычно представляет собой либо структурное подразделение биржи, либо самостоятельную коммерческую организацию, основанную биржей или группой биржи. Как правило, она обслуживает расчеты по фьючерсным контрактам сразу нескольких бирж, ибо  в этом случае возрастает число ее клиентов - членов палаты, а значит, растут и обороты, прибыли, резервные и страховые фонды, повышается устойчивость цен во фьючерсной торговле отдельными видами контрактов при неблагоприятных изменениях рыночной конъюнктуры.</w:t>
      </w:r>
    </w:p>
    <w:p w:rsidR="004336C9" w:rsidRDefault="00B25E82">
      <w:pPr>
        <w:spacing w:line="360" w:lineRule="atLeast"/>
        <w:ind w:right="-1" w:firstLine="340"/>
        <w:jc w:val="both"/>
        <w:rPr>
          <w:rFonts w:ascii="Antiqua" w:hAnsi="Antiqua"/>
          <w:sz w:val="24"/>
        </w:rPr>
      </w:pPr>
      <w:r>
        <w:rPr>
          <w:rFonts w:ascii="Antiqua" w:hAnsi="Antiqua"/>
          <w:i/>
          <w:sz w:val="24"/>
          <w:u w:val="single"/>
        </w:rPr>
        <w:t>4. Члены Расчетной палаты</w:t>
      </w:r>
      <w:r>
        <w:rPr>
          <w:rFonts w:ascii="Antiqua" w:hAnsi="Antiqua"/>
          <w:sz w:val="24"/>
        </w:rPr>
        <w:t>, т.е. юридические лица, ее организующие и выполняющие задания клиентов по купле-продаже фьючерсных контрактов и проведению необходимых расчетов, связанных с ней. Все члены Расчетной палаты открывают в ней свои счета, с помощью которых осуществляются мгновенные расчеты между посреднической фирмой и биржей, между посреднической фирмой и Расчетной палатой, между посредническими фирмами по купле-продаже контрактов.</w:t>
      </w:r>
    </w:p>
    <w:p w:rsidR="004336C9" w:rsidRDefault="00B25E82">
      <w:pPr>
        <w:spacing w:line="360" w:lineRule="atLeast"/>
        <w:ind w:right="-1" w:firstLine="340"/>
        <w:jc w:val="both"/>
        <w:rPr>
          <w:rFonts w:ascii="Antiqua" w:hAnsi="Antiqua"/>
          <w:sz w:val="24"/>
        </w:rPr>
      </w:pPr>
      <w:r>
        <w:rPr>
          <w:rFonts w:ascii="Antiqua" w:hAnsi="Antiqua"/>
          <w:i/>
          <w:sz w:val="24"/>
          <w:u w:val="single"/>
        </w:rPr>
        <w:t>5. Биржа</w:t>
      </w:r>
      <w:r>
        <w:rPr>
          <w:rFonts w:ascii="Antiqua" w:hAnsi="Antiqua"/>
          <w:sz w:val="24"/>
        </w:rPr>
        <w:t>, организующая торговлю фьючерсами и контролирующая весь процесс торговли.</w:t>
      </w:r>
    </w:p>
    <w:p w:rsidR="004336C9" w:rsidRDefault="004336C9">
      <w:pPr>
        <w:spacing w:line="360" w:lineRule="atLeast"/>
        <w:ind w:right="-1" w:firstLine="340"/>
        <w:jc w:val="both"/>
        <w:rPr>
          <w:rFonts w:ascii="Antiqua" w:hAnsi="Antiqua"/>
          <w:sz w:val="24"/>
        </w:rPr>
      </w:pPr>
    </w:p>
    <w:p w:rsidR="004336C9" w:rsidRDefault="00B25E82">
      <w:pPr>
        <w:spacing w:line="360" w:lineRule="atLeast"/>
        <w:ind w:right="-1" w:firstLine="340"/>
        <w:jc w:val="both"/>
        <w:rPr>
          <w:rFonts w:ascii="Arial Cyr Italic" w:hAnsi="Arial Cyr Italic"/>
          <w:sz w:val="24"/>
        </w:rPr>
      </w:pPr>
      <w:r>
        <w:rPr>
          <w:rFonts w:ascii="Arial Cyr Italic" w:hAnsi="Arial Cyr Italic"/>
          <w:sz w:val="24"/>
        </w:rPr>
        <w:tab/>
      </w:r>
      <w:r>
        <w:rPr>
          <w:rFonts w:ascii="Arial Cyr Italic" w:hAnsi="Arial Cyr Italic"/>
          <w:sz w:val="24"/>
        </w:rPr>
        <w:tab/>
        <w:t>2.1.3. Основные понятия биржевой торговли фьючерсными</w:t>
      </w:r>
    </w:p>
    <w:p w:rsidR="004336C9" w:rsidRDefault="00B25E82">
      <w:pPr>
        <w:spacing w:line="360" w:lineRule="atLeast"/>
        <w:ind w:right="-1" w:firstLine="340"/>
        <w:jc w:val="both"/>
        <w:rPr>
          <w:rFonts w:ascii="Arial Cyr Italic" w:hAnsi="Arial Cyr Italic"/>
          <w:sz w:val="24"/>
        </w:rPr>
      </w:pPr>
      <w:r>
        <w:rPr>
          <w:rFonts w:ascii="Arial Cyr Italic" w:hAnsi="Arial Cyr Italic"/>
          <w:sz w:val="24"/>
        </w:rPr>
        <w:tab/>
      </w:r>
      <w:r>
        <w:rPr>
          <w:rFonts w:ascii="Arial Cyr Italic" w:hAnsi="Arial Cyr Italic"/>
          <w:sz w:val="24"/>
        </w:rPr>
        <w:tab/>
      </w:r>
      <w:r>
        <w:rPr>
          <w:rFonts w:ascii="Arial Cyr Italic" w:hAnsi="Arial Cyr Italic"/>
          <w:sz w:val="24"/>
        </w:rPr>
        <w:tab/>
      </w:r>
      <w:r>
        <w:rPr>
          <w:rFonts w:ascii="Arial Cyr Italic" w:hAnsi="Arial Cyr Italic"/>
          <w:sz w:val="24"/>
        </w:rPr>
        <w:tab/>
        <w:t>контрактами.</w:t>
      </w:r>
    </w:p>
    <w:p w:rsidR="004336C9" w:rsidRDefault="00B25E82">
      <w:pPr>
        <w:spacing w:line="360" w:lineRule="atLeast"/>
        <w:ind w:right="-1" w:firstLine="340"/>
        <w:jc w:val="both"/>
        <w:rPr>
          <w:rFonts w:ascii="Antiqua" w:hAnsi="Antiqua"/>
          <w:sz w:val="24"/>
        </w:rPr>
      </w:pPr>
      <w:r>
        <w:rPr>
          <w:rFonts w:ascii="Antiqua" w:hAnsi="Antiqua"/>
          <w:sz w:val="24"/>
        </w:rPr>
        <w:t>Фьючерсный контракт на бирже стандартизирован по всем параметрам, кроме одного - цены поставляемого товара, которая выявляется в процессе биржевых торгов.</w:t>
      </w:r>
    </w:p>
    <w:p w:rsidR="004336C9" w:rsidRDefault="00B25E82">
      <w:pPr>
        <w:spacing w:line="360" w:lineRule="atLeast"/>
        <w:ind w:right="-1" w:firstLine="340"/>
        <w:jc w:val="both"/>
        <w:rPr>
          <w:rFonts w:ascii="Antiqua" w:hAnsi="Antiqua"/>
          <w:sz w:val="24"/>
        </w:rPr>
      </w:pPr>
      <w:r>
        <w:rPr>
          <w:rFonts w:ascii="Antiqua" w:hAnsi="Antiqua"/>
          <w:sz w:val="24"/>
        </w:rPr>
        <w:t>Стандартизация фьючерсного контракта включает унификацию следующих основных показателей: потребительская стоимость товара, его количество и рыночные условия обращения, вид товара, размеры партии товара, условия и сроки поставки, форма оплаты, санкции за нарушение условий контракта, порядок арбитража и др.</w:t>
      </w:r>
    </w:p>
    <w:p w:rsidR="004336C9" w:rsidRDefault="00B25E82">
      <w:pPr>
        <w:spacing w:line="360" w:lineRule="atLeast"/>
        <w:ind w:right="-1" w:firstLine="340"/>
        <w:jc w:val="both"/>
        <w:rPr>
          <w:rFonts w:ascii="Antiqua" w:hAnsi="Antiqua"/>
          <w:sz w:val="24"/>
        </w:rPr>
      </w:pPr>
      <w:r>
        <w:rPr>
          <w:rFonts w:ascii="Antiqua" w:hAnsi="Antiqua"/>
          <w:sz w:val="24"/>
        </w:rPr>
        <w:t>В связи с этим фьючерсные контракты высоколиквидны, для них существует широкий вторичный рынок, поскольку по своим условиям они одинаковы для всех инвесторов. Кроме того, биржа организует вторичный рынок данных активов на основе института дилеров, которым предписано “делать рынок” по соответствующим контрактам, т.е. покупать и продавать их на постоянной основе.</w:t>
      </w:r>
    </w:p>
    <w:p w:rsidR="004336C9" w:rsidRDefault="00B25E82">
      <w:pPr>
        <w:spacing w:line="360" w:lineRule="atLeast"/>
        <w:ind w:right="-1" w:firstLine="340"/>
        <w:jc w:val="both"/>
        <w:rPr>
          <w:rFonts w:ascii="Antiqua" w:hAnsi="Antiqua"/>
          <w:sz w:val="24"/>
        </w:rPr>
      </w:pPr>
      <w:r>
        <w:rPr>
          <w:rFonts w:ascii="Antiqua" w:hAnsi="Antiqua"/>
          <w:sz w:val="24"/>
        </w:rPr>
        <w:t>При совершении сделки на бирже продавец контракта берет на себя обязательство продать, а покупатель - купить определенное количество биржевого товара в определенный срок в будущем по цене, определяемой в момент сделки. При этом говорится, что они открывают позиции. Важной особенностью фьючерсной торговли, вытекающей из ее стандартизации, является обезличенность контракта. Сторонами во фьючерсном контракте выступают не продавец и покупатель, а продавец и Расчетная палата или покупатель и Расчетная палата биржи. Это позволяет продавцу и покупателю действовать независимо друг от друга, т.е. ликвидировать свои обязательства по ранее оформленному контракту путем закрытия позиции.</w:t>
      </w:r>
    </w:p>
    <w:p w:rsidR="004336C9" w:rsidRDefault="00B25E82">
      <w:pPr>
        <w:spacing w:line="360" w:lineRule="atLeast"/>
        <w:ind w:right="-1" w:firstLine="340"/>
        <w:jc w:val="both"/>
        <w:rPr>
          <w:rFonts w:ascii="Antiqua" w:hAnsi="Antiqua"/>
          <w:sz w:val="24"/>
        </w:rPr>
      </w:pPr>
      <w:r>
        <w:rPr>
          <w:rFonts w:ascii="Antiqua" w:hAnsi="Antiqua"/>
          <w:sz w:val="24"/>
        </w:rPr>
        <w:t>Закрытие позиции осуществляется путем совершения офсетной сделки или поставкой актива. Офсетная сделка - это противоположная сделка, т.е. продавец должен купить, а покупатель - продать контракт. При этом участник фьючерсной торговли больше не несет обязательств исполнения контракта, он перекладывает их на своего нового контрагента. Таким образом, количество открытых позиций каждого участника фьючерсной торговли равно абсолютной величине разности между числом проданных и купленных им контрактов.</w:t>
      </w:r>
    </w:p>
    <w:p w:rsidR="004336C9" w:rsidRDefault="00B25E82">
      <w:pPr>
        <w:spacing w:line="360" w:lineRule="atLeast"/>
        <w:ind w:right="-1" w:firstLine="340"/>
        <w:jc w:val="both"/>
        <w:rPr>
          <w:rFonts w:ascii="Antiqua" w:hAnsi="Antiqua"/>
          <w:sz w:val="24"/>
        </w:rPr>
      </w:pPr>
      <w:r>
        <w:rPr>
          <w:rFonts w:ascii="Antiqua" w:hAnsi="Antiqua"/>
          <w:sz w:val="24"/>
        </w:rPr>
        <w:t>Если участник контракта желает осуществить или принять поставку, он не ликвидирует свою позицию до дня поставки и в установленном порядке информирует палату о готовности выполнять свои конкретные обязательства. В этом случае Расчетная палата выбирает лицо с противоположной позицией, которая не была закрыта с последующей офсетной сделкой и сообщает ему о необходимости поставить или принять требуемый актив. Абсолютное большинство позиций инвесторов по фьючерсным контрактам ликвидируется ими в процессе действия контрактов с помощью офсетных сделок и только 2-5% контрактов заканчиваются реальной поставкой. [7, с. 87]</w:t>
      </w:r>
    </w:p>
    <w:p w:rsidR="004336C9" w:rsidRDefault="00B25E82">
      <w:pPr>
        <w:spacing w:line="360" w:lineRule="atLeast"/>
        <w:ind w:right="-1" w:firstLine="340"/>
        <w:jc w:val="both"/>
        <w:rPr>
          <w:rFonts w:ascii="Antiqua" w:hAnsi="Antiqua"/>
          <w:sz w:val="24"/>
        </w:rPr>
      </w:pPr>
      <w:r>
        <w:rPr>
          <w:rFonts w:ascii="Antiqua" w:hAnsi="Antiqua"/>
          <w:sz w:val="24"/>
        </w:rPr>
        <w:t>Чтобы не допустить чрезмерной спекуляции на фьючерсных контрактах и усилить систему гарантий их исполнения, биржа устанавливает по каждому виду контракта лимит отклонения фючерсной цены текущего дня от котировочной цены предыдущего: на МТБ, например, 120 рублей в течение первого месяца торговли этим контрактом и плюс 20 рублей за каждый последующий месяц торгов по данному контракту.</w:t>
      </w:r>
    </w:p>
    <w:p w:rsidR="004336C9" w:rsidRDefault="00B25E82">
      <w:pPr>
        <w:spacing w:line="360" w:lineRule="atLeast"/>
        <w:ind w:right="-1" w:firstLine="340"/>
        <w:jc w:val="both"/>
        <w:rPr>
          <w:rFonts w:ascii="Antiqua" w:hAnsi="Antiqua"/>
          <w:sz w:val="24"/>
        </w:rPr>
      </w:pPr>
      <w:r>
        <w:rPr>
          <w:rFonts w:ascii="Antiqua" w:hAnsi="Antiqua"/>
          <w:sz w:val="24"/>
        </w:rPr>
        <w:t>Если фьючерсная цена выходит за данный предел, то биржа останавливает торговлю контрактами. Торговлю могут остановить на короткий период или до конца торгового дня. Если фьючерсная цена отклонилась от предшествующей котировочной цены на большую величину, то торговля контрактами в течение последущих дней может открываться и сразу же закрываться без осуществления каких-либо сделок. Такая ситуация продлится до тех пор, пока фьючерсная цена не войдет в определенный интервал.</w:t>
      </w:r>
    </w:p>
    <w:p w:rsidR="004336C9" w:rsidRDefault="00B25E82">
      <w:pPr>
        <w:spacing w:line="360" w:lineRule="atLeast"/>
        <w:ind w:right="-1" w:firstLine="340"/>
        <w:jc w:val="both"/>
        <w:rPr>
          <w:rFonts w:ascii="Antiqua" w:hAnsi="Antiqua"/>
          <w:sz w:val="24"/>
        </w:rPr>
      </w:pPr>
      <w:r>
        <w:rPr>
          <w:rFonts w:ascii="Antiqua" w:hAnsi="Antiqua"/>
          <w:sz w:val="24"/>
        </w:rPr>
        <w:t>Ограничение ценовых колебаний играет большую роль с точки зрения снижения риска больших потерь и предотвращения банкротств, однако данный механизм приводит к потере фьючерсными контрактами ликвидности в тот период, пока биржа закрыта. Кроме того, не всегда фьючерсная цена будет испытывать резкие изменения в силу только спекулятивных настроений, поскольку она является своеобразным зеркалом ситуации на спотовом рынке данного актива. Система лимитов приводит к тому, что в течение некоторого времени существует разница между официально зарегистрированной фьючерсной ценой и равновесной фьючерсной ценой. Чтобы уменьшить воздействие отмеченных негативных моментов на рынке, биржи, как правило, снимают указанные ограничения для месяца поставки актива по фьючерсному контракту.</w:t>
      </w:r>
    </w:p>
    <w:p w:rsidR="004336C9" w:rsidRDefault="004336C9">
      <w:pPr>
        <w:spacing w:line="360" w:lineRule="atLeast"/>
        <w:ind w:right="-1" w:firstLine="340"/>
        <w:jc w:val="both"/>
        <w:rPr>
          <w:rFonts w:ascii="Antiqua" w:hAnsi="Antiqua"/>
          <w:b/>
          <w:sz w:val="24"/>
        </w:rPr>
      </w:pPr>
    </w:p>
    <w:p w:rsidR="004336C9" w:rsidRDefault="00B25E82">
      <w:pPr>
        <w:spacing w:line="360" w:lineRule="atLeast"/>
        <w:ind w:right="-1" w:firstLine="340"/>
        <w:jc w:val="both"/>
        <w:rPr>
          <w:rFonts w:ascii="Arial Cyr Italic" w:hAnsi="Arial Cyr Italic"/>
          <w:sz w:val="24"/>
        </w:rPr>
      </w:pPr>
      <w:r>
        <w:rPr>
          <w:rFonts w:ascii="Antiqua" w:hAnsi="Antiqua"/>
          <w:sz w:val="24"/>
        </w:rPr>
        <w:tab/>
      </w:r>
      <w:r>
        <w:rPr>
          <w:rFonts w:ascii="Antiqua" w:hAnsi="Antiqua"/>
          <w:sz w:val="24"/>
        </w:rPr>
        <w:tab/>
      </w:r>
      <w:r>
        <w:rPr>
          <w:rFonts w:ascii="Arial Cyr Italic" w:hAnsi="Arial Cyr Italic"/>
          <w:sz w:val="24"/>
        </w:rPr>
        <w:t xml:space="preserve">2.1.4. Порядок заключения и исполнения сделок на куплю-продажу </w:t>
      </w:r>
      <w:r>
        <w:rPr>
          <w:rFonts w:ascii="Arial Cyr Italic" w:hAnsi="Arial Cyr Italic"/>
          <w:sz w:val="24"/>
        </w:rPr>
        <w:tab/>
      </w:r>
      <w:r>
        <w:rPr>
          <w:rFonts w:ascii="Arial Cyr Italic" w:hAnsi="Arial Cyr Italic"/>
          <w:sz w:val="24"/>
        </w:rPr>
        <w:tab/>
      </w:r>
      <w:r>
        <w:rPr>
          <w:rFonts w:ascii="Arial Cyr Italic" w:hAnsi="Arial Cyr Italic"/>
          <w:sz w:val="24"/>
        </w:rPr>
        <w:tab/>
      </w:r>
      <w:r>
        <w:rPr>
          <w:rFonts w:ascii="Arial Cyr Italic" w:hAnsi="Arial Cyr Italic"/>
          <w:sz w:val="24"/>
        </w:rPr>
        <w:tab/>
      </w:r>
      <w:r>
        <w:rPr>
          <w:rFonts w:ascii="Arial Cyr Italic" w:hAnsi="Arial Cyr Italic"/>
          <w:sz w:val="24"/>
        </w:rPr>
        <w:tab/>
        <w:t>фьючерсных контрактов.</w:t>
      </w:r>
    </w:p>
    <w:p w:rsidR="004336C9" w:rsidRDefault="00B25E82">
      <w:pPr>
        <w:spacing w:line="360" w:lineRule="atLeast"/>
        <w:ind w:right="-1" w:firstLine="340"/>
        <w:jc w:val="both"/>
        <w:rPr>
          <w:rFonts w:ascii="Antiqua" w:hAnsi="Antiqua"/>
          <w:sz w:val="24"/>
        </w:rPr>
      </w:pPr>
      <w:r>
        <w:rPr>
          <w:rFonts w:ascii="Antiqua" w:hAnsi="Antiqua"/>
          <w:sz w:val="24"/>
        </w:rPr>
        <w:t>Технологически процесс купли-продажи фьючерсных контрактов условно можно условно разделить на ряд последовательных этапов. Порядок заключения и исполнения сделок по фьючерсным контрактам представлен в схеме 1.</w:t>
      </w:r>
    </w:p>
    <w:p w:rsidR="004336C9" w:rsidRDefault="004336C9">
      <w:pPr>
        <w:spacing w:line="360" w:lineRule="atLeast"/>
        <w:ind w:right="-1" w:firstLine="340"/>
        <w:jc w:val="both"/>
        <w:rPr>
          <w:rFonts w:ascii="Antiqua" w:hAnsi="Antiqua"/>
          <w:sz w:val="24"/>
        </w:rPr>
      </w:pPr>
    </w:p>
    <w:p w:rsidR="004336C9" w:rsidRDefault="00CE788F">
      <w:pPr>
        <w:spacing w:line="360" w:lineRule="atLeast"/>
        <w:ind w:right="-1" w:firstLine="340"/>
        <w:jc w:val="both"/>
        <w:rPr>
          <w:rFonts w:ascii="Antiqua" w:hAnsi="Antiqua"/>
          <w:sz w:val="24"/>
        </w:rPr>
      </w:pPr>
      <w:r>
        <w:rPr>
          <w:rFonts w:ascii="Tms Rmn" w:hAnsi="Tms Rmn"/>
          <w:noProof/>
        </w:rPr>
        <w:pict>
          <v:line id="_x0000_s1033" style="position:absolute;left:0;text-align:left;z-index:251644928;mso-position-horizontal-relative:text;mso-position-vertical-relative:text" from="238.8pt,1pt" to="238.85pt,22.65pt" o:allowincell="f" strokeweight="1pt">
            <v:stroke startarrowwidth="narrow" startarrowlength="short" endarrowwidth="narrow" endarrowlength="short"/>
          </v:line>
        </w:pict>
      </w:r>
      <w:r>
        <w:rPr>
          <w:rFonts w:ascii="Tms Rmn" w:hAnsi="Tms Rmn"/>
          <w:noProof/>
        </w:rPr>
        <w:pict>
          <v:line id="_x0000_s1029" style="position:absolute;left:0;text-align:left;z-index:251640832;mso-position-horizontal-relative:text;mso-position-vertical-relative:text" from="166.8pt,1pt" to="238.85pt,1.05pt" o:allowincell="f" strokeweight="1pt">
            <v:stroke startarrowwidth="narrow" startarrowlength="short" endarrowwidth="narrow" endarrowlength="short"/>
          </v:line>
        </w:pict>
      </w:r>
      <w:r>
        <w:rPr>
          <w:rFonts w:ascii="Tms Rmn" w:hAnsi="Tms Rmn"/>
          <w:noProof/>
        </w:rPr>
        <w:pict>
          <v:line id="_x0000_s1027" style="position:absolute;left:0;text-align:left;z-index:251638784;mso-position-horizontal-relative:text;mso-position-vertical-relative:text" from="166.8pt,1pt" to="166.85pt,22.65pt" o:allowincell="f" strokeweight="1pt">
            <v:stroke startarrowwidth="narrow" startarrowlength="short" endarrowwidth="narrow" endarrowlength="short"/>
          </v:line>
        </w:pict>
      </w:r>
      <w:r w:rsidR="00B25E82">
        <w:rPr>
          <w:rFonts w:ascii="Antiqua" w:hAnsi="Antiqua"/>
          <w:sz w:val="24"/>
        </w:rPr>
        <w:t xml:space="preserve">                                     Клиент 1</w:t>
      </w:r>
    </w:p>
    <w:p w:rsidR="004336C9" w:rsidRDefault="00CE788F">
      <w:pPr>
        <w:spacing w:line="360" w:lineRule="atLeast"/>
        <w:ind w:right="-1" w:firstLine="340"/>
        <w:jc w:val="both"/>
        <w:rPr>
          <w:rFonts w:ascii="Antiqua" w:hAnsi="Antiqua"/>
          <w:sz w:val="24"/>
        </w:rPr>
      </w:pPr>
      <w:r>
        <w:rPr>
          <w:rFonts w:ascii="Tms Rmn" w:hAnsi="Tms Rmn"/>
          <w:noProof/>
        </w:rPr>
        <w:pict>
          <v:line id="_x0000_s1040" style="position:absolute;left:0;text-align:left;z-index:251652096;mso-position-horizontal-relative:text;mso-position-vertical-relative:text" from="202.8pt,4.6pt" to="202.85pt,33.45pt" o:allowincell="f" strokeweight="1pt">
            <v:stroke startarrowwidth="narrow" startarrowlength="short" endarrowwidth="narrow" endarrowlength="short"/>
          </v:line>
        </w:pict>
      </w:r>
      <w:r>
        <w:rPr>
          <w:rFonts w:ascii="Tms Rmn" w:hAnsi="Tms Rmn"/>
          <w:noProof/>
        </w:rPr>
        <w:pict>
          <v:line id="_x0000_s1031" style="position:absolute;left:0;text-align:left;z-index:251642880;mso-position-horizontal-relative:text;mso-position-vertical-relative:text" from="166.8pt,4.6pt" to="238.85pt,4.65pt" o:allowincell="f" strokeweight="1pt">
            <v:stroke startarrowwidth="narrow" startarrowlength="short" endarrowwidth="narrow" endarrowlength="short"/>
          </v:line>
        </w:pict>
      </w:r>
      <w:r w:rsidR="00B25E82">
        <w:rPr>
          <w:rFonts w:ascii="Antiqua" w:hAnsi="Antiqua"/>
          <w:sz w:val="24"/>
        </w:rPr>
        <w:t xml:space="preserve">                                  2,4,8,9</w:t>
      </w:r>
    </w:p>
    <w:p w:rsidR="004336C9" w:rsidRDefault="00CE788F">
      <w:pPr>
        <w:spacing w:line="360" w:lineRule="atLeast"/>
        <w:ind w:right="-1" w:firstLine="340"/>
        <w:jc w:val="both"/>
        <w:rPr>
          <w:rFonts w:ascii="Antiqua" w:hAnsi="Antiqua"/>
          <w:sz w:val="24"/>
        </w:rPr>
      </w:pPr>
      <w:r>
        <w:rPr>
          <w:rFonts w:ascii="Tms Rmn" w:hAnsi="Tms Rmn"/>
          <w:noProof/>
        </w:rPr>
        <w:pict>
          <v:line id="_x0000_s1039" style="position:absolute;left:0;text-align:left;z-index:251651072;mso-position-horizontal-relative:text;mso-position-vertical-relative:text" from="274.8pt,15.4pt" to="274.85pt,44.25pt" o:allowincell="f" strokeweight="1pt">
            <v:stroke startarrowwidth="narrow" startarrowlength="short" endarrowwidth="narrow" endarrowlength="short"/>
          </v:line>
        </w:pict>
      </w:r>
      <w:r>
        <w:rPr>
          <w:rFonts w:ascii="Tms Rmn" w:hAnsi="Tms Rmn"/>
          <w:noProof/>
        </w:rPr>
        <w:pict>
          <v:line id="_x0000_s1038" style="position:absolute;left:0;text-align:left;z-index:251650048;mso-position-horizontal-relative:text;mso-position-vertical-relative:text" from="138pt,15.4pt" to="138.05pt,44.25pt" o:allowincell="f" strokeweight="1pt">
            <v:stroke startarrowwidth="narrow" startarrowlength="short" endarrowwidth="narrow" endarrowlength="short"/>
          </v:line>
        </w:pict>
      </w:r>
      <w:r>
        <w:rPr>
          <w:rFonts w:ascii="Tms Rmn" w:hAnsi="Tms Rmn"/>
          <w:noProof/>
        </w:rPr>
        <w:pict>
          <v:line id="_x0000_s1035" style="position:absolute;left:0;text-align:left;z-index:251646976;mso-position-horizontal-relative:text;mso-position-vertical-relative:text" from="138pt,15.4pt" to="274.85pt,15.45pt" o:allowincell="f" strokeweight="1pt">
            <v:stroke startarrowwidth="narrow" startarrowlength="short" endarrowwidth="narrow" endarrowlength="short"/>
          </v:line>
        </w:pict>
      </w:r>
    </w:p>
    <w:p w:rsidR="004336C9" w:rsidRDefault="00CE788F">
      <w:pPr>
        <w:spacing w:line="360" w:lineRule="atLeast"/>
        <w:ind w:right="-1" w:firstLine="340"/>
        <w:jc w:val="both"/>
        <w:rPr>
          <w:rFonts w:ascii="Antiqua" w:hAnsi="Antiqua"/>
          <w:sz w:val="24"/>
        </w:rPr>
      </w:pPr>
      <w:r>
        <w:rPr>
          <w:rFonts w:ascii="Tms Rmn" w:hAnsi="Tms Rmn"/>
          <w:noProof/>
        </w:rPr>
        <w:pict>
          <v:line id="_x0000_s1054" style="position:absolute;left:0;text-align:left;z-index:251666432;mso-position-horizontal-relative:text;mso-position-vertical-relative:text" from="390pt,4.6pt" to="390.05pt,69.45pt" o:allowincell="f" strokeweight="1pt">
            <v:stroke startarrowwidth="narrow" startarrowlength="short" endarrowwidth="narrow" endarrowlength="short"/>
          </v:line>
        </w:pict>
      </w:r>
      <w:r>
        <w:rPr>
          <w:rFonts w:ascii="Tms Rmn" w:hAnsi="Tms Rmn"/>
          <w:noProof/>
        </w:rPr>
        <w:pict>
          <v:line id="_x0000_s1053" style="position:absolute;left:0;text-align:left;z-index:251665408;mso-position-horizontal-relative:text;mso-position-vertical-relative:text" from="274.8pt,4.6pt" to="390.05pt,4.65pt" o:allowincell="f" strokeweight="1pt">
            <v:stroke startarrowwidth="narrow" startarrowlength="short" endarrowwidth="narrow" endarrowlength="short"/>
          </v:line>
        </w:pict>
      </w:r>
      <w:r w:rsidR="00B25E82">
        <w:rPr>
          <w:rFonts w:ascii="Antiqua" w:hAnsi="Antiqua"/>
          <w:sz w:val="24"/>
        </w:rPr>
        <w:t xml:space="preserve">                              Посредническая фирма</w:t>
      </w:r>
    </w:p>
    <w:p w:rsidR="004336C9" w:rsidRDefault="00CE788F">
      <w:pPr>
        <w:spacing w:line="360" w:lineRule="atLeast"/>
        <w:ind w:right="-1" w:firstLine="340"/>
        <w:jc w:val="both"/>
        <w:rPr>
          <w:rFonts w:ascii="Antiqua" w:hAnsi="Antiqua"/>
          <w:sz w:val="24"/>
        </w:rPr>
      </w:pPr>
      <w:r>
        <w:rPr>
          <w:rFonts w:ascii="Tms Rmn" w:hAnsi="Tms Rmn"/>
          <w:noProof/>
        </w:rPr>
        <w:pict>
          <v:line id="_x0000_s1052" style="position:absolute;left:0;text-align:left;z-index:251664384;mso-position-horizontal-relative:text;mso-position-vertical-relative:text" from="202.8pt,8.2pt" to="202.85pt,51.45pt" o:allowincell="f" strokeweight="1pt">
            <v:stroke startarrowwidth="narrow" startarrowlength="short" endarrowwidth="narrow" endarrowlength="short"/>
          </v:line>
        </w:pict>
      </w:r>
      <w:r>
        <w:rPr>
          <w:rFonts w:ascii="Tms Rmn" w:hAnsi="Tms Rmn"/>
          <w:noProof/>
        </w:rPr>
        <w:pict>
          <v:line id="_x0000_s1051" style="position:absolute;left:0;text-align:left;z-index:251663360;mso-position-horizontal-relative:text;mso-position-vertical-relative:text" from="368.4pt,1pt" to="368.45pt,51.45pt" o:allowincell="f" strokeweight="1pt">
            <v:stroke startarrowwidth="narrow" startarrowlength="short" endarrowwidth="narrow" endarrowlength="short"/>
          </v:line>
        </w:pict>
      </w:r>
      <w:r>
        <w:rPr>
          <w:rFonts w:ascii="Tms Rmn" w:hAnsi="Tms Rmn"/>
          <w:noProof/>
        </w:rPr>
        <w:pict>
          <v:line id="_x0000_s1050" style="position:absolute;left:0;text-align:left;z-index:251662336;mso-position-horizontal-relative:text;mso-position-vertical-relative:text" from="274.8pt,1pt" to="368.45pt,1.05pt" o:allowincell="f" strokeweight="1pt">
            <v:stroke startarrowwidth="narrow" startarrowlength="short" endarrowwidth="narrow" endarrowlength="short"/>
          </v:line>
        </w:pict>
      </w:r>
      <w:r>
        <w:rPr>
          <w:rFonts w:ascii="Tms Rmn" w:hAnsi="Tms Rmn"/>
          <w:noProof/>
        </w:rPr>
        <w:pict>
          <v:line id="_x0000_s1037" style="position:absolute;left:0;text-align:left;z-index:251649024;mso-position-horizontal-relative:text;mso-position-vertical-relative:text" from="138pt,8.2pt" to="274.85pt,8.25pt" o:allowincell="f" strokeweight="1pt">
            <v:stroke startarrowwidth="narrow" startarrowlength="short" endarrowwidth="narrow" endarrowlength="short"/>
          </v:line>
        </w:pict>
      </w:r>
      <w:r w:rsidR="00B25E82">
        <w:rPr>
          <w:rFonts w:ascii="Antiqua" w:hAnsi="Antiqua"/>
          <w:sz w:val="24"/>
        </w:rPr>
        <w:t xml:space="preserve">                                                                               6        5                                             </w:t>
      </w:r>
    </w:p>
    <w:p w:rsidR="004336C9" w:rsidRDefault="00B25E82">
      <w:pPr>
        <w:spacing w:line="360" w:lineRule="atLeast"/>
        <w:ind w:right="-1" w:firstLine="340"/>
        <w:jc w:val="both"/>
        <w:rPr>
          <w:rFonts w:ascii="Antiqua" w:hAnsi="Antiqua"/>
          <w:sz w:val="24"/>
        </w:rPr>
      </w:pPr>
      <w:r>
        <w:rPr>
          <w:rFonts w:ascii="Antiqua" w:hAnsi="Antiqua"/>
          <w:sz w:val="24"/>
        </w:rPr>
        <w:t xml:space="preserve">                                  3,6,8,9                                                                                                                                                   </w:t>
      </w:r>
    </w:p>
    <w:p w:rsidR="004336C9" w:rsidRDefault="00CE788F">
      <w:pPr>
        <w:spacing w:line="360" w:lineRule="atLeast"/>
        <w:ind w:right="-1" w:firstLine="340"/>
        <w:jc w:val="both"/>
        <w:rPr>
          <w:rFonts w:ascii="Antiqua" w:hAnsi="Antiqua"/>
          <w:sz w:val="24"/>
        </w:rPr>
      </w:pPr>
      <w:r>
        <w:rPr>
          <w:rFonts w:ascii="Tms Rmn" w:hAnsi="Tms Rmn"/>
          <w:noProof/>
        </w:rPr>
        <w:pict>
          <v:line id="_x0000_s1049" style="position:absolute;left:0;text-align:left;z-index:251661312;mso-position-horizontal-relative:text;mso-position-vertical-relative:text" from="418.8pt,15.4pt" to="418.85pt,44.25pt" o:allowincell="f" strokeweight="1pt">
            <v:stroke startarrowwidth="narrow" startarrowlength="short" endarrowwidth="narrow" endarrowlength="short"/>
          </v:line>
        </w:pict>
      </w:r>
      <w:r>
        <w:rPr>
          <w:rFonts w:ascii="Tms Rmn" w:hAnsi="Tms Rmn"/>
          <w:noProof/>
        </w:rPr>
        <w:pict>
          <v:line id="_x0000_s1047" style="position:absolute;left:0;text-align:left;z-index:251659264;mso-position-horizontal-relative:text;mso-position-vertical-relative:text" from="361.2pt,15.4pt" to="361.25pt,44.25pt" o:allowincell="f" strokeweight="1pt">
            <v:stroke startarrowwidth="narrow" startarrowlength="short" endarrowwidth="narrow" endarrowlength="short"/>
          </v:line>
        </w:pict>
      </w:r>
      <w:r>
        <w:rPr>
          <w:rFonts w:ascii="Tms Rmn" w:hAnsi="Tms Rmn"/>
          <w:noProof/>
        </w:rPr>
        <w:pict>
          <v:line id="_x0000_s1046" style="position:absolute;left:0;text-align:left;z-index:251658240;mso-position-horizontal-relative:text;mso-position-vertical-relative:text" from="361.2pt,15.4pt" to="418.85pt,15.45pt" o:allowincell="f" strokeweight="1pt">
            <v:stroke startarrowwidth="narrow" startarrowlength="short" endarrowwidth="narrow" endarrowlength="short"/>
          </v:line>
        </w:pict>
      </w:r>
      <w:r>
        <w:rPr>
          <w:rFonts w:ascii="Tms Rmn" w:hAnsi="Tms Rmn"/>
          <w:noProof/>
        </w:rPr>
        <w:pict>
          <v:line id="_x0000_s1045" style="position:absolute;left:0;text-align:left;flip:x;z-index:251657216;mso-position-horizontal-relative:text;mso-position-vertical-relative:text" from="282pt,15.4pt" to="289.25pt,15.45pt" o:allowincell="f" strokeweight="1pt">
            <v:stroke startarrowwidth="narrow" startarrowlength="short" endarrowwidth="narrow" endarrowlength="short"/>
          </v:line>
        </w:pict>
      </w:r>
      <w:r>
        <w:rPr>
          <w:rFonts w:ascii="Tms Rmn" w:hAnsi="Tms Rmn"/>
          <w:noProof/>
        </w:rPr>
        <w:pict>
          <v:line id="_x0000_s1044" style="position:absolute;left:0;text-align:left;flip:y;z-index:251656192;mso-position-horizontal-relative:text;mso-position-vertical-relative:text" from="289.2pt,15.4pt" to="289.25pt,44.25pt" o:allowincell="f" strokeweight="1pt">
            <v:stroke startarrowwidth="narrow" startarrowlength="short" endarrowwidth="narrow" endarrowlength="short"/>
          </v:line>
        </w:pict>
      </w:r>
      <w:r>
        <w:rPr>
          <w:rFonts w:ascii="Tms Rmn" w:hAnsi="Tms Rmn"/>
          <w:noProof/>
        </w:rPr>
        <w:pict>
          <v:line id="_x0000_s1043" style="position:absolute;left:0;text-align:left;z-index:251655168;mso-position-horizontal-relative:text;mso-position-vertical-relative:text" from="138pt,15.4pt" to="138.05pt,44.25pt" o:allowincell="f" strokeweight="1pt">
            <v:stroke startarrowwidth="narrow" startarrowlength="short" endarrowwidth="narrow" endarrowlength="short"/>
          </v:line>
        </w:pict>
      </w:r>
      <w:r>
        <w:rPr>
          <w:rFonts w:ascii="Tms Rmn" w:hAnsi="Tms Rmn"/>
          <w:noProof/>
        </w:rPr>
        <w:pict>
          <v:line id="_x0000_s1041" style="position:absolute;left:0;text-align:left;z-index:251653120;mso-position-horizontal-relative:text;mso-position-vertical-relative:text" from="138pt,15.4pt" to="282.05pt,15.45pt" o:allowincell="f" strokeweight="1pt">
            <v:stroke startarrowwidth="narrow" startarrowlength="short" endarrowwidth="narrow" endarrowlength="short"/>
          </v:line>
        </w:pict>
      </w:r>
      <w:r w:rsidR="00B25E82">
        <w:rPr>
          <w:rFonts w:ascii="Antiqua" w:hAnsi="Antiqua"/>
          <w:sz w:val="24"/>
        </w:rPr>
        <w:t xml:space="preserve">                 </w:t>
      </w:r>
    </w:p>
    <w:p w:rsidR="004336C9" w:rsidRDefault="00B25E82">
      <w:pPr>
        <w:spacing w:line="360" w:lineRule="atLeast"/>
        <w:ind w:right="-1" w:firstLine="340"/>
        <w:jc w:val="both"/>
        <w:rPr>
          <w:rFonts w:ascii="Antiqua" w:hAnsi="Antiqua"/>
          <w:sz w:val="24"/>
        </w:rPr>
      </w:pPr>
      <w:r>
        <w:rPr>
          <w:rFonts w:ascii="Antiqua" w:hAnsi="Antiqua"/>
          <w:sz w:val="24"/>
        </w:rPr>
        <w:t xml:space="preserve">                              Члены Расчетной палаты                     Биржа</w:t>
      </w:r>
    </w:p>
    <w:p w:rsidR="004336C9" w:rsidRDefault="00CE788F">
      <w:pPr>
        <w:spacing w:line="360" w:lineRule="atLeast"/>
        <w:ind w:right="-1" w:firstLine="340"/>
        <w:jc w:val="both"/>
        <w:rPr>
          <w:rFonts w:ascii="Antiqua" w:hAnsi="Antiqua"/>
          <w:sz w:val="24"/>
        </w:rPr>
      </w:pPr>
      <w:r>
        <w:rPr>
          <w:rFonts w:ascii="Tms Rmn" w:hAnsi="Tms Rmn"/>
          <w:noProof/>
        </w:rPr>
        <w:pict>
          <v:line id="_x0000_s1065" style="position:absolute;left:0;text-align:left;z-index:251677696;mso-position-horizontal-relative:text;mso-position-vertical-relative:text" from="390pt,8.2pt" to="390.05pt,51.45pt" o:allowincell="f" strokeweight="1pt">
            <v:stroke startarrowwidth="narrow" startarrowlength="short" endarrowwidth="narrow" endarrowlength="short"/>
          </v:line>
        </w:pict>
      </w:r>
      <w:r>
        <w:rPr>
          <w:rFonts w:ascii="Tms Rmn" w:hAnsi="Tms Rmn"/>
          <w:noProof/>
        </w:rPr>
        <w:pict>
          <v:line id="_x0000_s1059" style="position:absolute;left:0;text-align:left;z-index:251671552;mso-position-horizontal-relative:text;mso-position-vertical-relative:text" from="202.8pt,8.2pt" to="202.85pt,51.45pt" o:allowincell="f" strokeweight="1pt">
            <v:stroke startarrowwidth="narrow" startarrowlength="short" endarrowwidth="narrow" endarrowlength="short"/>
          </v:line>
        </w:pict>
      </w:r>
      <w:r>
        <w:rPr>
          <w:rFonts w:ascii="Tms Rmn" w:hAnsi="Tms Rmn"/>
          <w:noProof/>
        </w:rPr>
        <w:pict>
          <v:line id="_x0000_s1048" style="position:absolute;left:0;text-align:left;z-index:251660288;mso-position-horizontal-relative:text;mso-position-vertical-relative:text" from="361.2pt,8.2pt" to="418.85pt,8.25pt" o:allowincell="f" strokeweight="1pt">
            <v:stroke startarrowwidth="narrow" startarrowlength="short" endarrowwidth="narrow" endarrowlength="short"/>
          </v:line>
        </w:pict>
      </w:r>
      <w:r>
        <w:rPr>
          <w:rFonts w:ascii="Tms Rmn" w:hAnsi="Tms Rmn"/>
          <w:noProof/>
        </w:rPr>
        <w:pict>
          <v:line id="_x0000_s1042" style="position:absolute;left:0;text-align:left;z-index:251654144;mso-position-horizontal-relative:text;mso-position-vertical-relative:text" from="138pt,8.2pt" to="289.25pt,8.25pt" o:allowincell="f" strokeweight="1pt">
            <v:stroke startarrowwidth="narrow" startarrowlength="short" endarrowwidth="narrow" endarrowlength="short"/>
          </v:line>
        </w:pict>
      </w:r>
    </w:p>
    <w:p w:rsidR="004336C9" w:rsidRDefault="00B25E82">
      <w:pPr>
        <w:spacing w:line="360" w:lineRule="atLeast"/>
        <w:ind w:right="-1" w:firstLine="340"/>
        <w:jc w:val="both"/>
        <w:rPr>
          <w:rFonts w:ascii="Antiqua" w:hAnsi="Antiqua"/>
          <w:sz w:val="24"/>
        </w:rPr>
      </w:pPr>
      <w:r>
        <w:rPr>
          <w:rFonts w:ascii="Antiqua" w:hAnsi="Antiqua"/>
          <w:sz w:val="24"/>
        </w:rPr>
        <w:t xml:space="preserve">                                     6,8,9</w:t>
      </w:r>
    </w:p>
    <w:p w:rsidR="004336C9" w:rsidRDefault="00CE788F">
      <w:pPr>
        <w:spacing w:line="360" w:lineRule="atLeast"/>
        <w:ind w:right="-1" w:firstLine="340"/>
        <w:jc w:val="both"/>
        <w:rPr>
          <w:rFonts w:ascii="Antiqua" w:hAnsi="Antiqua"/>
          <w:sz w:val="24"/>
        </w:rPr>
      </w:pPr>
      <w:r>
        <w:rPr>
          <w:rFonts w:ascii="Tms Rmn" w:hAnsi="Tms Rmn"/>
          <w:noProof/>
        </w:rPr>
        <w:pict>
          <v:line id="_x0000_s1063" style="position:absolute;left:0;text-align:left;z-index:251675648;mso-position-horizontal-relative:text;mso-position-vertical-relative:text" from="447.6pt,15.4pt" to="447.65pt,44.25pt" o:allowincell="f" strokeweight="1pt">
            <v:stroke startarrowwidth="narrow" startarrowlength="short" endarrowwidth="narrow" endarrowlength="short"/>
          </v:line>
        </w:pict>
      </w:r>
      <w:r>
        <w:rPr>
          <w:rFonts w:ascii="Tms Rmn" w:hAnsi="Tms Rmn"/>
          <w:noProof/>
        </w:rPr>
        <w:pict>
          <v:line id="_x0000_s1061" style="position:absolute;left:0;text-align:left;z-index:251673600;mso-position-horizontal-relative:text;mso-position-vertical-relative:text" from="339.6pt,15.4pt" to="339.65pt,44.25pt" o:allowincell="f" strokeweight="1pt">
            <v:stroke startarrowwidth="narrow" startarrowlength="short" endarrowwidth="narrow" endarrowlength="short"/>
          </v:line>
        </w:pict>
      </w:r>
      <w:r>
        <w:rPr>
          <w:rFonts w:ascii="Tms Rmn" w:hAnsi="Tms Rmn"/>
          <w:noProof/>
        </w:rPr>
        <w:pict>
          <v:line id="_x0000_s1060" style="position:absolute;left:0;text-align:left;z-index:251672576;mso-position-horizontal-relative:text;mso-position-vertical-relative:text" from="339.6pt,15.4pt" to="447.65pt,15.45pt" o:allowincell="f" strokeweight="1pt">
            <v:stroke startarrowwidth="narrow" startarrowlength="short" endarrowwidth="narrow" endarrowlength="short"/>
          </v:line>
        </w:pict>
      </w:r>
      <w:r>
        <w:rPr>
          <w:rFonts w:ascii="Tms Rmn" w:hAnsi="Tms Rmn"/>
          <w:noProof/>
        </w:rPr>
        <w:pict>
          <v:line id="_x0000_s1058" style="position:absolute;left:0;text-align:left;z-index:251670528;mso-position-horizontal-relative:text;mso-position-vertical-relative:text" from="267.6pt,15.4pt" to="267.65pt,51.45pt" o:allowincell="f" strokeweight="1pt">
            <v:stroke startarrowwidth="narrow" startarrowlength="short" endarrowwidth="narrow" endarrowlength="short"/>
          </v:line>
        </w:pict>
      </w:r>
      <w:r>
        <w:rPr>
          <w:rFonts w:ascii="Tms Rmn" w:hAnsi="Tms Rmn"/>
          <w:noProof/>
        </w:rPr>
        <w:pict>
          <v:line id="_x0000_s1055" style="position:absolute;left:0;text-align:left;z-index:251667456;mso-position-horizontal-relative:text;mso-position-vertical-relative:text" from="145.2pt,15.4pt" to="267.65pt,15.45pt" o:allowincell="f" strokeweight="1pt">
            <v:stroke startarrowwidth="narrow" startarrowlength="short" endarrowwidth="narrow" endarrowlength="short"/>
          </v:line>
        </w:pict>
      </w:r>
      <w:r>
        <w:rPr>
          <w:rFonts w:ascii="Tms Rmn" w:hAnsi="Tms Rmn"/>
          <w:noProof/>
        </w:rPr>
        <w:pict>
          <v:line id="_x0000_s1056" style="position:absolute;left:0;text-align:left;z-index:251668480;mso-position-horizontal-relative:text;mso-position-vertical-relative:text" from="145.2pt,15.4pt" to="145.25pt,51.45pt" o:allowincell="f" strokeweight="1pt">
            <v:stroke startarrowwidth="narrow" startarrowlength="short" endarrowwidth="narrow" endarrowlength="short"/>
          </v:line>
        </w:pict>
      </w:r>
    </w:p>
    <w:p w:rsidR="004336C9" w:rsidRDefault="00CE788F">
      <w:pPr>
        <w:spacing w:line="360" w:lineRule="atLeast"/>
        <w:ind w:right="-1" w:firstLine="340"/>
        <w:jc w:val="both"/>
        <w:rPr>
          <w:rFonts w:ascii="Antiqua" w:hAnsi="Antiqua"/>
          <w:sz w:val="24"/>
        </w:rPr>
      </w:pPr>
      <w:r>
        <w:rPr>
          <w:rFonts w:ascii="Tms Rmn" w:hAnsi="Tms Rmn"/>
          <w:noProof/>
        </w:rPr>
        <w:pict>
          <v:line id="_x0000_s1064" style="position:absolute;left:0;text-align:left;z-index:251676672;mso-position-horizontal-relative:text;mso-position-vertical-relative:text" from="267.6pt,11.8pt" to="339.65pt,11.85pt" o:allowincell="f" strokeweight="1pt">
            <v:stroke startarrowwidth="narrow" startarrowlength="short" endarrowwidth="narrow" endarrowlength="short"/>
          </v:line>
        </w:pict>
      </w:r>
      <w:r w:rsidR="00B25E82">
        <w:rPr>
          <w:rFonts w:ascii="Antiqua" w:hAnsi="Antiqua"/>
          <w:sz w:val="24"/>
        </w:rPr>
        <w:t xml:space="preserve">                                  Расчетная палата                     Биржевой склад</w:t>
      </w:r>
    </w:p>
    <w:p w:rsidR="004336C9" w:rsidRDefault="00CE788F">
      <w:pPr>
        <w:spacing w:line="360" w:lineRule="atLeast"/>
        <w:ind w:right="-1" w:firstLine="340"/>
        <w:jc w:val="both"/>
        <w:rPr>
          <w:rFonts w:ascii="Antiqua" w:hAnsi="Antiqua"/>
          <w:sz w:val="24"/>
        </w:rPr>
      </w:pPr>
      <w:r>
        <w:rPr>
          <w:rFonts w:ascii="Tms Rmn" w:hAnsi="Tms Rmn"/>
          <w:noProof/>
        </w:rPr>
        <w:pict>
          <v:line id="_x0000_s1062" style="position:absolute;left:0;text-align:left;z-index:251674624;mso-position-horizontal-relative:text;mso-position-vertical-relative:text" from="339.6pt,8.2pt" to="447.65pt,8.25pt" o:allowincell="f" strokeweight="1pt">
            <v:stroke startarrowwidth="narrow" startarrowlength="short" endarrowwidth="narrow" endarrowlength="short"/>
          </v:line>
        </w:pict>
      </w:r>
      <w:r>
        <w:rPr>
          <w:rFonts w:ascii="Tms Rmn" w:hAnsi="Tms Rmn"/>
          <w:noProof/>
        </w:rPr>
        <w:pict>
          <v:line id="_x0000_s1057" style="position:absolute;left:0;text-align:left;z-index:251669504;mso-position-horizontal-relative:text;mso-position-vertical-relative:text" from="145.2pt,15.4pt" to="267.65pt,15.45pt" o:allowincell="f" strokeweight="1pt">
            <v:stroke startarrowwidth="narrow" startarrowlength="short" endarrowwidth="narrow" endarrowlength="short"/>
          </v:line>
        </w:pict>
      </w:r>
      <w:r w:rsidR="00B25E82">
        <w:rPr>
          <w:rFonts w:ascii="Antiqua" w:hAnsi="Antiqua"/>
          <w:sz w:val="24"/>
        </w:rPr>
        <w:t xml:space="preserve">                                                       7</w:t>
      </w: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B25E82">
      <w:pPr>
        <w:spacing w:line="360" w:lineRule="atLeast"/>
        <w:ind w:right="-1" w:firstLine="340"/>
        <w:jc w:val="both"/>
        <w:rPr>
          <w:rFonts w:ascii="Antiqua" w:hAnsi="Antiqua"/>
          <w:sz w:val="24"/>
        </w:rPr>
      </w:pPr>
      <w:r>
        <w:rPr>
          <w:rFonts w:ascii="Antiqua" w:hAnsi="Antiqua"/>
          <w:sz w:val="24"/>
        </w:rPr>
        <w:t>Схема 1. Порядок заключения и исполнения сделок по фьючерсным контрактам.</w:t>
      </w:r>
    </w:p>
    <w:p w:rsidR="004336C9" w:rsidRDefault="004336C9">
      <w:pPr>
        <w:spacing w:line="360" w:lineRule="atLeast"/>
        <w:ind w:right="-1" w:firstLine="340"/>
        <w:jc w:val="both"/>
        <w:rPr>
          <w:rFonts w:ascii="Antiqua" w:hAnsi="Antiqua"/>
          <w:sz w:val="24"/>
        </w:rPr>
      </w:pPr>
    </w:p>
    <w:p w:rsidR="004336C9" w:rsidRDefault="00B25E82">
      <w:pPr>
        <w:spacing w:line="360" w:lineRule="atLeast"/>
        <w:ind w:right="-1" w:firstLine="340"/>
        <w:jc w:val="both"/>
        <w:rPr>
          <w:rFonts w:ascii="Antiqua" w:hAnsi="Antiqua"/>
          <w:sz w:val="24"/>
        </w:rPr>
      </w:pPr>
      <w:r>
        <w:rPr>
          <w:rFonts w:ascii="Antiqua" w:hAnsi="Antiqua"/>
          <w:i/>
          <w:sz w:val="24"/>
          <w:u w:val="single"/>
        </w:rPr>
        <w:t>1. Решение клиента.</w:t>
      </w:r>
      <w:r>
        <w:rPr>
          <w:rFonts w:ascii="Antiqua" w:hAnsi="Antiqua"/>
          <w:sz w:val="24"/>
        </w:rPr>
        <w:t xml:space="preserve"> Клиент оценивает ликвидность фьючерсных контрактов, т.е. их свободную и быструю куплю-продажу, определяет расходы, связанные с осуществлением купли-продажи. После этого клиент принимает решение о купле-продаже фьючерсных контрактов, т.е. об участии во фьючерсных торгах.</w:t>
      </w:r>
    </w:p>
    <w:p w:rsidR="004336C9" w:rsidRDefault="00B25E82">
      <w:pPr>
        <w:spacing w:line="360" w:lineRule="atLeast"/>
        <w:ind w:right="-1" w:firstLine="340"/>
        <w:jc w:val="both"/>
        <w:rPr>
          <w:rFonts w:ascii="Antiqua" w:hAnsi="Antiqua"/>
          <w:sz w:val="24"/>
        </w:rPr>
      </w:pPr>
      <w:r>
        <w:rPr>
          <w:rFonts w:ascii="Antiqua" w:hAnsi="Antiqua"/>
          <w:i/>
          <w:sz w:val="24"/>
          <w:u w:val="single"/>
        </w:rPr>
        <w:t>2. Заключение договора на брокерское обслуживание.</w:t>
      </w:r>
      <w:r>
        <w:rPr>
          <w:rFonts w:ascii="Antiqua" w:hAnsi="Antiqua"/>
          <w:sz w:val="24"/>
        </w:rPr>
        <w:t xml:space="preserve"> Непосредственное участие в торгах могут принимать посреднические фирмы и брокеры. Клиент устанавливает договорные отношения с фирмой, которая является посредником на фьючерсном рынке. Между ними заключается договор на брокерское обслуживание. По настоящему договору клиент поручает посреднической фирме:</w:t>
      </w:r>
    </w:p>
    <w:p w:rsidR="004336C9" w:rsidRDefault="00B25E82">
      <w:pPr>
        <w:spacing w:line="360" w:lineRule="atLeast"/>
        <w:ind w:right="-1" w:firstLine="340"/>
        <w:jc w:val="both"/>
        <w:rPr>
          <w:rFonts w:ascii="Antiqua" w:hAnsi="Antiqua"/>
          <w:sz w:val="24"/>
        </w:rPr>
      </w:pPr>
      <w:r>
        <w:rPr>
          <w:rFonts w:ascii="Antiqua" w:hAnsi="Antiqua"/>
          <w:sz w:val="24"/>
        </w:rPr>
        <w:t>- открыть для клиента в Расчетной палате лицевой счет;</w:t>
      </w:r>
    </w:p>
    <w:p w:rsidR="004336C9" w:rsidRDefault="00B25E82">
      <w:pPr>
        <w:spacing w:line="360" w:lineRule="atLeast"/>
        <w:ind w:right="-1" w:firstLine="340"/>
        <w:jc w:val="both"/>
        <w:rPr>
          <w:rFonts w:ascii="Antiqua" w:hAnsi="Antiqua"/>
          <w:sz w:val="24"/>
        </w:rPr>
      </w:pPr>
      <w:r>
        <w:rPr>
          <w:rFonts w:ascii="Antiqua" w:hAnsi="Antiqua"/>
          <w:sz w:val="24"/>
        </w:rPr>
        <w:t>- заключать сделки на куплю-продажу фьючерсных контрактов от имени и за счет клиента;</w:t>
      </w:r>
    </w:p>
    <w:p w:rsidR="004336C9" w:rsidRDefault="00B25E82">
      <w:pPr>
        <w:spacing w:line="360" w:lineRule="atLeast"/>
        <w:ind w:right="-1" w:firstLine="340"/>
        <w:jc w:val="both"/>
        <w:rPr>
          <w:rFonts w:ascii="Antiqua" w:hAnsi="Antiqua"/>
          <w:sz w:val="24"/>
        </w:rPr>
      </w:pPr>
      <w:r>
        <w:rPr>
          <w:rFonts w:ascii="Antiqua" w:hAnsi="Antiqua"/>
          <w:sz w:val="24"/>
        </w:rPr>
        <w:t>- предоставлять клиенту информационные и консультационные услуги, связанные с торговлей фьючерсными контрактами;</w:t>
      </w:r>
    </w:p>
    <w:p w:rsidR="004336C9" w:rsidRDefault="00B25E82">
      <w:pPr>
        <w:spacing w:line="360" w:lineRule="atLeast"/>
        <w:ind w:right="-1" w:firstLine="340"/>
        <w:jc w:val="both"/>
        <w:rPr>
          <w:rFonts w:ascii="Antiqua" w:hAnsi="Antiqua"/>
          <w:sz w:val="24"/>
        </w:rPr>
      </w:pPr>
      <w:r>
        <w:rPr>
          <w:rFonts w:ascii="Antiqua" w:hAnsi="Antiqua"/>
          <w:sz w:val="24"/>
        </w:rPr>
        <w:t>- оформлять от имени клиента все необходимые документы на фьючерсном рынке;</w:t>
      </w:r>
    </w:p>
    <w:p w:rsidR="004336C9" w:rsidRDefault="00B25E82">
      <w:pPr>
        <w:spacing w:line="360" w:lineRule="atLeast"/>
        <w:ind w:right="-1" w:firstLine="340"/>
        <w:jc w:val="both"/>
        <w:rPr>
          <w:rFonts w:ascii="Antiqua" w:hAnsi="Antiqua"/>
          <w:sz w:val="24"/>
        </w:rPr>
      </w:pPr>
      <w:r>
        <w:rPr>
          <w:rFonts w:ascii="Antiqua" w:hAnsi="Antiqua"/>
          <w:sz w:val="24"/>
        </w:rPr>
        <w:t>- следить за состоянием лицевого счета.</w:t>
      </w:r>
    </w:p>
    <w:p w:rsidR="004336C9" w:rsidRDefault="00B25E82">
      <w:pPr>
        <w:spacing w:line="360" w:lineRule="atLeast"/>
        <w:ind w:right="-1" w:firstLine="340"/>
        <w:jc w:val="both"/>
        <w:rPr>
          <w:rFonts w:ascii="Antiqua" w:hAnsi="Antiqua"/>
          <w:sz w:val="24"/>
        </w:rPr>
      </w:pPr>
      <w:r>
        <w:rPr>
          <w:rFonts w:ascii="Antiqua" w:hAnsi="Antiqua"/>
          <w:sz w:val="24"/>
        </w:rPr>
        <w:t>Неотъемлемой частью договора на оказание брокерских услуг является соглашение о счете. Все расчеты с лицевыми счетами клиента Расчетная палата осуществляет на основании соглашения о счете, в котором содержится информация о юридическом адресе, банковских реквизитах клиента, размерах его годового дохода и риско-капитала. По настоящему соглашению клиенту предоставляется право осуществлять операции с биржевыми фьючерсными контрактами, а также производить расчеты через своего брокера. Соглашение также регламентирует величину брокерских комиссионных за один контракт в случае выполнения заказа. Комиссионные обычно не превышают 1% от суммы сделки.</w:t>
      </w:r>
    </w:p>
    <w:p w:rsidR="004336C9" w:rsidRDefault="00B25E82">
      <w:pPr>
        <w:spacing w:line="360" w:lineRule="atLeast"/>
        <w:ind w:right="-1" w:firstLine="340"/>
        <w:jc w:val="both"/>
        <w:rPr>
          <w:rFonts w:ascii="Antiqua" w:hAnsi="Antiqua"/>
          <w:sz w:val="24"/>
        </w:rPr>
      </w:pPr>
      <w:r>
        <w:rPr>
          <w:rFonts w:ascii="Antiqua" w:hAnsi="Antiqua"/>
          <w:sz w:val="24"/>
        </w:rPr>
        <w:t>Кроме соглашения о счете на подпись клиенту дается и заявление, раскрывающее риски, которое содержит предостерегающую информацию. Клиенту предлагается тщательно взвесить, подходит ли ему участие в торговле фьючерсными контрактами в свете его финансового состояния. Среди рисков, как правило, выделяются следующие:</w:t>
      </w:r>
    </w:p>
    <w:p w:rsidR="004336C9" w:rsidRDefault="00B25E82">
      <w:pPr>
        <w:spacing w:line="360" w:lineRule="atLeast"/>
        <w:ind w:right="-1" w:firstLine="340"/>
        <w:jc w:val="both"/>
        <w:rPr>
          <w:rFonts w:ascii="Antiqua" w:hAnsi="Antiqua"/>
          <w:sz w:val="24"/>
        </w:rPr>
      </w:pPr>
      <w:r>
        <w:rPr>
          <w:rFonts w:ascii="Antiqua" w:hAnsi="Antiqua"/>
          <w:sz w:val="24"/>
        </w:rPr>
        <w:t>- возможность потерять полностью первоначальный взнос средств и любые дополнительные средства, которые вносятся брокеру для установления и поддержания позиции на фьючерсном рынке. Если рынок движется против выбранной позиции, брокер может потребовать внесения значительной суммы дополнительных средств. При невнесении требуемых средств в течение предписанного времени позиция может быть ликвидирована с убытком;</w:t>
      </w:r>
    </w:p>
    <w:p w:rsidR="004336C9" w:rsidRDefault="00B25E82">
      <w:pPr>
        <w:spacing w:line="360" w:lineRule="atLeast"/>
        <w:ind w:right="-1" w:firstLine="340"/>
        <w:jc w:val="both"/>
        <w:rPr>
          <w:rFonts w:ascii="Antiqua" w:hAnsi="Antiqua"/>
          <w:sz w:val="24"/>
        </w:rPr>
      </w:pPr>
      <w:r>
        <w:rPr>
          <w:rFonts w:ascii="Antiqua" w:hAnsi="Antiqua"/>
          <w:sz w:val="24"/>
        </w:rPr>
        <w:t>- когда на рынке происходит максимально допустимое изменение цены, позицию очень трудно ликвидировать;</w:t>
      </w:r>
    </w:p>
    <w:p w:rsidR="004336C9" w:rsidRDefault="00B25E82">
      <w:pPr>
        <w:spacing w:line="360" w:lineRule="atLeast"/>
        <w:ind w:right="-1" w:firstLine="340"/>
        <w:jc w:val="both"/>
        <w:rPr>
          <w:rFonts w:ascii="Antiqua" w:hAnsi="Antiqua"/>
          <w:sz w:val="24"/>
        </w:rPr>
      </w:pPr>
      <w:r>
        <w:rPr>
          <w:rFonts w:ascii="Antiqua" w:hAnsi="Antiqua"/>
          <w:sz w:val="24"/>
        </w:rPr>
        <w:t>- оценка убытков затруднена, и возможный риск может превышать предоставленные гарантии.</w:t>
      </w:r>
    </w:p>
    <w:p w:rsidR="004336C9" w:rsidRDefault="00B25E82">
      <w:pPr>
        <w:spacing w:line="360" w:lineRule="atLeast"/>
        <w:ind w:right="-1" w:firstLine="340"/>
        <w:jc w:val="both"/>
        <w:rPr>
          <w:rFonts w:ascii="Antiqua" w:hAnsi="Antiqua"/>
          <w:sz w:val="24"/>
        </w:rPr>
      </w:pPr>
      <w:r>
        <w:rPr>
          <w:rFonts w:ascii="Antiqua" w:hAnsi="Antiqua"/>
          <w:sz w:val="24"/>
        </w:rPr>
        <w:t>Договором на брокерское обслуживание также определяются срок действия договор и условия его прекращения, порядок исполнения поручений клиента, осуществление расчетов, ответственность сторон и порядок рассмотрения споров.</w:t>
      </w:r>
    </w:p>
    <w:p w:rsidR="004336C9" w:rsidRDefault="00B25E82">
      <w:pPr>
        <w:spacing w:line="360" w:lineRule="atLeast"/>
        <w:ind w:right="-1" w:firstLine="340"/>
        <w:jc w:val="both"/>
        <w:rPr>
          <w:rFonts w:ascii="Antiqua" w:hAnsi="Antiqua"/>
          <w:sz w:val="24"/>
        </w:rPr>
      </w:pPr>
      <w:r>
        <w:rPr>
          <w:rFonts w:ascii="Antiqua" w:hAnsi="Antiqua"/>
          <w:i/>
          <w:sz w:val="24"/>
          <w:u w:val="single"/>
        </w:rPr>
        <w:t>3. Заключение договора на обслуживание с членом РП</w:t>
      </w:r>
      <w:r>
        <w:rPr>
          <w:rFonts w:ascii="Antiqua" w:hAnsi="Antiqua"/>
          <w:sz w:val="24"/>
        </w:rPr>
        <w:t>. Посредническая фирма устанавливает договорные отношения с членом РП при помощи заключения соответствующего договора. Обычно посредническая фирма имеет договор с членом РП и не перезаключает его для каждого нового клиента.</w:t>
      </w:r>
    </w:p>
    <w:p w:rsidR="004336C9" w:rsidRDefault="00B25E82">
      <w:pPr>
        <w:spacing w:line="360" w:lineRule="atLeast"/>
        <w:ind w:right="-1" w:firstLine="340"/>
        <w:jc w:val="both"/>
        <w:rPr>
          <w:rFonts w:ascii="Antiqua" w:hAnsi="Antiqua"/>
          <w:sz w:val="24"/>
        </w:rPr>
      </w:pPr>
      <w:r>
        <w:rPr>
          <w:rFonts w:ascii="Antiqua" w:hAnsi="Antiqua"/>
          <w:i/>
          <w:sz w:val="24"/>
          <w:u w:val="single"/>
        </w:rPr>
        <w:t>4. Заказ клиента.</w:t>
      </w:r>
      <w:r>
        <w:rPr>
          <w:rFonts w:ascii="Antiqua" w:hAnsi="Antiqua"/>
          <w:sz w:val="24"/>
        </w:rPr>
        <w:t xml:space="preserve"> Чтобы биржевой посредник выполнил задание клиента, последний должен предоставить ему заявку на выполнение определенных операций в процессе биржевых торгов. В практике биржевой торговли такие заявки называются торговыми поручениями. Они должны содержать точные указания, касающиеся вида сделки (покупка или продажа), количества контрактов, срока и формы поставки, формы оплаты, даты и количества торгов, условий относительно цены. Точное значение цены, как правило, не устанавливается, а дается лишь указание, в соответствии с которым цену устанавливает брокер в ходе биржевых торгов. Клиент может давать брокеру следующие виды торговых поручений:</w:t>
      </w:r>
    </w:p>
    <w:p w:rsidR="004336C9" w:rsidRDefault="00B25E82">
      <w:pPr>
        <w:spacing w:line="360" w:lineRule="atLeast"/>
        <w:ind w:right="-1" w:firstLine="340"/>
        <w:jc w:val="both"/>
        <w:rPr>
          <w:rFonts w:ascii="Antiqua" w:hAnsi="Antiqua"/>
          <w:sz w:val="24"/>
        </w:rPr>
      </w:pPr>
      <w:r>
        <w:rPr>
          <w:rFonts w:ascii="Antiqua" w:hAnsi="Antiqua"/>
          <w:sz w:val="24"/>
        </w:rPr>
        <w:t>- купить или продать по биржевой (рыночной) цене. На бланке заявки цена не ставится;</w:t>
      </w:r>
    </w:p>
    <w:p w:rsidR="004336C9" w:rsidRDefault="00B25E82">
      <w:pPr>
        <w:spacing w:line="360" w:lineRule="atLeast"/>
        <w:ind w:right="-1" w:firstLine="340"/>
        <w:jc w:val="both"/>
        <w:rPr>
          <w:rFonts w:ascii="Antiqua" w:hAnsi="Antiqua"/>
          <w:sz w:val="24"/>
        </w:rPr>
      </w:pPr>
      <w:r>
        <w:rPr>
          <w:rFonts w:ascii="Antiqua" w:hAnsi="Antiqua"/>
          <w:sz w:val="24"/>
        </w:rPr>
        <w:t>- купить или продать по “наилучшей цене дня” - исполняется по самой низкой для покупки и самой высокой для продажи цене по результатам сессий биржевого дня;</w:t>
      </w:r>
    </w:p>
    <w:p w:rsidR="004336C9" w:rsidRDefault="00B25E82">
      <w:pPr>
        <w:spacing w:line="360" w:lineRule="atLeast"/>
        <w:ind w:right="-1" w:firstLine="340"/>
        <w:jc w:val="both"/>
        <w:rPr>
          <w:rFonts w:ascii="Antiqua" w:hAnsi="Antiqua"/>
          <w:sz w:val="24"/>
        </w:rPr>
      </w:pPr>
      <w:r>
        <w:rPr>
          <w:rFonts w:ascii="Antiqua" w:hAnsi="Antiqua"/>
          <w:sz w:val="24"/>
        </w:rPr>
        <w:t>- купить или продать по определенной цене. Выполняется брокером сразу же после поручения или в тот момент, когда цена достигнет заданного уровня. [4, с. 24]</w:t>
      </w:r>
    </w:p>
    <w:p w:rsidR="004336C9" w:rsidRDefault="00B25E82">
      <w:pPr>
        <w:spacing w:line="360" w:lineRule="atLeast"/>
        <w:ind w:right="-1" w:firstLine="340"/>
        <w:jc w:val="both"/>
        <w:rPr>
          <w:rFonts w:ascii="Antiqua" w:hAnsi="Antiqua"/>
          <w:sz w:val="24"/>
        </w:rPr>
      </w:pPr>
      <w:r>
        <w:rPr>
          <w:rFonts w:ascii="Antiqua" w:hAnsi="Antiqua"/>
          <w:i/>
          <w:sz w:val="24"/>
          <w:u w:val="single"/>
        </w:rPr>
        <w:t>5. Выполнение заказа.</w:t>
      </w:r>
      <w:r>
        <w:rPr>
          <w:rFonts w:ascii="Antiqua" w:hAnsi="Antiqua"/>
          <w:sz w:val="24"/>
        </w:rPr>
        <w:t xml:space="preserve"> Заказ выполняется в процессе торга на бирже. Сделки с фьючерсными контрактами совершаются в одной или нескольких секциях биржевого зала или в отдельном помещении. Операционный зал биржи может делиться на питы и ринги. На крупных биржах торговый пит обычно располагается тремя или четырьмя ярусами. Ринг - более мелкая площадка, обычно предназначенная для торгов более “легким активом”.</w:t>
      </w:r>
    </w:p>
    <w:p w:rsidR="004336C9" w:rsidRDefault="00B25E82">
      <w:pPr>
        <w:spacing w:line="360" w:lineRule="atLeast"/>
        <w:ind w:right="-1" w:firstLine="340"/>
        <w:jc w:val="both"/>
        <w:rPr>
          <w:rFonts w:ascii="Antiqua" w:hAnsi="Antiqua"/>
          <w:sz w:val="24"/>
        </w:rPr>
      </w:pPr>
      <w:r>
        <w:rPr>
          <w:rFonts w:ascii="Antiqua" w:hAnsi="Antiqua"/>
          <w:sz w:val="24"/>
        </w:rPr>
        <w:t>Организация торгов на разных биржах может в некоторых деталях различаться, однако основные правила должны отвечать мировым стандартам.</w:t>
      </w:r>
    </w:p>
    <w:p w:rsidR="004336C9" w:rsidRDefault="00B25E82">
      <w:pPr>
        <w:spacing w:line="360" w:lineRule="atLeast"/>
        <w:ind w:right="-1" w:firstLine="340"/>
        <w:jc w:val="both"/>
        <w:rPr>
          <w:rFonts w:ascii="Antiqua" w:hAnsi="Antiqua"/>
          <w:sz w:val="24"/>
        </w:rPr>
      </w:pPr>
      <w:r>
        <w:rPr>
          <w:rFonts w:ascii="Antiqua" w:hAnsi="Antiqua"/>
          <w:sz w:val="24"/>
        </w:rPr>
        <w:t>Так, на МТБ участники методом “свободного выкрика” подают свои заявки на продажу или покупку контрактов операторам ЭВМ, которые затем вводят эти заявки в компьютерную систему. Поданные заявки высвечиваются на информационном табло, установленном в торговом зале, что позволяет брокерам визуально наблюдать на экране непрерывный ход торговой сессии и контролировать ситуацию на рынке. Сделки фиксируются автоматически через электронную систему на основании выставленных брокерами заявок в случае превышения ценой покупателя цены продавца или в случае совпадения цен. Таким образом, цена контракта складывается в результате возникновения соотношения спроса и предложения. Удовлетворенные заявки или части заявок изымаются из общего списка и выполняются по этой цене, а оставшиеся заявки продолжают участие в торгах. Объем заключаемых сделок ограничен только скоростью работы операторов и функционирования электронной системы торгов. Пропускная способность существующей системы позволяет заключать свыше 500 сделок в течение 40 минут торговой сессии. [11, с. 7]</w:t>
      </w:r>
    </w:p>
    <w:p w:rsidR="004336C9" w:rsidRDefault="00B25E82">
      <w:pPr>
        <w:spacing w:line="360" w:lineRule="atLeast"/>
        <w:ind w:right="-1" w:firstLine="340"/>
        <w:jc w:val="both"/>
        <w:rPr>
          <w:rFonts w:ascii="Antiqua" w:hAnsi="Antiqua"/>
          <w:sz w:val="24"/>
        </w:rPr>
      </w:pPr>
      <w:r>
        <w:rPr>
          <w:rFonts w:ascii="Antiqua" w:hAnsi="Antiqua"/>
          <w:sz w:val="24"/>
        </w:rPr>
        <w:t>Торговля срочными контрактами на МЦФБ осуществляется также с помощью автоматической компьютерной системы. Согласно правилам торговли, брокеры вводят заявки через торгующие терминалы, установленные в биржевом зале. На экране терминала высвечивается информация о состоянии рынка, необходимая брокеру для участия в торгах. В ходе торгов через равные промежутки времени (фиксинги; сейчас две минуты) осуществляется фиксирование цены. В центральном компьютере, куда поступают все заявки с терминалов, определяется текущий курс, по которому совершаются все сделки в пределах данного фиксинга. Этот курс рассчитывается автоматически по всем введенным заявкам. Критерием для его определения является максимальное по объему количество заявок, которое при этом курсе может быть удовлетворено. Принципиальным отличием этой технологии от используемой на МТБ является его более высокая “пропускная способность”.</w:t>
      </w:r>
    </w:p>
    <w:p w:rsidR="004336C9" w:rsidRDefault="00B25E82">
      <w:pPr>
        <w:spacing w:line="360" w:lineRule="atLeast"/>
        <w:ind w:right="-1" w:firstLine="340"/>
        <w:jc w:val="both"/>
        <w:rPr>
          <w:rFonts w:ascii="Antiqua" w:hAnsi="Antiqua"/>
          <w:sz w:val="24"/>
        </w:rPr>
      </w:pPr>
      <w:r>
        <w:rPr>
          <w:rFonts w:ascii="Antiqua" w:hAnsi="Antiqua"/>
          <w:sz w:val="24"/>
        </w:rPr>
        <w:t>При классическом варианте организации торговли фьючерсными контрактами (ТМБ ”Гермес”) торговым действием руководит биржевой распорядитель. Вокруг него концентрируются брокеры и дилеры. Распорядитель обычно работает с одним видом актива. Он устанавливает цены на открытие и фиксирует их на закрытие торгового дня, на основе торговых карточек регистрирует приказы участников на покупку и продажу, предоставляет информацию о сиюминутном состоянии рынка и вводит торговую информацию в компьютер. Процедура торговли фьючерсными контрактами начинается с ротации, т.е. с выяснения размера цены фьючерсных контрактов, которые просят продавцы и предлагают покупатели. Утренняя ротация несколько отстоит от начала работы биржи. В этом интервале брокеры и дилеры могут делать заявки на куплю и продажу; наряду с этим участвуют предложения, сохранившие свою силу еще с предыдущего торгового дня. Начав ротацию, распорядитель объявляет максимальную цену спроса и минимальную цену предложения, что и составляет котировку на начало дня. Участники реагируют на объявление котировки новыми сближающими цены предложениями. Если предложение не принимается, то делается следующее предложение. После того, как первая сделка прошла, распорядитель предоставляет возможность всем желающим заключить и другие сделки по этой цене.</w:t>
      </w:r>
    </w:p>
    <w:p w:rsidR="004336C9" w:rsidRDefault="00B25E82">
      <w:pPr>
        <w:spacing w:line="360" w:lineRule="atLeast"/>
        <w:ind w:right="-1" w:firstLine="340"/>
        <w:jc w:val="both"/>
        <w:rPr>
          <w:rFonts w:ascii="Antiqua" w:hAnsi="Antiqua"/>
          <w:sz w:val="24"/>
        </w:rPr>
      </w:pPr>
      <w:r>
        <w:rPr>
          <w:rFonts w:ascii="Antiqua" w:hAnsi="Antiqua"/>
          <w:i/>
          <w:sz w:val="24"/>
          <w:u w:val="single"/>
        </w:rPr>
        <w:t>6. Сведения о прошедших торгах.</w:t>
      </w:r>
      <w:r>
        <w:rPr>
          <w:rFonts w:ascii="Antiqua" w:hAnsi="Antiqua"/>
          <w:sz w:val="24"/>
        </w:rPr>
        <w:t xml:space="preserve"> Биржа передает сведения о заключенных фьючерсных сделках в соответствующие информационные системы, которые распространяют котировки цен по всему миру.</w:t>
      </w:r>
    </w:p>
    <w:p w:rsidR="004336C9" w:rsidRDefault="00B25E82">
      <w:pPr>
        <w:spacing w:line="360" w:lineRule="atLeast"/>
        <w:ind w:right="-1" w:firstLine="340"/>
        <w:jc w:val="both"/>
        <w:rPr>
          <w:rFonts w:ascii="Antiqua" w:hAnsi="Antiqua"/>
          <w:sz w:val="24"/>
        </w:rPr>
      </w:pPr>
      <w:r>
        <w:rPr>
          <w:rFonts w:ascii="Antiqua" w:hAnsi="Antiqua"/>
          <w:i/>
          <w:sz w:val="24"/>
          <w:u w:val="single"/>
        </w:rPr>
        <w:t>7. Расчеты по сделкам</w:t>
      </w:r>
      <w:r>
        <w:rPr>
          <w:rFonts w:ascii="Antiqua" w:hAnsi="Antiqua"/>
          <w:sz w:val="24"/>
        </w:rPr>
        <w:t>. Совершая сделку, обе стороны вносят на биржу залог. Данная сумма носит название гарантийной маржи, а счет, на который она вносится - маржевый счет. Обычно ее размер колеблется в пределах от 5 до 15% от текущей стоимости сделки. Гарантийная маржа может быть внесена как российскими рублями, так и векселями или иными ликвидными ценными бумагами, а также иностранной валютой. По результатам торгов РП производит ежедневным расчет прибылей и убытков (клиринг). Основой для ежедневных расчетов прибылей и убытков является котировочная цена торговой сессии. Способы установления котировочной цены по каждому виду контракта определены его условиями. Обычно она представляет собой среднее значение фьючерсных цен, по которым фьючерсные контракты продавались в конце торгового дня.</w:t>
      </w:r>
    </w:p>
    <w:p w:rsidR="004336C9" w:rsidRDefault="00B25E82">
      <w:pPr>
        <w:spacing w:line="360" w:lineRule="atLeast"/>
        <w:ind w:right="-1" w:firstLine="340"/>
        <w:jc w:val="both"/>
        <w:rPr>
          <w:rFonts w:ascii="Antiqua" w:hAnsi="Antiqua"/>
          <w:sz w:val="24"/>
        </w:rPr>
      </w:pPr>
      <w:r>
        <w:rPr>
          <w:rFonts w:ascii="Antiqua" w:hAnsi="Antiqua"/>
          <w:sz w:val="24"/>
        </w:rPr>
        <w:t>В результате клиринга на счет каждого участника торговли записывается сумма, полученная в результате его выигрыша или проигрыша. Ежедневным выигрышем или проигрышем участника фьючерсной торговли является вариационная маржа, определяемая по окончании торговой сессии для каждой сделки по формулам [1, c. 40]:</w:t>
      </w:r>
    </w:p>
    <w:p w:rsidR="004336C9" w:rsidRDefault="00B25E82">
      <w:pPr>
        <w:spacing w:line="360" w:lineRule="atLeast"/>
        <w:ind w:right="-1" w:firstLine="340"/>
        <w:jc w:val="both"/>
        <w:rPr>
          <w:rFonts w:ascii="Antiqua" w:hAnsi="Antiqua"/>
          <w:sz w:val="24"/>
        </w:rPr>
      </w:pPr>
      <w:r>
        <w:rPr>
          <w:rFonts w:ascii="Antiqua" w:hAnsi="Antiqua"/>
          <w:sz w:val="24"/>
        </w:rPr>
        <w:t>а) при расчете по позиции, открытой в текущий рабочий день</w:t>
      </w:r>
    </w:p>
    <w:p w:rsidR="004336C9" w:rsidRDefault="00B25E82">
      <w:pPr>
        <w:spacing w:line="360" w:lineRule="atLeast"/>
        <w:ind w:right="-1" w:firstLine="340"/>
        <w:jc w:val="both"/>
        <w:rPr>
          <w:rFonts w:ascii="Antiqua" w:hAnsi="Antiqua"/>
          <w:sz w:val="24"/>
        </w:rPr>
      </w:pPr>
      <w:r>
        <w:rPr>
          <w:rFonts w:ascii="Antiqua" w:hAnsi="Antiqua"/>
          <w:sz w:val="24"/>
        </w:rPr>
        <w:tab/>
      </w:r>
      <w:r>
        <w:rPr>
          <w:rFonts w:ascii="Antiqua" w:hAnsi="Antiqua"/>
          <w:sz w:val="24"/>
        </w:rPr>
        <w:tab/>
      </w:r>
      <w:r>
        <w:rPr>
          <w:rFonts w:ascii="Antiqua" w:hAnsi="Antiqua"/>
          <w:sz w:val="24"/>
        </w:rPr>
        <w:tab/>
      </w:r>
      <w:r>
        <w:rPr>
          <w:rFonts w:ascii="Antiqua" w:hAnsi="Antiqua"/>
          <w:sz w:val="24"/>
        </w:rPr>
        <w:tab/>
        <w:t>Мо = Ст - Со , где</w:t>
      </w:r>
    </w:p>
    <w:p w:rsidR="004336C9" w:rsidRDefault="00B25E82">
      <w:pPr>
        <w:spacing w:line="360" w:lineRule="atLeast"/>
        <w:ind w:right="-1" w:firstLine="340"/>
        <w:jc w:val="both"/>
        <w:rPr>
          <w:rFonts w:ascii="Antiqua" w:hAnsi="Antiqua"/>
          <w:sz w:val="24"/>
        </w:rPr>
      </w:pPr>
      <w:r>
        <w:rPr>
          <w:rFonts w:ascii="Antiqua" w:hAnsi="Antiqua"/>
          <w:sz w:val="24"/>
        </w:rPr>
        <w:t>Мо - вариационная маржа по позиции, открытой в ходе торговой сессии;</w:t>
      </w:r>
    </w:p>
    <w:p w:rsidR="004336C9" w:rsidRDefault="00B25E82">
      <w:pPr>
        <w:spacing w:line="360" w:lineRule="atLeast"/>
        <w:ind w:right="-1" w:firstLine="340"/>
        <w:jc w:val="both"/>
        <w:rPr>
          <w:rFonts w:ascii="Antiqua" w:hAnsi="Antiqua"/>
          <w:sz w:val="24"/>
        </w:rPr>
      </w:pPr>
      <w:r>
        <w:rPr>
          <w:rFonts w:ascii="Antiqua" w:hAnsi="Antiqua"/>
          <w:sz w:val="24"/>
        </w:rPr>
        <w:t>Ст - стоимость контракта по котировочной цене текущей торговой сессии;</w:t>
      </w:r>
    </w:p>
    <w:p w:rsidR="004336C9" w:rsidRDefault="00B25E82">
      <w:pPr>
        <w:spacing w:line="360" w:lineRule="atLeast"/>
        <w:ind w:right="-1" w:firstLine="340"/>
        <w:jc w:val="both"/>
        <w:rPr>
          <w:rFonts w:ascii="Antiqua" w:hAnsi="Antiqua"/>
          <w:sz w:val="24"/>
        </w:rPr>
      </w:pPr>
      <w:r>
        <w:rPr>
          <w:rFonts w:ascii="Antiqua" w:hAnsi="Antiqua"/>
          <w:sz w:val="24"/>
        </w:rPr>
        <w:t>Со - стоимость контракта в момент открытия позиции.</w:t>
      </w:r>
    </w:p>
    <w:p w:rsidR="004336C9" w:rsidRDefault="00B25E82">
      <w:pPr>
        <w:spacing w:line="360" w:lineRule="atLeast"/>
        <w:ind w:right="-1" w:firstLine="340"/>
        <w:jc w:val="both"/>
        <w:rPr>
          <w:rFonts w:ascii="Antiqua" w:hAnsi="Antiqua"/>
          <w:sz w:val="24"/>
        </w:rPr>
      </w:pPr>
      <w:r>
        <w:rPr>
          <w:rFonts w:ascii="Antiqua" w:hAnsi="Antiqua"/>
          <w:sz w:val="24"/>
        </w:rPr>
        <w:t>б) маржа начисляется и в том случае, если участник фьючерсной торговли не совершал сделок на текущей торговой сессии, но имел к ее началу открытые позиции. По каждой открытой позиции маржа определяется по следующей формуле [1, c. 40]:</w:t>
      </w:r>
    </w:p>
    <w:p w:rsidR="004336C9" w:rsidRDefault="00B25E82">
      <w:pPr>
        <w:spacing w:line="360" w:lineRule="atLeast"/>
        <w:ind w:right="-1" w:firstLine="340"/>
        <w:jc w:val="both"/>
        <w:rPr>
          <w:rFonts w:ascii="Antiqua" w:hAnsi="Antiqua"/>
          <w:sz w:val="24"/>
        </w:rPr>
      </w:pPr>
      <w:r>
        <w:rPr>
          <w:rFonts w:ascii="Antiqua" w:hAnsi="Antiqua"/>
          <w:sz w:val="24"/>
        </w:rPr>
        <w:tab/>
      </w:r>
      <w:r>
        <w:rPr>
          <w:rFonts w:ascii="Antiqua" w:hAnsi="Antiqua"/>
          <w:sz w:val="24"/>
        </w:rPr>
        <w:tab/>
      </w:r>
      <w:r>
        <w:rPr>
          <w:rFonts w:ascii="Antiqua" w:hAnsi="Antiqua"/>
          <w:sz w:val="24"/>
        </w:rPr>
        <w:tab/>
      </w:r>
      <w:r>
        <w:rPr>
          <w:rFonts w:ascii="Antiqua" w:hAnsi="Antiqua"/>
          <w:sz w:val="24"/>
        </w:rPr>
        <w:tab/>
        <w:t>Мт = Ст - Сп , где</w:t>
      </w:r>
    </w:p>
    <w:p w:rsidR="004336C9" w:rsidRDefault="00B25E82">
      <w:pPr>
        <w:spacing w:line="360" w:lineRule="atLeast"/>
        <w:ind w:right="-1" w:firstLine="340"/>
        <w:jc w:val="both"/>
        <w:rPr>
          <w:rFonts w:ascii="Antiqua" w:hAnsi="Antiqua"/>
          <w:sz w:val="24"/>
        </w:rPr>
      </w:pPr>
      <w:r>
        <w:rPr>
          <w:rFonts w:ascii="Antiqua" w:hAnsi="Antiqua"/>
          <w:sz w:val="24"/>
        </w:rPr>
        <w:t>Мт - вариационная маржа по позиции, открытой до текущего торгового дня;</w:t>
      </w:r>
    </w:p>
    <w:p w:rsidR="004336C9" w:rsidRDefault="00B25E82">
      <w:pPr>
        <w:spacing w:line="360" w:lineRule="atLeast"/>
        <w:ind w:right="-1" w:firstLine="340"/>
        <w:jc w:val="both"/>
        <w:rPr>
          <w:rFonts w:ascii="Antiqua" w:hAnsi="Antiqua"/>
          <w:sz w:val="24"/>
        </w:rPr>
      </w:pPr>
      <w:r>
        <w:rPr>
          <w:rFonts w:ascii="Antiqua" w:hAnsi="Antiqua"/>
          <w:sz w:val="24"/>
        </w:rPr>
        <w:t>Ст - стоимость контракта по котировочной цене текущей торговой сессии;</w:t>
      </w:r>
    </w:p>
    <w:p w:rsidR="004336C9" w:rsidRDefault="00B25E82">
      <w:pPr>
        <w:spacing w:line="360" w:lineRule="atLeast"/>
        <w:ind w:right="-1" w:firstLine="340"/>
        <w:jc w:val="both"/>
        <w:rPr>
          <w:rFonts w:ascii="Antiqua" w:hAnsi="Antiqua"/>
          <w:sz w:val="24"/>
        </w:rPr>
      </w:pPr>
      <w:r>
        <w:rPr>
          <w:rFonts w:ascii="Antiqua" w:hAnsi="Antiqua"/>
          <w:sz w:val="24"/>
        </w:rPr>
        <w:t>Сп - стоимость контракта по котировочной цене предыдущего торгового дня.</w:t>
      </w:r>
    </w:p>
    <w:p w:rsidR="004336C9" w:rsidRDefault="00B25E82">
      <w:pPr>
        <w:spacing w:line="360" w:lineRule="atLeast"/>
        <w:ind w:right="-1" w:firstLine="340"/>
        <w:jc w:val="both"/>
        <w:rPr>
          <w:rFonts w:ascii="Antiqua" w:hAnsi="Antiqua"/>
          <w:sz w:val="24"/>
        </w:rPr>
      </w:pPr>
      <w:r>
        <w:rPr>
          <w:rFonts w:ascii="Antiqua" w:hAnsi="Antiqua"/>
          <w:sz w:val="24"/>
        </w:rPr>
        <w:t>в) при закрытии позиции начисляется маржа, определяемая по формуле [1, c. 40]:</w:t>
      </w:r>
    </w:p>
    <w:p w:rsidR="004336C9" w:rsidRDefault="00B25E82">
      <w:pPr>
        <w:spacing w:line="360" w:lineRule="atLeast"/>
        <w:ind w:right="-1" w:firstLine="340"/>
        <w:jc w:val="both"/>
        <w:rPr>
          <w:rFonts w:ascii="Antiqua" w:hAnsi="Antiqua"/>
          <w:sz w:val="24"/>
        </w:rPr>
      </w:pPr>
      <w:r>
        <w:rPr>
          <w:rFonts w:ascii="Antiqua" w:hAnsi="Antiqua"/>
          <w:sz w:val="24"/>
        </w:rPr>
        <w:tab/>
      </w:r>
      <w:r>
        <w:rPr>
          <w:rFonts w:ascii="Antiqua" w:hAnsi="Antiqua"/>
          <w:sz w:val="24"/>
        </w:rPr>
        <w:tab/>
      </w:r>
      <w:r>
        <w:rPr>
          <w:rFonts w:ascii="Antiqua" w:hAnsi="Antiqua"/>
          <w:sz w:val="24"/>
        </w:rPr>
        <w:tab/>
      </w:r>
      <w:r>
        <w:rPr>
          <w:rFonts w:ascii="Antiqua" w:hAnsi="Antiqua"/>
          <w:sz w:val="24"/>
        </w:rPr>
        <w:tab/>
        <w:t>Мз = Сз - Сп , где</w:t>
      </w:r>
    </w:p>
    <w:p w:rsidR="004336C9" w:rsidRDefault="00B25E82">
      <w:pPr>
        <w:spacing w:line="360" w:lineRule="atLeast"/>
        <w:ind w:right="-1" w:firstLine="340"/>
        <w:jc w:val="both"/>
        <w:rPr>
          <w:rFonts w:ascii="Antiqua" w:hAnsi="Antiqua"/>
          <w:sz w:val="24"/>
        </w:rPr>
      </w:pPr>
      <w:r>
        <w:rPr>
          <w:rFonts w:ascii="Antiqua" w:hAnsi="Antiqua"/>
          <w:sz w:val="24"/>
        </w:rPr>
        <w:t>Мз - вариационная маржа по позиции, закрытой в ходе торговой сессии;</w:t>
      </w:r>
    </w:p>
    <w:p w:rsidR="004336C9" w:rsidRDefault="00B25E82">
      <w:pPr>
        <w:spacing w:line="360" w:lineRule="atLeast"/>
        <w:ind w:right="-1" w:firstLine="340"/>
        <w:jc w:val="both"/>
        <w:rPr>
          <w:rFonts w:ascii="Antiqua" w:hAnsi="Antiqua"/>
          <w:sz w:val="24"/>
        </w:rPr>
      </w:pPr>
      <w:r>
        <w:rPr>
          <w:rFonts w:ascii="Antiqua" w:hAnsi="Antiqua"/>
          <w:sz w:val="24"/>
        </w:rPr>
        <w:t>Сз - стоимость контракта, заключенного с противоположной позиции;</w:t>
      </w:r>
    </w:p>
    <w:p w:rsidR="004336C9" w:rsidRDefault="00B25E82">
      <w:pPr>
        <w:spacing w:line="360" w:lineRule="atLeast"/>
        <w:ind w:right="-1" w:firstLine="340"/>
        <w:jc w:val="both"/>
        <w:rPr>
          <w:rFonts w:ascii="Antiqua" w:hAnsi="Antiqua"/>
          <w:sz w:val="24"/>
        </w:rPr>
      </w:pPr>
      <w:r>
        <w:rPr>
          <w:rFonts w:ascii="Antiqua" w:hAnsi="Antiqua"/>
          <w:sz w:val="24"/>
        </w:rPr>
        <w:t>Сп - стоимость контракта по котировочной цене предыдущей торговой сессии.</w:t>
      </w:r>
    </w:p>
    <w:p w:rsidR="004336C9" w:rsidRDefault="00B25E82">
      <w:pPr>
        <w:spacing w:line="360" w:lineRule="atLeast"/>
        <w:ind w:right="-1" w:firstLine="340"/>
        <w:jc w:val="both"/>
        <w:rPr>
          <w:rFonts w:ascii="Antiqua" w:hAnsi="Antiqua"/>
          <w:sz w:val="24"/>
        </w:rPr>
      </w:pPr>
      <w:r>
        <w:rPr>
          <w:rFonts w:ascii="Antiqua" w:hAnsi="Antiqua"/>
          <w:sz w:val="24"/>
        </w:rPr>
        <w:t>Если вариационная маржа положительна, то она вносится продавцом в пользу покупателя; если отрицательна - то покупателем в пользу продавца. Если в какой-то день стоимость контракта выросла, то покупатель получил прибыль, а продавец понес убытки. При этом залоговые обязательства продавца увеличатся, а покупателя - уменьшатся, причем на одинаковую сумму. Эта сумма будет переведена с маржевого счета продавца на маржевой счет покупателя. Однако размер залога является постоянным, поэтому биржа потребует от продавца довнести соответствующую сумму на его маржевой счет. Но на следующий день цена может упасть, и в аналогичной ситуации может оказаться уже покупатель. Требовать каждый день от одного и участников сделки внесения некоторой суммы очень неудобно, поэтому при заключении сделки от обоих ее участников обычно требуется еще и внесение маржи поддержания, которая обычно составляет 60 - 80% от суммы залога. [10, с. 45]</w:t>
      </w:r>
    </w:p>
    <w:p w:rsidR="004336C9" w:rsidRDefault="00B25E82">
      <w:pPr>
        <w:spacing w:line="360" w:lineRule="atLeast"/>
        <w:ind w:right="-1" w:firstLine="340"/>
        <w:jc w:val="both"/>
        <w:rPr>
          <w:rFonts w:ascii="Antiqua" w:hAnsi="Antiqua"/>
          <w:sz w:val="24"/>
        </w:rPr>
      </w:pPr>
      <w:r>
        <w:rPr>
          <w:rFonts w:ascii="Antiqua" w:hAnsi="Antiqua"/>
          <w:sz w:val="24"/>
        </w:rPr>
        <w:t>Эффект от удачно открытой позиции может быть реализован уже в день заключения сделки. Проигрыш также вычитается со счета ежедневно. В этом и плюс, и минус фьючерсной торговли. Минус в том, что при заключении заведомо выигрышной сделки в результате кратковременных неблагоприятных колебаний цен может быть понесен значительный убыток, который потребует либо довнесения дополнительных сумм, либо закрытия позиций, которые через 2-3 дня принесли бы прибыль. Но есть и значительный плюс, который и определяет уникальность фьючерсов. Инвестирование в фьючерсный контракт лишь 10% от цены базисного актива позволяет получить доход от роста курсовой стоимости, аналогичный доходу, полученному от инвестирования всей суммы на рынке реального товара.</w:t>
      </w:r>
    </w:p>
    <w:p w:rsidR="004336C9" w:rsidRDefault="00B25E82">
      <w:pPr>
        <w:spacing w:line="360" w:lineRule="atLeast"/>
        <w:ind w:right="-1" w:firstLine="340"/>
        <w:jc w:val="both"/>
        <w:rPr>
          <w:rFonts w:ascii="Antiqua" w:hAnsi="Antiqua"/>
          <w:sz w:val="24"/>
        </w:rPr>
      </w:pPr>
      <w:r>
        <w:rPr>
          <w:rFonts w:ascii="Antiqua" w:hAnsi="Antiqua"/>
          <w:i/>
          <w:sz w:val="24"/>
          <w:u w:val="single"/>
        </w:rPr>
        <w:t>8. Довнесение средств по расчетам с РП</w:t>
      </w:r>
      <w:r>
        <w:rPr>
          <w:rFonts w:ascii="Antiqua" w:hAnsi="Antiqua"/>
          <w:sz w:val="24"/>
        </w:rPr>
        <w:t xml:space="preserve">. Если движение цен не повлекло убытка одной из сторон, превышающего маржу поддержания, сумма убытка списывается с маржевого счета этой стороны в пользу другой. Если же изменение цен вызвало потери одной из сторон, превышающие маржу поддержания, эта сторона должна довнести соответствующую сумму плюс дополнительный взнос до полного восстановления залога, ибо на маржевый счет другой стороны была переведена маржа поддержания, а недостающая сумма была списана с залога. </w:t>
      </w:r>
    </w:p>
    <w:p w:rsidR="004336C9" w:rsidRDefault="00B25E82">
      <w:pPr>
        <w:spacing w:line="360" w:lineRule="atLeast"/>
        <w:ind w:right="-1" w:firstLine="340"/>
        <w:jc w:val="both"/>
        <w:rPr>
          <w:rFonts w:ascii="Antiqua" w:hAnsi="Antiqua"/>
          <w:sz w:val="24"/>
        </w:rPr>
      </w:pPr>
      <w:r>
        <w:rPr>
          <w:rFonts w:ascii="Antiqua" w:hAnsi="Antiqua"/>
          <w:sz w:val="24"/>
        </w:rPr>
        <w:t>Если в течение 1-го банковского дня после уведомления о необходимости внесения необходимой суммы не получено подтверждение о соответствующем перечислении, РП предпринимает следующие действия:</w:t>
      </w:r>
    </w:p>
    <w:p w:rsidR="004336C9" w:rsidRDefault="00B25E82">
      <w:pPr>
        <w:spacing w:line="360" w:lineRule="atLeast"/>
        <w:ind w:right="-1" w:firstLine="340"/>
        <w:jc w:val="both"/>
        <w:rPr>
          <w:rFonts w:ascii="Antiqua" w:hAnsi="Antiqua"/>
          <w:sz w:val="24"/>
        </w:rPr>
      </w:pPr>
      <w:r>
        <w:rPr>
          <w:rFonts w:ascii="Antiqua" w:hAnsi="Antiqua"/>
          <w:sz w:val="24"/>
        </w:rPr>
        <w:t>- прекращает перечисление денежных средств со счета фирмы;</w:t>
      </w:r>
    </w:p>
    <w:p w:rsidR="004336C9" w:rsidRDefault="00B25E82">
      <w:pPr>
        <w:spacing w:line="360" w:lineRule="atLeast"/>
        <w:ind w:right="-1" w:firstLine="340"/>
        <w:jc w:val="both"/>
        <w:rPr>
          <w:rFonts w:ascii="Antiqua" w:hAnsi="Antiqua"/>
          <w:sz w:val="24"/>
        </w:rPr>
      </w:pPr>
      <w:r>
        <w:rPr>
          <w:rFonts w:ascii="Antiqua" w:hAnsi="Antiqua"/>
          <w:sz w:val="24"/>
        </w:rPr>
        <w:t>- с посреднической фирмы взимаются пени в размере 0.5% задолженности за каждый день задержки вплоть до принятия решения о приостановлении деятельности этой фирмы.</w:t>
      </w:r>
    </w:p>
    <w:p w:rsidR="004336C9" w:rsidRDefault="00B25E82">
      <w:pPr>
        <w:spacing w:line="360" w:lineRule="atLeast"/>
        <w:ind w:right="-1" w:firstLine="340"/>
        <w:jc w:val="both"/>
        <w:rPr>
          <w:rFonts w:ascii="Antiqua" w:hAnsi="Antiqua"/>
          <w:sz w:val="24"/>
        </w:rPr>
      </w:pPr>
      <w:r>
        <w:rPr>
          <w:rFonts w:ascii="Antiqua" w:hAnsi="Antiqua"/>
          <w:sz w:val="24"/>
        </w:rPr>
        <w:t>Если свободных средств фирмы не хватает для погашения задолженности, то РП предлагает фирме закрыть необеспеченные позиции, совершив офсетную сделку.</w:t>
      </w:r>
    </w:p>
    <w:p w:rsidR="004336C9" w:rsidRDefault="00B25E82">
      <w:pPr>
        <w:spacing w:line="360" w:lineRule="atLeast"/>
        <w:ind w:right="-1" w:firstLine="340"/>
        <w:jc w:val="both"/>
        <w:rPr>
          <w:rFonts w:ascii="Antiqua" w:hAnsi="Antiqua"/>
          <w:sz w:val="24"/>
        </w:rPr>
      </w:pPr>
      <w:r>
        <w:rPr>
          <w:rFonts w:ascii="Antiqua" w:hAnsi="Antiqua"/>
          <w:sz w:val="24"/>
        </w:rPr>
        <w:t>Пример. 20 февраля 1996г. на МТБ фирма “ААА” заключила фьючерсный контракт на покупку в августе 1997г. $5000. Цена контракта в тот день была 7640 руб/$</w:t>
      </w:r>
      <w:r>
        <w:rPr>
          <w:rStyle w:val="a4"/>
        </w:rPr>
        <w:footnoteReference w:id="1"/>
      </w:r>
      <w:r>
        <w:rPr>
          <w:rFonts w:ascii="Antiqua" w:hAnsi="Antiqua"/>
          <w:sz w:val="24"/>
        </w:rPr>
        <w:t>. При заключении сделки фирма внесла залог в размере 1910000 рублей и маржу поддержания в размере 1146000 рублей. Однако уже 21 февраля цена этого контракта упала до 7410 руб/$</w:t>
      </w:r>
      <w:r>
        <w:rPr>
          <w:rStyle w:val="a4"/>
        </w:rPr>
        <w:footnoteReference w:id="2"/>
      </w:r>
      <w:r>
        <w:rPr>
          <w:rFonts w:ascii="Antiqua" w:hAnsi="Antiqua"/>
          <w:sz w:val="24"/>
        </w:rPr>
        <w:t>. Убытки фирмы составили (7640-7410)*5000=1150000 рублей. Эта сумма была переведена на счет контрагента. При этом 1146000 руб. пришлось на маржу поддержания, а оставшиеся 4000 рублей были изъяты из залога. Поэтому фирме “ААА” пришлось довнести 1150000 рублей.</w:t>
      </w:r>
    </w:p>
    <w:p w:rsidR="004336C9" w:rsidRDefault="00B25E82">
      <w:pPr>
        <w:spacing w:line="360" w:lineRule="atLeast"/>
        <w:ind w:right="-1" w:firstLine="340"/>
        <w:jc w:val="both"/>
        <w:rPr>
          <w:rFonts w:ascii="Antiqua" w:hAnsi="Antiqua"/>
          <w:sz w:val="24"/>
        </w:rPr>
      </w:pPr>
      <w:r>
        <w:rPr>
          <w:rFonts w:ascii="Antiqua" w:hAnsi="Antiqua"/>
          <w:i/>
          <w:sz w:val="24"/>
          <w:u w:val="single"/>
        </w:rPr>
        <w:t>9. Поставка по фьючерсному контракту</w:t>
      </w:r>
      <w:r>
        <w:rPr>
          <w:rFonts w:ascii="Antiqua" w:hAnsi="Antiqua"/>
          <w:sz w:val="24"/>
        </w:rPr>
        <w:t>. Торговля определенным фьючерсным контрактом заканчивается на торговой сессии, последней перед 15 числом (на МТБ) месяца исполнения контракта. Хотя подавляющая часть фьючерсных контрактов ликвидируется до момента их исполнения, некоторая их часть подлежит исполнению (обычно в практике ведущих фьючерсных бирж за рубежом 2-5% от общего числа заключенных контрактов). Участники фьючерсной торговли, у которых остались открытые позиции, обязаны в течение 10 рабочих дней осуществить или принять поставку товара по котировочной цене последней торговой сессии (называемой ценой исполнения контракта).</w:t>
      </w:r>
    </w:p>
    <w:p w:rsidR="004336C9" w:rsidRDefault="00B25E82">
      <w:pPr>
        <w:spacing w:line="360" w:lineRule="atLeast"/>
        <w:ind w:right="-1" w:firstLine="340"/>
        <w:jc w:val="both"/>
        <w:rPr>
          <w:rFonts w:ascii="Antiqua" w:hAnsi="Antiqua"/>
          <w:sz w:val="24"/>
        </w:rPr>
      </w:pPr>
      <w:r>
        <w:rPr>
          <w:rFonts w:ascii="Antiqua" w:hAnsi="Antiqua"/>
          <w:sz w:val="24"/>
        </w:rPr>
        <w:t xml:space="preserve"> В практике биржевой торговли различают 2 типа поставки товара: первичную и вторичную. Первичная поставка - это поставка товара на склад биржи или получение товара с биржевого склада. Вторичная поставка имеет место в тех случаях, когда одна и та же партия товара без изъятия со склада биржи вновь поставляется по биржевому контракту в течение того же месяца. Доля таких поставок составляет 20-40% на биржах. На большинстве бирж продавец может поставить только товар, находящийся на официальных ее складах, в сейфах зарегистрированных банков, с заводов, получивших соответствующий сертификат. Качество товара должно быть удостоверено специальным сертификатом и соответствовать требованиям, установленным в биржевом контракте. К поставке разрешена обычно лишь часть сортов товара, поступающих в каналы международной торговли. Кроме того, продавец должен представить сведения о поставляемой партии товара: вид транспорта, на котором доставлен товар; страна происхождения; число мешков, кип, коробок; утвержденный биржей склад хранения товара; дата поставки товара на склад; общий вес партии; дата перевешивания и дата взятия образцов.</w:t>
      </w:r>
    </w:p>
    <w:p w:rsidR="004336C9" w:rsidRDefault="00B25E82">
      <w:pPr>
        <w:spacing w:line="360" w:lineRule="atLeast"/>
        <w:ind w:right="-1" w:firstLine="340"/>
        <w:jc w:val="both"/>
        <w:rPr>
          <w:rFonts w:ascii="Antiqua" w:hAnsi="Antiqua"/>
          <w:sz w:val="24"/>
        </w:rPr>
      </w:pPr>
      <w:r>
        <w:rPr>
          <w:rFonts w:ascii="Antiqua" w:hAnsi="Antiqua"/>
          <w:sz w:val="24"/>
        </w:rPr>
        <w:t>Так же продавец должен послать покупателю через РП нотис. В каждом нотисе сообщаются цена, дата контракта, время получения нотиса РП и время его выдачи покупателю биржевого контракта. После предъявления нотиса в РП его уже нельзя ни изъять, ни заменить без согласия покупателя или решения арбитражного комитета. Все нотисы, прошедшие РП, в обязательном порядке принимаются покупателями к исполнению. Затем получатель обязан в течение определенного времени оплатить товар наличными в полном размере. При внесении платежа в РП покупатель получает складское свидетельство - документ, дающий право собственности на товар на определенном складе. Продавец должен оплатить все расходы, соответствующие условиям поставки в течение определенного периода времени с даты выставления нотиса.</w:t>
      </w:r>
    </w:p>
    <w:p w:rsidR="004336C9" w:rsidRDefault="004336C9">
      <w:pPr>
        <w:spacing w:line="360" w:lineRule="atLeast"/>
        <w:ind w:right="-1" w:firstLine="340"/>
        <w:jc w:val="both"/>
        <w:rPr>
          <w:rFonts w:ascii="Antiqua" w:hAnsi="Antiqua"/>
          <w:sz w:val="24"/>
        </w:rPr>
      </w:pPr>
    </w:p>
    <w:p w:rsidR="004336C9" w:rsidRDefault="00B25E82">
      <w:pPr>
        <w:spacing w:line="360" w:lineRule="atLeast"/>
        <w:ind w:right="-1" w:firstLine="340"/>
        <w:jc w:val="both"/>
        <w:rPr>
          <w:rFonts w:ascii="Arial Cyr Italic" w:hAnsi="Arial Cyr Italic"/>
          <w:b/>
          <w:sz w:val="24"/>
        </w:rPr>
      </w:pPr>
      <w:r>
        <w:rPr>
          <w:rFonts w:ascii="Arial Cyr Italic" w:hAnsi="Arial Cyr Italic"/>
          <w:sz w:val="24"/>
        </w:rPr>
        <w:tab/>
        <w:t>2.2.  Внебиржевой рынок.</w:t>
      </w:r>
    </w:p>
    <w:p w:rsidR="004336C9" w:rsidRDefault="00B25E82">
      <w:pPr>
        <w:spacing w:line="360" w:lineRule="atLeast"/>
        <w:ind w:right="-1" w:firstLine="340"/>
        <w:jc w:val="both"/>
        <w:rPr>
          <w:rFonts w:ascii="Antiqua" w:hAnsi="Antiqua"/>
          <w:sz w:val="24"/>
        </w:rPr>
      </w:pPr>
      <w:r>
        <w:rPr>
          <w:rFonts w:ascii="Antiqua" w:hAnsi="Antiqua"/>
          <w:sz w:val="24"/>
        </w:rPr>
        <w:t>Мировой опыт показывает, что биржевой и внебиржевой рынки имеют тесную взаимосвязь, и любая фирма достигает финансового успеха только при успешном маневрировании между этими рынками.</w:t>
      </w:r>
    </w:p>
    <w:p w:rsidR="004336C9" w:rsidRDefault="00B25E82">
      <w:pPr>
        <w:spacing w:line="360" w:lineRule="atLeast"/>
        <w:ind w:right="-1" w:firstLine="340"/>
        <w:jc w:val="both"/>
        <w:rPr>
          <w:rFonts w:ascii="Antiqua" w:hAnsi="Antiqua"/>
          <w:sz w:val="24"/>
        </w:rPr>
      </w:pPr>
      <w:r>
        <w:rPr>
          <w:rFonts w:ascii="Antiqua" w:hAnsi="Antiqua"/>
          <w:sz w:val="24"/>
        </w:rPr>
        <w:t>На Западе внебиржевой рынок носит название “уличного” рынка. Это менее организованный рынок, однако и на нем сделки совершаются в рамках организованных институтов, таких как фондовые магазины, электронные сети и другие.</w:t>
      </w:r>
    </w:p>
    <w:p w:rsidR="004336C9" w:rsidRDefault="00B25E82">
      <w:pPr>
        <w:spacing w:line="360" w:lineRule="atLeast"/>
        <w:ind w:right="-1" w:firstLine="340"/>
        <w:jc w:val="both"/>
        <w:rPr>
          <w:rFonts w:ascii="Antiqua" w:hAnsi="Antiqua"/>
          <w:sz w:val="24"/>
        </w:rPr>
      </w:pPr>
      <w:r>
        <w:rPr>
          <w:rFonts w:ascii="Antiqua" w:hAnsi="Antiqua"/>
          <w:sz w:val="24"/>
        </w:rPr>
        <w:t>Стандартный характер условий контрактов на бирже может оказаться неудобным для контрагентов. Например, им требуется поставка некоторого товара в ином количестве, в ином месте и в другое время, чем это предусматривается фьючерсным контрактом на данный товар. Кроме того, на бирже может вообще отсутствовать фьючерсный контракт на актив, в котором заинтересованы контрагенты. В этом смысле внебиржевой рынок предоставляет своим участникам больше возможностей по заключению нестандартных с точки зрения биржевой торговли контрактов: на свободном рынке допускается любой размер фьючерсного контракта, а также внебиржевой рынок позволяет включать в контракты любые дополнительные условия.</w:t>
      </w:r>
    </w:p>
    <w:p w:rsidR="004336C9" w:rsidRDefault="00B25E82">
      <w:pPr>
        <w:spacing w:line="360" w:lineRule="atLeast"/>
        <w:ind w:right="-1" w:firstLine="340"/>
        <w:jc w:val="both"/>
        <w:rPr>
          <w:rFonts w:ascii="Antiqua" w:hAnsi="Antiqua"/>
          <w:sz w:val="24"/>
        </w:rPr>
      </w:pPr>
      <w:r>
        <w:rPr>
          <w:rFonts w:ascii="Antiqua" w:hAnsi="Antiqua"/>
          <w:sz w:val="24"/>
        </w:rPr>
        <w:t>Одна из основных проблем внебиржевого рынка связана с обеспечением гарантий платежей. Как правило, менее всего этим недостатком страдает межбанковский рынок, однако серьезные проблемы могут возникнуть при вовлечении в сделки небанковских структур. Выход может быть найден в использовании биржевого механизма при получении гарантий по сделкам, т.к. этот механизм предусматривает создание страхового фонда и допускает возможность участия в сделках как банков, так и других юридических лиц.</w:t>
      </w:r>
    </w:p>
    <w:p w:rsidR="004336C9" w:rsidRDefault="00B25E82">
      <w:pPr>
        <w:spacing w:line="360" w:lineRule="atLeast"/>
        <w:ind w:right="-1" w:firstLine="340"/>
        <w:jc w:val="both"/>
        <w:rPr>
          <w:rFonts w:ascii="Antiqua" w:hAnsi="Antiqua"/>
          <w:sz w:val="24"/>
        </w:rPr>
      </w:pPr>
      <w:r>
        <w:rPr>
          <w:rFonts w:ascii="Antiqua" w:hAnsi="Antiqua"/>
          <w:sz w:val="24"/>
        </w:rPr>
        <w:t>Внебиржевой рынок свободен от каких-либо стандартов и ограничений за исключением тех, которые касаются общих норм и правил, установленных федеральными органами на сделки с ценными бумагами и работу брокерско-дилерских фирм.</w:t>
      </w:r>
    </w:p>
    <w:p w:rsidR="004336C9" w:rsidRDefault="00B25E82">
      <w:pPr>
        <w:spacing w:line="360" w:lineRule="atLeast"/>
        <w:ind w:right="-1" w:firstLine="340"/>
        <w:jc w:val="both"/>
        <w:rPr>
          <w:rFonts w:ascii="Antiqua" w:hAnsi="Antiqua"/>
          <w:sz w:val="24"/>
        </w:rPr>
      </w:pPr>
      <w:r>
        <w:rPr>
          <w:rFonts w:ascii="Antiqua" w:hAnsi="Antiqua"/>
          <w:sz w:val="24"/>
        </w:rPr>
        <w:t>Технология проведения фьючерсных сделок на внебиржевом рынке заключается в следующем. Специальная категория брокерских контор занимается поиском и сведением клиентов, желающих покупать или продавать фьючерсные контракты. После того, как брокеры добиваются соответствующей договоренности между сторонами, в дело включается четвертое лицо - фирма индоссант, которая берет на себя гарантии по выполнению сторонами своих обязательств. Функции индоссанта состоят в том, чтобы получить от участников гарантийные депозиты и провести взаиморасчеты между сторонами, как в случае выполнения участниками своих обязательств, так и в случае их невыполнения. В биржевой торговле роль индоссанта играет Расчетная палата.</w:t>
      </w:r>
    </w:p>
    <w:p w:rsidR="004336C9" w:rsidRDefault="00B25E82">
      <w:pPr>
        <w:spacing w:line="360" w:lineRule="atLeast"/>
        <w:ind w:right="-1" w:firstLine="340"/>
        <w:jc w:val="both"/>
        <w:rPr>
          <w:rFonts w:ascii="Antiqua" w:hAnsi="Antiqua"/>
          <w:sz w:val="24"/>
        </w:rPr>
      </w:pPr>
      <w:r>
        <w:rPr>
          <w:rFonts w:ascii="Antiqua" w:hAnsi="Antiqua"/>
          <w:sz w:val="24"/>
        </w:rPr>
        <w:t>В качестве основных “слабых мест” свободного рынка фьючерсных контрактов в сравнении с биржевым следует отметить более высокий уровень комиссионных затрат (в 1,5 - 2,0 раза выше); ограниченный вторичный рынок, предложения делаются через газетные объявления; отсутствие стандартизации и низкая ликвидность контрактов; менее надежная система гарантий исполнения контрактов.</w:t>
      </w:r>
    </w:p>
    <w:p w:rsidR="004336C9" w:rsidRDefault="004336C9">
      <w:pPr>
        <w:spacing w:line="360" w:lineRule="atLeast"/>
        <w:ind w:right="-1" w:firstLine="340"/>
        <w:jc w:val="both"/>
        <w:rPr>
          <w:rFonts w:ascii="Antiqua" w:hAnsi="Antiqua"/>
          <w:sz w:val="24"/>
        </w:rPr>
      </w:pPr>
    </w:p>
    <w:p w:rsidR="004336C9" w:rsidRDefault="00B25E82">
      <w:pPr>
        <w:spacing w:line="360" w:lineRule="atLeast"/>
        <w:ind w:right="-1" w:firstLine="340"/>
        <w:jc w:val="both"/>
        <w:rPr>
          <w:rFonts w:ascii="Arial Cyr Italic" w:hAnsi="Arial Cyr Italic"/>
          <w:sz w:val="24"/>
        </w:rPr>
      </w:pPr>
      <w:r>
        <w:rPr>
          <w:rFonts w:ascii="Arial Cyr Italic" w:hAnsi="Arial Cyr Italic"/>
          <w:sz w:val="24"/>
        </w:rPr>
        <w:tab/>
        <w:t>3. Участники рынка срочных контрактов.</w:t>
      </w:r>
    </w:p>
    <w:p w:rsidR="004336C9" w:rsidRDefault="00B25E82">
      <w:pPr>
        <w:spacing w:line="360" w:lineRule="atLeast"/>
        <w:ind w:right="-1" w:firstLine="340"/>
        <w:jc w:val="both"/>
        <w:rPr>
          <w:rFonts w:ascii="Antiqua" w:hAnsi="Antiqua"/>
          <w:sz w:val="24"/>
        </w:rPr>
      </w:pPr>
      <w:r>
        <w:rPr>
          <w:rFonts w:ascii="Antiqua" w:hAnsi="Antiqua"/>
          <w:sz w:val="24"/>
        </w:rPr>
        <w:t>Рынок фьючерсных контрактов привлекает множество участников, которые по своим целям делятся на хеджеров и спекулянтов.</w:t>
      </w:r>
    </w:p>
    <w:p w:rsidR="004336C9" w:rsidRDefault="004336C9">
      <w:pPr>
        <w:spacing w:line="360" w:lineRule="atLeast"/>
        <w:ind w:right="-1" w:firstLine="340"/>
        <w:jc w:val="both"/>
        <w:rPr>
          <w:rFonts w:ascii="Antiqua" w:hAnsi="Antiqua"/>
          <w:b/>
          <w:sz w:val="24"/>
        </w:rPr>
      </w:pPr>
    </w:p>
    <w:p w:rsidR="004336C9" w:rsidRDefault="00B25E82">
      <w:pPr>
        <w:spacing w:line="360" w:lineRule="atLeast"/>
        <w:ind w:right="-1" w:firstLine="340"/>
        <w:jc w:val="both"/>
        <w:rPr>
          <w:rFonts w:ascii="Arial Cyr Italic" w:hAnsi="Arial Cyr Italic"/>
          <w:sz w:val="24"/>
        </w:rPr>
      </w:pPr>
      <w:r>
        <w:rPr>
          <w:rFonts w:ascii="Arial Cyr Italic" w:hAnsi="Arial Cyr Italic"/>
          <w:sz w:val="24"/>
        </w:rPr>
        <w:tab/>
      </w:r>
      <w:r>
        <w:rPr>
          <w:rFonts w:ascii="Arial Cyr Italic" w:hAnsi="Arial Cyr Italic"/>
          <w:sz w:val="24"/>
        </w:rPr>
        <w:tab/>
        <w:t xml:space="preserve">3.1. Хеджеры. </w:t>
      </w:r>
    </w:p>
    <w:p w:rsidR="004336C9" w:rsidRDefault="00B25E82">
      <w:pPr>
        <w:spacing w:line="360" w:lineRule="atLeast"/>
        <w:ind w:right="-1" w:firstLine="340"/>
        <w:jc w:val="both"/>
        <w:rPr>
          <w:rFonts w:ascii="Antiqua" w:hAnsi="Antiqua"/>
          <w:sz w:val="24"/>
        </w:rPr>
      </w:pPr>
      <w:r>
        <w:rPr>
          <w:rFonts w:ascii="Antiqua" w:hAnsi="Antiqua"/>
          <w:sz w:val="24"/>
        </w:rPr>
        <w:t>Хеджеры в экономическом плане являются основными участниками рынка фьючерсных контрактов. Сфера их деятельности лежит в области материального производства на рынке наличного товара - это производители, переработчики, торговцы и т.д. В эпоху инфляции значительные интервалы времени, необходимые для реализации их уставной деятельности, обуславливают потребность в большом количестве денежных ресурсов, которые без принятия компенсирующих мер быстро обесцениваются. Кроме того, возникает потребность в осуществлении планирования затрат на сырье и т.п. на будущие периоды с целью определения и согласования с потребителями цен на поставку продукции. С другой стороны, потребители, заинтересованные в получении товаров, вынуждены искать пути защиты своих сбережений, чтобы быть в состоянии приобрести необходимые активы.</w:t>
      </w:r>
    </w:p>
    <w:p w:rsidR="004336C9" w:rsidRDefault="00B25E82">
      <w:pPr>
        <w:spacing w:line="360" w:lineRule="atLeast"/>
        <w:ind w:right="-1" w:firstLine="340"/>
        <w:jc w:val="both"/>
        <w:rPr>
          <w:rFonts w:ascii="Antiqua" w:hAnsi="Antiqua"/>
          <w:sz w:val="24"/>
        </w:rPr>
      </w:pPr>
      <w:r>
        <w:rPr>
          <w:rFonts w:ascii="Antiqua" w:hAnsi="Antiqua"/>
          <w:sz w:val="24"/>
        </w:rPr>
        <w:t>Таким образом, хеджеры используют рынок фьючерсных контрактов для того, чтобы застраховать себя от риска, связанного с колебаниями цен. Он позволяет производителям и потребителям избежать или уменьшить ценовой риск реализации или приобретения товаров, экспортерам и импортерам - риск изменения валютных курсов, владельцам финансовых активов - риск падения их курсовой стоимости, заемщикам и кредиторам - риск изменения процентных ставок.</w:t>
      </w:r>
    </w:p>
    <w:p w:rsidR="004336C9" w:rsidRDefault="00B25E82">
      <w:pPr>
        <w:spacing w:line="360" w:lineRule="atLeast"/>
        <w:ind w:right="-1" w:firstLine="340"/>
        <w:jc w:val="both"/>
        <w:rPr>
          <w:rFonts w:ascii="Antiqua" w:hAnsi="Antiqua"/>
          <w:sz w:val="24"/>
        </w:rPr>
      </w:pPr>
      <w:r>
        <w:rPr>
          <w:rFonts w:ascii="Antiqua" w:hAnsi="Antiqua"/>
          <w:sz w:val="24"/>
        </w:rPr>
        <w:t>С целью избежания этих рисков хеджеры могут осуществить покупку или продажу контрактов на фьючерсном рынке. Такая тактика называется хеджированием.</w:t>
      </w:r>
    </w:p>
    <w:p w:rsidR="004336C9" w:rsidRDefault="00B25E82">
      <w:pPr>
        <w:spacing w:line="360" w:lineRule="atLeast"/>
        <w:ind w:right="-1" w:firstLine="340"/>
        <w:jc w:val="both"/>
        <w:rPr>
          <w:rFonts w:ascii="Antiqua" w:hAnsi="Antiqua"/>
          <w:sz w:val="24"/>
        </w:rPr>
      </w:pPr>
      <w:r>
        <w:rPr>
          <w:rFonts w:ascii="Antiqua" w:hAnsi="Antiqua"/>
          <w:sz w:val="24"/>
        </w:rPr>
        <w:t>Хеджирование - это способ получения прибыли в процессе биржевой фьючерсной торговли, основывающийся на различиях в динамике цен реальных товаров и цен фьючерсных контрактов на этот же товар.</w:t>
      </w:r>
    </w:p>
    <w:p w:rsidR="004336C9" w:rsidRDefault="00B25E82">
      <w:pPr>
        <w:spacing w:line="360" w:lineRule="atLeast"/>
        <w:ind w:right="-1" w:firstLine="340"/>
        <w:jc w:val="both"/>
        <w:rPr>
          <w:rFonts w:ascii="Antiqua" w:hAnsi="Antiqua"/>
          <w:sz w:val="24"/>
        </w:rPr>
      </w:pPr>
      <w:r>
        <w:rPr>
          <w:rFonts w:ascii="Antiqua" w:hAnsi="Antiqua"/>
          <w:sz w:val="24"/>
        </w:rPr>
        <w:t>Техника хеджирования состоит в следующем.</w:t>
      </w:r>
    </w:p>
    <w:p w:rsidR="004336C9" w:rsidRDefault="00B25E82">
      <w:pPr>
        <w:spacing w:line="360" w:lineRule="atLeast"/>
        <w:ind w:right="-1" w:firstLine="340"/>
        <w:jc w:val="both"/>
        <w:rPr>
          <w:rFonts w:ascii="Antiqua" w:hAnsi="Antiqua"/>
          <w:sz w:val="24"/>
        </w:rPr>
      </w:pPr>
      <w:r>
        <w:rPr>
          <w:rFonts w:ascii="Antiqua" w:hAnsi="Antiqua"/>
          <w:sz w:val="24"/>
        </w:rPr>
        <w:t>Продавец наличного товара, стремясь застраховать себя от предполагаемого снижения цены, продает на бирже фьючерсный контракт на данный товар (хеджирование продажей). В случае снижения цен он выкупает фьючерсный контракт, цена на который тоже упала, и получает прибыль на фьючерсном рынке за счет начисления положительной маржи, которая должна компенсировать недополученную им выручку на рынке реального товара.</w:t>
      </w:r>
    </w:p>
    <w:p w:rsidR="004336C9" w:rsidRDefault="00B25E82">
      <w:pPr>
        <w:spacing w:line="360" w:lineRule="atLeast"/>
        <w:ind w:right="-1" w:firstLine="340"/>
        <w:jc w:val="both"/>
        <w:rPr>
          <w:rFonts w:ascii="Antiqua" w:hAnsi="Antiqua"/>
          <w:sz w:val="24"/>
        </w:rPr>
      </w:pPr>
      <w:r>
        <w:rPr>
          <w:rFonts w:ascii="Antiqua" w:hAnsi="Antiqua"/>
          <w:sz w:val="24"/>
        </w:rPr>
        <w:t>Условный пример 1.</w:t>
      </w:r>
    </w:p>
    <w:tbl>
      <w:tblPr>
        <w:tblW w:w="0" w:type="auto"/>
        <w:tblInd w:w="-38" w:type="dxa"/>
        <w:tblLayout w:type="fixed"/>
        <w:tblCellMar>
          <w:left w:w="30" w:type="dxa"/>
          <w:right w:w="30" w:type="dxa"/>
        </w:tblCellMar>
        <w:tblLook w:val="0000" w:firstRow="0" w:lastRow="0" w:firstColumn="0" w:lastColumn="0" w:noHBand="0" w:noVBand="0"/>
      </w:tblPr>
      <w:tblGrid>
        <w:gridCol w:w="3574"/>
        <w:gridCol w:w="1559"/>
        <w:gridCol w:w="1418"/>
        <w:gridCol w:w="3260"/>
      </w:tblGrid>
      <w:tr w:rsidR="004336C9">
        <w:trPr>
          <w:cantSplit/>
          <w:trHeight w:val="254"/>
        </w:trPr>
        <w:tc>
          <w:tcPr>
            <w:tcW w:w="3574" w:type="dxa"/>
            <w:tcBorders>
              <w:top w:val="single" w:sz="6" w:space="0" w:color="000000"/>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559" w:type="dxa"/>
            <w:tcBorders>
              <w:top w:val="single" w:sz="6" w:space="0" w:color="000000"/>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 xml:space="preserve">цена на 1 января </w:t>
            </w:r>
          </w:p>
        </w:tc>
        <w:tc>
          <w:tcPr>
            <w:tcW w:w="1418" w:type="dxa"/>
            <w:tcBorders>
              <w:top w:val="single" w:sz="6" w:space="0" w:color="000000"/>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 xml:space="preserve">цена на 1 апреля </w:t>
            </w:r>
          </w:p>
        </w:tc>
        <w:tc>
          <w:tcPr>
            <w:tcW w:w="3260" w:type="dxa"/>
            <w:tcBorders>
              <w:top w:val="single" w:sz="6" w:space="0" w:color="000000"/>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выручка от проведения операций по состоянию на 1 апреля</w:t>
            </w:r>
          </w:p>
        </w:tc>
      </w:tr>
      <w:tr w:rsidR="004336C9">
        <w:trPr>
          <w:cantSplit/>
          <w:trHeight w:val="254"/>
        </w:trPr>
        <w:tc>
          <w:tcPr>
            <w:tcW w:w="3574"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559"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418"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3260"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r>
      <w:tr w:rsidR="004336C9">
        <w:trPr>
          <w:cantSplit/>
          <w:trHeight w:val="254"/>
        </w:trPr>
        <w:tc>
          <w:tcPr>
            <w:tcW w:w="3574"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Рынок реального</w:t>
            </w:r>
          </w:p>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 xml:space="preserve"> товара </w:t>
            </w:r>
          </w:p>
        </w:tc>
        <w:tc>
          <w:tcPr>
            <w:tcW w:w="1559"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100</w:t>
            </w:r>
          </w:p>
        </w:tc>
        <w:tc>
          <w:tcPr>
            <w:tcW w:w="1418"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80</w:t>
            </w:r>
          </w:p>
        </w:tc>
        <w:tc>
          <w:tcPr>
            <w:tcW w:w="3260"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80</w:t>
            </w:r>
          </w:p>
        </w:tc>
      </w:tr>
      <w:tr w:rsidR="004336C9">
        <w:trPr>
          <w:cantSplit/>
          <w:trHeight w:val="254"/>
        </w:trPr>
        <w:tc>
          <w:tcPr>
            <w:tcW w:w="3574"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Фьючерсный рынок</w:t>
            </w:r>
          </w:p>
        </w:tc>
        <w:tc>
          <w:tcPr>
            <w:tcW w:w="1559"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120</w:t>
            </w:r>
          </w:p>
        </w:tc>
        <w:tc>
          <w:tcPr>
            <w:tcW w:w="1418"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100</w:t>
            </w:r>
          </w:p>
        </w:tc>
        <w:tc>
          <w:tcPr>
            <w:tcW w:w="3260"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20</w:t>
            </w:r>
          </w:p>
        </w:tc>
      </w:tr>
      <w:tr w:rsidR="004336C9">
        <w:trPr>
          <w:cantSplit/>
          <w:trHeight w:val="254"/>
        </w:trPr>
        <w:tc>
          <w:tcPr>
            <w:tcW w:w="3574"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 xml:space="preserve">(1 января - продажа контракта; 1 апреля- покупка </w:t>
            </w:r>
          </w:p>
        </w:tc>
        <w:tc>
          <w:tcPr>
            <w:tcW w:w="1559"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418"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3260"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(120 - 100)</w:t>
            </w:r>
          </w:p>
        </w:tc>
      </w:tr>
      <w:tr w:rsidR="004336C9">
        <w:trPr>
          <w:cantSplit/>
          <w:trHeight w:val="254"/>
        </w:trPr>
        <w:tc>
          <w:tcPr>
            <w:tcW w:w="3574"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Выручка - всего</w:t>
            </w:r>
          </w:p>
        </w:tc>
        <w:tc>
          <w:tcPr>
            <w:tcW w:w="1559" w:type="dxa"/>
            <w:tcBorders>
              <w:top w:val="single" w:sz="6" w:space="0" w:color="000000"/>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418" w:type="dxa"/>
            <w:tcBorders>
              <w:top w:val="single" w:sz="6" w:space="0" w:color="000000"/>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3260"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80+20 = 100</w:t>
            </w:r>
          </w:p>
        </w:tc>
      </w:tr>
    </w:tbl>
    <w:p w:rsidR="004336C9" w:rsidRDefault="004336C9">
      <w:pPr>
        <w:spacing w:line="360" w:lineRule="atLeast"/>
        <w:ind w:right="-1" w:firstLine="340"/>
        <w:jc w:val="both"/>
        <w:rPr>
          <w:rFonts w:ascii="Antiqua" w:hAnsi="Antiqua"/>
          <w:i/>
          <w:sz w:val="24"/>
        </w:rPr>
      </w:pPr>
    </w:p>
    <w:p w:rsidR="004336C9" w:rsidRDefault="00B25E82">
      <w:pPr>
        <w:spacing w:line="360" w:lineRule="atLeast"/>
        <w:ind w:right="-1" w:firstLine="340"/>
        <w:jc w:val="both"/>
        <w:rPr>
          <w:rFonts w:ascii="Antiqua" w:hAnsi="Antiqua"/>
          <w:sz w:val="24"/>
        </w:rPr>
      </w:pPr>
      <w:r>
        <w:rPr>
          <w:rFonts w:ascii="Antiqua" w:hAnsi="Antiqua"/>
          <w:sz w:val="24"/>
        </w:rPr>
        <w:t>Допустим, в январе директор текстильной фабрики планирует через 3 месяца (в апреле) продать большую партию пряжи. Он планирует продать 1 кг этой пряжи по цене 100 тысяч рублей; однако он опасается, что цена через 3 месяца упадет, поэтому 1 января он продает на фьючерсном рынке фьючерсный контракт по цене 120 тысяч рублей со сроком исполнения 1 апреля. Через три месяца (1 апреля) его опасения оправдались и цена на пряжу на реальном рынке упала до 80 тысяч рублей за килограмм; аналогичное падение цен произошло и на фьючерсном рынке. Вследствие падения цен на фьючерсном рынке была получена прибыль в размере 20 тысяч рублей. В конечном итоге он получил от продажи пряжи (80 тысяч рублей) и от фьючерсного рынка (20 тысяч рублей) ту сумму выручки, которую он рассчитывал получить по состоянию на 1 января (100 тысяч рублей).</w:t>
      </w:r>
    </w:p>
    <w:p w:rsidR="004336C9" w:rsidRDefault="00B25E82">
      <w:pPr>
        <w:spacing w:line="360" w:lineRule="atLeast"/>
        <w:ind w:right="-1" w:firstLine="340"/>
        <w:jc w:val="both"/>
        <w:rPr>
          <w:rFonts w:ascii="Antiqua" w:hAnsi="Antiqua"/>
          <w:sz w:val="24"/>
        </w:rPr>
      </w:pPr>
      <w:r>
        <w:rPr>
          <w:rFonts w:ascii="Antiqua" w:hAnsi="Antiqua"/>
          <w:sz w:val="24"/>
        </w:rPr>
        <w:t>Покупатель наличного товара заинтересован в том, чтобы не потерпеть убытки от повышения цен на товар. Поэтому, полагая, что цены будут расти, он покупает фьючерсный контракт на данный товар (хеджирование покупкой). В случае, если тенденция угадана верно, покупатель продает свой фьючерсный контракт, цена которого тоже возросла в связи с ростом цен на рынке реального товара, и тем самым компенсирует свои дополнительные расходы по покупке наличного товара.</w:t>
      </w:r>
    </w:p>
    <w:p w:rsidR="004336C9" w:rsidRDefault="00B25E82">
      <w:pPr>
        <w:spacing w:line="360" w:lineRule="atLeast"/>
        <w:ind w:right="-1" w:firstLine="340"/>
        <w:jc w:val="both"/>
        <w:rPr>
          <w:rFonts w:ascii="Antiqua" w:hAnsi="Antiqua"/>
          <w:sz w:val="24"/>
        </w:rPr>
      </w:pPr>
      <w:r>
        <w:rPr>
          <w:rFonts w:ascii="Antiqua" w:hAnsi="Antiqua"/>
          <w:sz w:val="24"/>
        </w:rPr>
        <w:t>Условный пример 2.</w:t>
      </w:r>
    </w:p>
    <w:tbl>
      <w:tblPr>
        <w:tblW w:w="0" w:type="auto"/>
        <w:tblInd w:w="-38" w:type="dxa"/>
        <w:tblLayout w:type="fixed"/>
        <w:tblCellMar>
          <w:left w:w="30" w:type="dxa"/>
          <w:right w:w="30" w:type="dxa"/>
        </w:tblCellMar>
        <w:tblLook w:val="0000" w:firstRow="0" w:lastRow="0" w:firstColumn="0" w:lastColumn="0" w:noHBand="0" w:noVBand="0"/>
      </w:tblPr>
      <w:tblGrid>
        <w:gridCol w:w="2157"/>
        <w:gridCol w:w="1275"/>
        <w:gridCol w:w="1276"/>
        <w:gridCol w:w="1418"/>
        <w:gridCol w:w="1984"/>
        <w:gridCol w:w="1704"/>
      </w:tblGrid>
      <w:tr w:rsidR="004336C9">
        <w:trPr>
          <w:cantSplit/>
          <w:trHeight w:val="254"/>
        </w:trPr>
        <w:tc>
          <w:tcPr>
            <w:tcW w:w="2157" w:type="dxa"/>
            <w:tcBorders>
              <w:top w:val="single" w:sz="6" w:space="0" w:color="000000"/>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275" w:type="dxa"/>
            <w:tcBorders>
              <w:top w:val="single" w:sz="6" w:space="0" w:color="000000"/>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цена на 1 января</w:t>
            </w:r>
          </w:p>
        </w:tc>
        <w:tc>
          <w:tcPr>
            <w:tcW w:w="1276" w:type="dxa"/>
            <w:tcBorders>
              <w:top w:val="single" w:sz="6" w:space="0" w:color="000000"/>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цена  на 1 июля</w:t>
            </w:r>
          </w:p>
        </w:tc>
        <w:tc>
          <w:tcPr>
            <w:tcW w:w="1418" w:type="dxa"/>
            <w:tcBorders>
              <w:top w:val="single" w:sz="6" w:space="0" w:color="000000"/>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затраты на рынке реального товара</w:t>
            </w:r>
          </w:p>
        </w:tc>
        <w:tc>
          <w:tcPr>
            <w:tcW w:w="1984" w:type="dxa"/>
            <w:tcBorders>
              <w:top w:val="single" w:sz="6" w:space="0" w:color="000000"/>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выручка от операций на фьючерсном рынке</w:t>
            </w:r>
          </w:p>
        </w:tc>
        <w:tc>
          <w:tcPr>
            <w:tcW w:w="1704" w:type="dxa"/>
            <w:tcBorders>
              <w:top w:val="single" w:sz="6" w:space="0" w:color="000000"/>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затраты покупателя за счет собственных средств</w:t>
            </w:r>
          </w:p>
        </w:tc>
      </w:tr>
      <w:tr w:rsidR="004336C9">
        <w:trPr>
          <w:cantSplit/>
          <w:trHeight w:val="254"/>
        </w:trPr>
        <w:tc>
          <w:tcPr>
            <w:tcW w:w="2157"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275"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276"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418"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984"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704"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r>
      <w:tr w:rsidR="004336C9">
        <w:trPr>
          <w:cantSplit/>
          <w:trHeight w:val="254"/>
        </w:trPr>
        <w:tc>
          <w:tcPr>
            <w:tcW w:w="2157"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 xml:space="preserve">Рынок реального </w:t>
            </w:r>
          </w:p>
        </w:tc>
        <w:tc>
          <w:tcPr>
            <w:tcW w:w="1275"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276"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418"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984"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704"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r>
      <w:tr w:rsidR="004336C9">
        <w:trPr>
          <w:cantSplit/>
          <w:trHeight w:val="254"/>
        </w:trPr>
        <w:tc>
          <w:tcPr>
            <w:tcW w:w="2157"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товара</w:t>
            </w:r>
          </w:p>
        </w:tc>
        <w:tc>
          <w:tcPr>
            <w:tcW w:w="1275"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500</w:t>
            </w:r>
          </w:p>
        </w:tc>
        <w:tc>
          <w:tcPr>
            <w:tcW w:w="1276"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600</w:t>
            </w:r>
          </w:p>
        </w:tc>
        <w:tc>
          <w:tcPr>
            <w:tcW w:w="1418"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600</w:t>
            </w:r>
          </w:p>
        </w:tc>
        <w:tc>
          <w:tcPr>
            <w:tcW w:w="1984"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w:t>
            </w:r>
          </w:p>
        </w:tc>
        <w:tc>
          <w:tcPr>
            <w:tcW w:w="1704"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w:t>
            </w:r>
          </w:p>
        </w:tc>
      </w:tr>
      <w:tr w:rsidR="004336C9">
        <w:trPr>
          <w:cantSplit/>
          <w:trHeight w:val="254"/>
        </w:trPr>
        <w:tc>
          <w:tcPr>
            <w:tcW w:w="2157"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275"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276"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418"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984"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704"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r>
      <w:tr w:rsidR="004336C9">
        <w:trPr>
          <w:cantSplit/>
          <w:trHeight w:val="254"/>
        </w:trPr>
        <w:tc>
          <w:tcPr>
            <w:tcW w:w="2157"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Фьючерсный</w:t>
            </w:r>
          </w:p>
        </w:tc>
        <w:tc>
          <w:tcPr>
            <w:tcW w:w="1275"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510</w:t>
            </w:r>
          </w:p>
        </w:tc>
        <w:tc>
          <w:tcPr>
            <w:tcW w:w="1276"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610</w:t>
            </w:r>
          </w:p>
        </w:tc>
        <w:tc>
          <w:tcPr>
            <w:tcW w:w="1418"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w:t>
            </w:r>
          </w:p>
        </w:tc>
        <w:tc>
          <w:tcPr>
            <w:tcW w:w="1984"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100</w:t>
            </w:r>
          </w:p>
        </w:tc>
        <w:tc>
          <w:tcPr>
            <w:tcW w:w="1704"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w:t>
            </w:r>
          </w:p>
        </w:tc>
      </w:tr>
      <w:tr w:rsidR="004336C9">
        <w:trPr>
          <w:cantSplit/>
          <w:trHeight w:val="254"/>
        </w:trPr>
        <w:tc>
          <w:tcPr>
            <w:tcW w:w="2157"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рынок</w:t>
            </w:r>
          </w:p>
        </w:tc>
        <w:tc>
          <w:tcPr>
            <w:tcW w:w="1275"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276"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418"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984"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(610- 510)</w:t>
            </w:r>
          </w:p>
        </w:tc>
        <w:tc>
          <w:tcPr>
            <w:tcW w:w="1704"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r>
      <w:tr w:rsidR="004336C9">
        <w:trPr>
          <w:cantSplit/>
          <w:trHeight w:val="254"/>
        </w:trPr>
        <w:tc>
          <w:tcPr>
            <w:tcW w:w="2157" w:type="dxa"/>
            <w:tcBorders>
              <w:top w:val="single" w:sz="6" w:space="0" w:color="000000"/>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Затраты-всего</w:t>
            </w:r>
          </w:p>
        </w:tc>
        <w:tc>
          <w:tcPr>
            <w:tcW w:w="1275" w:type="dxa"/>
            <w:tcBorders>
              <w:top w:val="single" w:sz="6" w:space="0" w:color="000000"/>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276" w:type="dxa"/>
            <w:tcBorders>
              <w:top w:val="single" w:sz="6" w:space="0" w:color="000000"/>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418" w:type="dxa"/>
            <w:tcBorders>
              <w:top w:val="single" w:sz="6" w:space="0" w:color="000000"/>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984" w:type="dxa"/>
            <w:tcBorders>
              <w:top w:val="single" w:sz="6" w:space="0" w:color="000000"/>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704" w:type="dxa"/>
            <w:tcBorders>
              <w:top w:val="single" w:sz="6" w:space="0" w:color="000000"/>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500     (600-100)</w:t>
            </w:r>
          </w:p>
        </w:tc>
      </w:tr>
      <w:tr w:rsidR="004336C9">
        <w:trPr>
          <w:cantSplit/>
          <w:trHeight w:val="254"/>
        </w:trPr>
        <w:tc>
          <w:tcPr>
            <w:tcW w:w="2157"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275"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276"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418"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984"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704"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r>
    </w:tbl>
    <w:p w:rsidR="004336C9" w:rsidRDefault="004336C9">
      <w:pPr>
        <w:spacing w:line="360" w:lineRule="atLeast"/>
        <w:ind w:right="-1" w:firstLine="340"/>
        <w:jc w:val="both"/>
        <w:rPr>
          <w:rFonts w:ascii="Antiqua" w:hAnsi="Antiqua"/>
          <w:i/>
          <w:sz w:val="24"/>
        </w:rPr>
      </w:pPr>
    </w:p>
    <w:p w:rsidR="004336C9" w:rsidRDefault="00B25E82">
      <w:pPr>
        <w:spacing w:line="360" w:lineRule="atLeast"/>
        <w:ind w:right="-1" w:firstLine="340"/>
        <w:jc w:val="both"/>
        <w:rPr>
          <w:rFonts w:ascii="Antiqua" w:hAnsi="Antiqua"/>
          <w:sz w:val="24"/>
        </w:rPr>
      </w:pPr>
      <w:r>
        <w:rPr>
          <w:rFonts w:ascii="Antiqua" w:hAnsi="Antiqua"/>
          <w:sz w:val="24"/>
        </w:rPr>
        <w:t>Допустим, в январе руководство текстильной фабрики решило в период летних отпусков (в июле) заменить устаревшее оборудование на более современное зарубежное. За полгода (с января по июль) стоимость оборудования может очень сильно возрасти. Опасаясь значительного роста стоимости оборудования, фабрика может купить фьючерсный контракт на поставку данного товара с исполнением в июле. В июле стоимость оборудования возросла на реальном рынке до 600 условных единиц, а на фьючерсном рынке - до 610 условных единиц. Затраты фабрики на рынке реального товара (600 условных единиц) благодаря полученному доходу на фьючерсном рынке (100 условных единиц) не превысили суммы затрат, планируемых руководством по состоянию на 1 января (500 условных единиц).</w:t>
      </w:r>
    </w:p>
    <w:p w:rsidR="004336C9" w:rsidRDefault="00B25E82">
      <w:pPr>
        <w:spacing w:line="360" w:lineRule="atLeast"/>
        <w:ind w:right="-1" w:firstLine="340"/>
        <w:jc w:val="both"/>
        <w:rPr>
          <w:rFonts w:ascii="Antiqua" w:hAnsi="Antiqua"/>
          <w:sz w:val="24"/>
        </w:rPr>
      </w:pPr>
      <w:r>
        <w:rPr>
          <w:rFonts w:ascii="Antiqua" w:hAnsi="Antiqua"/>
          <w:sz w:val="24"/>
        </w:rPr>
        <w:t>Существуют разные формы хеджирования в зависимости от того, кто является его участником и с какой целью оно осуществляется. Хеджирование может проводиться на весь наличный товар или на его часть; на имеющийся наличный товар или товар, отсутствующий в момент заключения фьючерсного контракта; на комбинацию различных дат поставки реального товара и выполнение фьючерсного контракта.</w:t>
      </w:r>
    </w:p>
    <w:p w:rsidR="004336C9" w:rsidRDefault="00B25E82">
      <w:pPr>
        <w:spacing w:line="360" w:lineRule="atLeast"/>
        <w:ind w:right="-1" w:firstLine="340"/>
        <w:jc w:val="both"/>
        <w:rPr>
          <w:rFonts w:ascii="Antiqua" w:hAnsi="Antiqua"/>
          <w:sz w:val="24"/>
        </w:rPr>
      </w:pPr>
      <w:r>
        <w:rPr>
          <w:rFonts w:ascii="Antiqua" w:hAnsi="Antiqua"/>
          <w:sz w:val="24"/>
        </w:rPr>
        <w:t>Хеджирование позволяет получить и дополнительную прибыль. Средняя разница между ценой наличного товара и фьючерсного контракта на соответствующий месяц поставки представляет собой базис и зависит от расходов на хранение и других труднопрогнозируемых факторов.</w:t>
      </w:r>
    </w:p>
    <w:p w:rsidR="004336C9" w:rsidRDefault="00B25E82">
      <w:pPr>
        <w:spacing w:line="360" w:lineRule="atLeast"/>
        <w:ind w:right="-1" w:firstLine="340"/>
        <w:jc w:val="both"/>
        <w:rPr>
          <w:rFonts w:ascii="Antiqua" w:hAnsi="Antiqua"/>
          <w:sz w:val="24"/>
        </w:rPr>
      </w:pPr>
      <w:r>
        <w:rPr>
          <w:rFonts w:ascii="Antiqua" w:hAnsi="Antiqua"/>
          <w:sz w:val="24"/>
        </w:rPr>
        <w:t xml:space="preserve">В случае хеджирования продавец товара, желающий получить дополнительную прибыль, должен стремиться продать фьючерсный контракт на свой товар по цене, превышающей действующую рыночную цену реального товара на величину базиса. Если в дальнейшем базис будет уменьшаться, то хеджер выигрывает, так как либо рост цен на фьючерсном рынке отстает от роста цен на реальном рынке, либо снижение цен на фьючерсном рынке опережает снижение цен на реальном рынке. В случае увеличения базиса хеджер-продавец проигрывает. Покупатель товара, желающий получить дополнительную прибыль, основывается в своих прогнозах на ином изменении базиса, т.е. при его возрастании хеджер выигрывает, а при уменьшении базиса - проигрывает. </w:t>
      </w:r>
    </w:p>
    <w:p w:rsidR="004336C9" w:rsidRDefault="00B25E82">
      <w:pPr>
        <w:spacing w:line="360" w:lineRule="atLeast"/>
        <w:ind w:right="-1" w:firstLine="340"/>
        <w:jc w:val="both"/>
        <w:rPr>
          <w:rFonts w:ascii="Antiqua" w:hAnsi="Antiqua"/>
          <w:sz w:val="24"/>
        </w:rPr>
      </w:pPr>
      <w:r>
        <w:rPr>
          <w:rFonts w:ascii="Antiqua" w:hAnsi="Antiqua"/>
          <w:sz w:val="24"/>
        </w:rPr>
        <w:t>В указанный вариантах конечная цена для хеджера равна его целевой цене плюс изменение базиса. Она определяется по формуле [2, с. 175]:</w:t>
      </w:r>
    </w:p>
    <w:p w:rsidR="004336C9" w:rsidRDefault="00B25E82">
      <w:pPr>
        <w:spacing w:line="360" w:lineRule="atLeast"/>
        <w:ind w:right="-1" w:firstLine="340"/>
        <w:jc w:val="both"/>
        <w:rPr>
          <w:rFonts w:ascii="Antiqua" w:hAnsi="Antiqua"/>
          <w:sz w:val="24"/>
        </w:rPr>
      </w:pPr>
      <w:r>
        <w:rPr>
          <w:rFonts w:ascii="Antiqua" w:hAnsi="Antiqua"/>
          <w:sz w:val="24"/>
        </w:rPr>
        <w:tab/>
      </w:r>
      <w:r>
        <w:rPr>
          <w:rFonts w:ascii="Antiqua" w:hAnsi="Antiqua"/>
          <w:sz w:val="24"/>
        </w:rPr>
        <w:tab/>
      </w:r>
      <w:r>
        <w:rPr>
          <w:rFonts w:ascii="Antiqua" w:hAnsi="Antiqua"/>
          <w:sz w:val="24"/>
        </w:rPr>
        <w:tab/>
      </w:r>
      <w:r>
        <w:rPr>
          <w:rFonts w:ascii="Antiqua" w:hAnsi="Antiqua"/>
          <w:sz w:val="24"/>
        </w:rPr>
        <w:tab/>
      </w:r>
      <w:r>
        <w:rPr>
          <w:rFonts w:ascii="Antiqua" w:hAnsi="Antiqua"/>
          <w:sz w:val="24"/>
        </w:rPr>
        <w:tab/>
        <w:t>Цк = Цц + ^ Б, где</w:t>
      </w:r>
    </w:p>
    <w:p w:rsidR="004336C9" w:rsidRDefault="00B25E82">
      <w:pPr>
        <w:spacing w:line="360" w:lineRule="atLeast"/>
        <w:ind w:right="-1" w:firstLine="340"/>
        <w:jc w:val="both"/>
        <w:rPr>
          <w:rFonts w:ascii="Antiqua" w:hAnsi="Antiqua"/>
          <w:sz w:val="24"/>
        </w:rPr>
      </w:pPr>
      <w:r>
        <w:rPr>
          <w:rFonts w:ascii="Antiqua" w:hAnsi="Antiqua"/>
          <w:sz w:val="24"/>
        </w:rPr>
        <w:t>Цк - конечная цена для хеджера;</w:t>
      </w:r>
    </w:p>
    <w:p w:rsidR="004336C9" w:rsidRDefault="00B25E82">
      <w:pPr>
        <w:spacing w:line="360" w:lineRule="atLeast"/>
        <w:ind w:right="-1" w:firstLine="340"/>
        <w:jc w:val="both"/>
        <w:rPr>
          <w:rFonts w:ascii="Antiqua" w:hAnsi="Antiqua"/>
          <w:sz w:val="24"/>
        </w:rPr>
      </w:pPr>
      <w:r>
        <w:rPr>
          <w:rFonts w:ascii="Antiqua" w:hAnsi="Antiqua"/>
          <w:sz w:val="24"/>
        </w:rPr>
        <w:t>Цц - целевая цена для хеджера;</w:t>
      </w:r>
    </w:p>
    <w:p w:rsidR="004336C9" w:rsidRDefault="00B25E82">
      <w:pPr>
        <w:spacing w:line="360" w:lineRule="atLeast"/>
        <w:ind w:right="-1" w:firstLine="340"/>
        <w:jc w:val="both"/>
        <w:rPr>
          <w:rFonts w:ascii="Antiqua" w:hAnsi="Antiqua"/>
          <w:sz w:val="24"/>
        </w:rPr>
      </w:pPr>
      <w:r>
        <w:rPr>
          <w:rFonts w:ascii="Antiqua" w:hAnsi="Antiqua"/>
          <w:sz w:val="24"/>
        </w:rPr>
        <w:t>^ Б - изменение базиса.</w:t>
      </w:r>
    </w:p>
    <w:p w:rsidR="004336C9" w:rsidRDefault="00B25E82">
      <w:pPr>
        <w:spacing w:line="360" w:lineRule="atLeast"/>
        <w:ind w:right="-1" w:firstLine="340"/>
        <w:jc w:val="both"/>
        <w:rPr>
          <w:rFonts w:ascii="Antiqua" w:hAnsi="Antiqua"/>
          <w:sz w:val="24"/>
        </w:rPr>
      </w:pPr>
      <w:r>
        <w:rPr>
          <w:rFonts w:ascii="Antiqua" w:hAnsi="Antiqua"/>
          <w:sz w:val="24"/>
        </w:rPr>
        <w:t xml:space="preserve">Если хеджер является продавцом, то у него будет дополнительная прибыль в случае, когда конечная цена окажется выше целевой. Это возможно при уменьшении базиса. </w:t>
      </w:r>
    </w:p>
    <w:p w:rsidR="004336C9" w:rsidRDefault="00B25E82">
      <w:pPr>
        <w:spacing w:line="360" w:lineRule="atLeast"/>
        <w:ind w:right="-1" w:firstLine="340"/>
        <w:jc w:val="both"/>
        <w:rPr>
          <w:rFonts w:ascii="Antiqua" w:hAnsi="Antiqua"/>
          <w:sz w:val="24"/>
        </w:rPr>
      </w:pPr>
      <w:r>
        <w:rPr>
          <w:rFonts w:ascii="Antiqua" w:hAnsi="Antiqua"/>
          <w:sz w:val="24"/>
        </w:rPr>
        <w:t>Условный пример 3.</w:t>
      </w:r>
    </w:p>
    <w:tbl>
      <w:tblPr>
        <w:tblW w:w="0" w:type="auto"/>
        <w:tblInd w:w="-38" w:type="dxa"/>
        <w:tblLayout w:type="fixed"/>
        <w:tblCellMar>
          <w:left w:w="30" w:type="dxa"/>
          <w:right w:w="30" w:type="dxa"/>
        </w:tblCellMar>
        <w:tblLook w:val="0000" w:firstRow="0" w:lastRow="0" w:firstColumn="0" w:lastColumn="0" w:noHBand="0" w:noVBand="0"/>
      </w:tblPr>
      <w:tblGrid>
        <w:gridCol w:w="2865"/>
        <w:gridCol w:w="1588"/>
        <w:gridCol w:w="1528"/>
        <w:gridCol w:w="3688"/>
      </w:tblGrid>
      <w:tr w:rsidR="004336C9">
        <w:trPr>
          <w:cantSplit/>
          <w:trHeight w:val="254"/>
        </w:trPr>
        <w:tc>
          <w:tcPr>
            <w:tcW w:w="2865" w:type="dxa"/>
            <w:tcBorders>
              <w:top w:val="single" w:sz="6" w:space="0" w:color="000000"/>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588" w:type="dxa"/>
            <w:tcBorders>
              <w:top w:val="single" w:sz="6" w:space="0" w:color="000000"/>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цена на 1 января</w:t>
            </w:r>
          </w:p>
        </w:tc>
        <w:tc>
          <w:tcPr>
            <w:tcW w:w="1528" w:type="dxa"/>
            <w:tcBorders>
              <w:top w:val="single" w:sz="6" w:space="0" w:color="000000"/>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 xml:space="preserve">цена на 1 апреля  </w:t>
            </w:r>
          </w:p>
        </w:tc>
        <w:tc>
          <w:tcPr>
            <w:tcW w:w="3688" w:type="dxa"/>
            <w:tcBorders>
              <w:top w:val="single" w:sz="6" w:space="0" w:color="000000"/>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 xml:space="preserve">выручка от  проведения операций по состоянию на 1 апреля </w:t>
            </w:r>
          </w:p>
        </w:tc>
      </w:tr>
      <w:tr w:rsidR="004336C9">
        <w:trPr>
          <w:cantSplit/>
          <w:trHeight w:val="254"/>
        </w:trPr>
        <w:tc>
          <w:tcPr>
            <w:tcW w:w="2865"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588"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528"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3688"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r>
      <w:tr w:rsidR="004336C9">
        <w:trPr>
          <w:cantSplit/>
          <w:trHeight w:val="254"/>
        </w:trPr>
        <w:tc>
          <w:tcPr>
            <w:tcW w:w="2865"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Рынок реального товара</w:t>
            </w:r>
          </w:p>
        </w:tc>
        <w:tc>
          <w:tcPr>
            <w:tcW w:w="1588"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100</w:t>
            </w:r>
          </w:p>
        </w:tc>
        <w:tc>
          <w:tcPr>
            <w:tcW w:w="1528"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80</w:t>
            </w:r>
          </w:p>
        </w:tc>
        <w:tc>
          <w:tcPr>
            <w:tcW w:w="3688"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80</w:t>
            </w:r>
          </w:p>
        </w:tc>
      </w:tr>
      <w:tr w:rsidR="004336C9">
        <w:trPr>
          <w:cantSplit/>
          <w:trHeight w:val="254"/>
        </w:trPr>
        <w:tc>
          <w:tcPr>
            <w:tcW w:w="2865"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Фьючерсный рынок</w:t>
            </w:r>
          </w:p>
        </w:tc>
        <w:tc>
          <w:tcPr>
            <w:tcW w:w="1588"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528"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3688"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r>
      <w:tr w:rsidR="004336C9">
        <w:trPr>
          <w:cantSplit/>
          <w:trHeight w:val="254"/>
        </w:trPr>
        <w:tc>
          <w:tcPr>
            <w:tcW w:w="2865"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(1 января - продажа контракта; 1 апреля-покупка</w:t>
            </w:r>
          </w:p>
        </w:tc>
        <w:tc>
          <w:tcPr>
            <w:tcW w:w="1588"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120</w:t>
            </w:r>
          </w:p>
        </w:tc>
        <w:tc>
          <w:tcPr>
            <w:tcW w:w="1528"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90</w:t>
            </w:r>
          </w:p>
        </w:tc>
        <w:tc>
          <w:tcPr>
            <w:tcW w:w="3688"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30    (120-90)</w:t>
            </w:r>
          </w:p>
        </w:tc>
      </w:tr>
      <w:tr w:rsidR="004336C9">
        <w:trPr>
          <w:cantSplit/>
          <w:trHeight w:val="254"/>
        </w:trPr>
        <w:tc>
          <w:tcPr>
            <w:tcW w:w="2865"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Базис</w:t>
            </w:r>
          </w:p>
        </w:tc>
        <w:tc>
          <w:tcPr>
            <w:tcW w:w="1588"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20</w:t>
            </w:r>
          </w:p>
        </w:tc>
        <w:tc>
          <w:tcPr>
            <w:tcW w:w="1528"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10</w:t>
            </w:r>
          </w:p>
        </w:tc>
        <w:tc>
          <w:tcPr>
            <w:tcW w:w="3688"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w:t>
            </w:r>
          </w:p>
        </w:tc>
      </w:tr>
      <w:tr w:rsidR="004336C9">
        <w:trPr>
          <w:cantSplit/>
          <w:trHeight w:val="254"/>
        </w:trPr>
        <w:tc>
          <w:tcPr>
            <w:tcW w:w="2865"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Выручка - всего</w:t>
            </w:r>
          </w:p>
        </w:tc>
        <w:tc>
          <w:tcPr>
            <w:tcW w:w="1588"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w:t>
            </w:r>
          </w:p>
        </w:tc>
        <w:tc>
          <w:tcPr>
            <w:tcW w:w="1528"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w:t>
            </w:r>
          </w:p>
        </w:tc>
        <w:tc>
          <w:tcPr>
            <w:tcW w:w="3688"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110</w:t>
            </w:r>
          </w:p>
        </w:tc>
      </w:tr>
    </w:tbl>
    <w:p w:rsidR="004336C9" w:rsidRDefault="004336C9">
      <w:pPr>
        <w:spacing w:line="360" w:lineRule="atLeast"/>
        <w:ind w:right="-1" w:firstLine="340"/>
        <w:jc w:val="both"/>
        <w:rPr>
          <w:rFonts w:ascii="Antiqua" w:hAnsi="Antiqua"/>
          <w:i/>
          <w:sz w:val="24"/>
        </w:rPr>
      </w:pPr>
    </w:p>
    <w:p w:rsidR="004336C9" w:rsidRDefault="00B25E82">
      <w:pPr>
        <w:spacing w:line="360" w:lineRule="atLeast"/>
        <w:ind w:right="-1" w:firstLine="340"/>
        <w:jc w:val="both"/>
        <w:rPr>
          <w:rFonts w:ascii="Antiqua" w:hAnsi="Antiqua"/>
          <w:sz w:val="24"/>
        </w:rPr>
      </w:pPr>
      <w:r>
        <w:rPr>
          <w:rFonts w:ascii="Antiqua" w:hAnsi="Antiqua"/>
          <w:sz w:val="24"/>
        </w:rPr>
        <w:t>Итак, целевая цена для продавца по условию составила 100 единиц, изменение базиса - 10 (20-10), конечная цена 110 единиц (100+10), т.е. по сравнению с хеджированием в примере 1 хеджер получил дополнительную прибыль, равную 10 единицам (110-100).</w:t>
      </w:r>
    </w:p>
    <w:p w:rsidR="004336C9" w:rsidRDefault="00B25E82">
      <w:pPr>
        <w:spacing w:line="360" w:lineRule="atLeast"/>
        <w:ind w:right="-1" w:firstLine="340"/>
        <w:jc w:val="both"/>
        <w:rPr>
          <w:rFonts w:ascii="Antiqua" w:hAnsi="Antiqua"/>
          <w:sz w:val="24"/>
        </w:rPr>
      </w:pPr>
      <w:r>
        <w:rPr>
          <w:rFonts w:ascii="Antiqua" w:hAnsi="Antiqua"/>
          <w:sz w:val="24"/>
        </w:rPr>
        <w:t>Если хеджер представляет собой покупателя, то дополнительную прибыль он получит, когда конечная цена окажется ниже целевой, т.е. при возрастании базиса.</w:t>
      </w:r>
    </w:p>
    <w:p w:rsidR="004336C9" w:rsidRDefault="00B25E82">
      <w:pPr>
        <w:spacing w:line="360" w:lineRule="atLeast"/>
        <w:ind w:right="-1" w:firstLine="340"/>
        <w:jc w:val="both"/>
        <w:rPr>
          <w:rFonts w:ascii="Antiqua" w:hAnsi="Antiqua"/>
          <w:sz w:val="24"/>
        </w:rPr>
      </w:pPr>
      <w:r>
        <w:rPr>
          <w:rFonts w:ascii="Antiqua" w:hAnsi="Antiqua"/>
          <w:sz w:val="24"/>
        </w:rPr>
        <w:t>Условный пример 4.</w:t>
      </w:r>
    </w:p>
    <w:tbl>
      <w:tblPr>
        <w:tblW w:w="0" w:type="auto"/>
        <w:tblInd w:w="-38" w:type="dxa"/>
        <w:tblLayout w:type="fixed"/>
        <w:tblCellMar>
          <w:left w:w="30" w:type="dxa"/>
          <w:right w:w="30" w:type="dxa"/>
        </w:tblCellMar>
        <w:tblLook w:val="0000" w:firstRow="0" w:lastRow="0" w:firstColumn="0" w:lastColumn="0" w:noHBand="0" w:noVBand="0"/>
      </w:tblPr>
      <w:tblGrid>
        <w:gridCol w:w="2015"/>
        <w:gridCol w:w="1276"/>
        <w:gridCol w:w="1320"/>
        <w:gridCol w:w="1467"/>
        <w:gridCol w:w="1749"/>
        <w:gridCol w:w="1842"/>
      </w:tblGrid>
      <w:tr w:rsidR="004336C9">
        <w:trPr>
          <w:cantSplit/>
          <w:trHeight w:val="254"/>
        </w:trPr>
        <w:tc>
          <w:tcPr>
            <w:tcW w:w="2015" w:type="dxa"/>
            <w:tcBorders>
              <w:top w:val="single" w:sz="6" w:space="0" w:color="000000"/>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276" w:type="dxa"/>
            <w:tcBorders>
              <w:top w:val="single" w:sz="6" w:space="0" w:color="000000"/>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цена на 1 января</w:t>
            </w:r>
          </w:p>
        </w:tc>
        <w:tc>
          <w:tcPr>
            <w:tcW w:w="1320" w:type="dxa"/>
            <w:tcBorders>
              <w:top w:val="single" w:sz="6" w:space="0" w:color="000000"/>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цена на 1 июля</w:t>
            </w:r>
          </w:p>
        </w:tc>
        <w:tc>
          <w:tcPr>
            <w:tcW w:w="1467" w:type="dxa"/>
            <w:tcBorders>
              <w:top w:val="single" w:sz="6" w:space="0" w:color="000000"/>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затраты на рынке реального товара</w:t>
            </w:r>
          </w:p>
        </w:tc>
        <w:tc>
          <w:tcPr>
            <w:tcW w:w="1749" w:type="dxa"/>
            <w:tcBorders>
              <w:top w:val="single" w:sz="6" w:space="0" w:color="000000"/>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выручка от операций на фьючерсном рынке</w:t>
            </w:r>
          </w:p>
        </w:tc>
        <w:tc>
          <w:tcPr>
            <w:tcW w:w="1842" w:type="dxa"/>
            <w:tcBorders>
              <w:top w:val="single" w:sz="6" w:space="0" w:color="000000"/>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затраты покупателя за счет соб- ственных средств</w:t>
            </w:r>
          </w:p>
        </w:tc>
      </w:tr>
      <w:tr w:rsidR="004336C9">
        <w:trPr>
          <w:cantSplit/>
          <w:trHeight w:val="254"/>
        </w:trPr>
        <w:tc>
          <w:tcPr>
            <w:tcW w:w="2015"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276"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320"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467"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749"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842"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r>
      <w:tr w:rsidR="004336C9">
        <w:trPr>
          <w:cantSplit/>
          <w:trHeight w:val="254"/>
        </w:trPr>
        <w:tc>
          <w:tcPr>
            <w:tcW w:w="2015"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 xml:space="preserve">Рынок </w:t>
            </w:r>
          </w:p>
        </w:tc>
        <w:tc>
          <w:tcPr>
            <w:tcW w:w="1276"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320"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467"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749"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842"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r>
      <w:tr w:rsidR="004336C9">
        <w:trPr>
          <w:cantSplit/>
          <w:trHeight w:val="254"/>
        </w:trPr>
        <w:tc>
          <w:tcPr>
            <w:tcW w:w="2015"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реального</w:t>
            </w:r>
          </w:p>
        </w:tc>
        <w:tc>
          <w:tcPr>
            <w:tcW w:w="1276"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500</w:t>
            </w:r>
          </w:p>
        </w:tc>
        <w:tc>
          <w:tcPr>
            <w:tcW w:w="1320"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600</w:t>
            </w:r>
          </w:p>
        </w:tc>
        <w:tc>
          <w:tcPr>
            <w:tcW w:w="1467"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600</w:t>
            </w:r>
          </w:p>
        </w:tc>
        <w:tc>
          <w:tcPr>
            <w:tcW w:w="1749"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w:t>
            </w:r>
          </w:p>
        </w:tc>
        <w:tc>
          <w:tcPr>
            <w:tcW w:w="1842"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w:t>
            </w:r>
          </w:p>
        </w:tc>
      </w:tr>
      <w:tr w:rsidR="004336C9">
        <w:trPr>
          <w:cantSplit/>
          <w:trHeight w:val="254"/>
        </w:trPr>
        <w:tc>
          <w:tcPr>
            <w:tcW w:w="2015" w:type="dxa"/>
            <w:tcBorders>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товара</w:t>
            </w:r>
          </w:p>
        </w:tc>
        <w:tc>
          <w:tcPr>
            <w:tcW w:w="1276"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320"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467"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749"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842"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r>
      <w:tr w:rsidR="004336C9">
        <w:trPr>
          <w:cantSplit/>
          <w:trHeight w:val="254"/>
        </w:trPr>
        <w:tc>
          <w:tcPr>
            <w:tcW w:w="2015"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Фьючерсный</w:t>
            </w:r>
          </w:p>
        </w:tc>
        <w:tc>
          <w:tcPr>
            <w:tcW w:w="1276"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510</w:t>
            </w:r>
          </w:p>
        </w:tc>
        <w:tc>
          <w:tcPr>
            <w:tcW w:w="1320"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620</w:t>
            </w:r>
          </w:p>
        </w:tc>
        <w:tc>
          <w:tcPr>
            <w:tcW w:w="1467"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w:t>
            </w:r>
          </w:p>
        </w:tc>
        <w:tc>
          <w:tcPr>
            <w:tcW w:w="1749"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110</w:t>
            </w:r>
          </w:p>
        </w:tc>
        <w:tc>
          <w:tcPr>
            <w:tcW w:w="1842"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w:t>
            </w:r>
          </w:p>
        </w:tc>
      </w:tr>
      <w:tr w:rsidR="004336C9">
        <w:trPr>
          <w:cantSplit/>
          <w:trHeight w:val="254"/>
        </w:trPr>
        <w:tc>
          <w:tcPr>
            <w:tcW w:w="2015"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рынок</w:t>
            </w:r>
          </w:p>
        </w:tc>
        <w:tc>
          <w:tcPr>
            <w:tcW w:w="1276"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320"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467"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749"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842"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r>
      <w:tr w:rsidR="004336C9">
        <w:trPr>
          <w:cantSplit/>
          <w:trHeight w:val="254"/>
        </w:trPr>
        <w:tc>
          <w:tcPr>
            <w:tcW w:w="2015"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Базис</w:t>
            </w:r>
          </w:p>
        </w:tc>
        <w:tc>
          <w:tcPr>
            <w:tcW w:w="1276"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10</w:t>
            </w:r>
          </w:p>
        </w:tc>
        <w:tc>
          <w:tcPr>
            <w:tcW w:w="1320"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20</w:t>
            </w:r>
          </w:p>
        </w:tc>
        <w:tc>
          <w:tcPr>
            <w:tcW w:w="1467"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w:t>
            </w:r>
          </w:p>
        </w:tc>
        <w:tc>
          <w:tcPr>
            <w:tcW w:w="1749"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w:t>
            </w:r>
          </w:p>
        </w:tc>
        <w:tc>
          <w:tcPr>
            <w:tcW w:w="1842" w:type="dxa"/>
            <w:tcBorders>
              <w:top w:val="single" w:sz="6" w:space="0" w:color="000000"/>
              <w:left w:val="single" w:sz="6" w:space="0" w:color="000000"/>
              <w:bottom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w:t>
            </w:r>
          </w:p>
        </w:tc>
      </w:tr>
      <w:tr w:rsidR="004336C9">
        <w:trPr>
          <w:cantSplit/>
          <w:trHeight w:val="254"/>
        </w:trPr>
        <w:tc>
          <w:tcPr>
            <w:tcW w:w="2015"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Затраты-всего</w:t>
            </w:r>
          </w:p>
        </w:tc>
        <w:tc>
          <w:tcPr>
            <w:tcW w:w="1276"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320"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467"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749" w:type="dxa"/>
            <w:tcBorders>
              <w:left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842" w:type="dxa"/>
            <w:tcBorders>
              <w:left w:val="single" w:sz="6" w:space="0" w:color="000000"/>
              <w:right w:val="single" w:sz="6" w:space="0" w:color="000000"/>
            </w:tcBorders>
          </w:tcPr>
          <w:p w:rsidR="004336C9" w:rsidRDefault="00B25E82">
            <w:pPr>
              <w:spacing w:line="360" w:lineRule="atLeast"/>
              <w:ind w:right="-1" w:firstLine="340"/>
              <w:jc w:val="center"/>
              <w:rPr>
                <w:rFonts w:ascii="Antiqua" w:hAnsi="Antiqua"/>
                <w:color w:val="000000"/>
                <w:sz w:val="24"/>
              </w:rPr>
            </w:pPr>
            <w:r>
              <w:rPr>
                <w:rFonts w:ascii="Antiqua" w:hAnsi="Antiqua"/>
                <w:color w:val="000000"/>
                <w:sz w:val="24"/>
              </w:rPr>
              <w:t>490       (600-110)</w:t>
            </w:r>
          </w:p>
        </w:tc>
      </w:tr>
      <w:tr w:rsidR="004336C9">
        <w:trPr>
          <w:cantSplit/>
          <w:trHeight w:val="254"/>
        </w:trPr>
        <w:tc>
          <w:tcPr>
            <w:tcW w:w="2015"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276"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320"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467"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749"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c>
          <w:tcPr>
            <w:tcW w:w="1842" w:type="dxa"/>
            <w:tcBorders>
              <w:left w:val="single" w:sz="6" w:space="0" w:color="000000"/>
              <w:bottom w:val="single" w:sz="6" w:space="0" w:color="000000"/>
              <w:right w:val="single" w:sz="6" w:space="0" w:color="000000"/>
            </w:tcBorders>
          </w:tcPr>
          <w:p w:rsidR="004336C9" w:rsidRDefault="004336C9">
            <w:pPr>
              <w:spacing w:line="360" w:lineRule="atLeast"/>
              <w:ind w:right="-1" w:firstLine="340"/>
              <w:jc w:val="center"/>
              <w:rPr>
                <w:rFonts w:ascii="Antiqua" w:hAnsi="Antiqua"/>
                <w:color w:val="000000"/>
                <w:sz w:val="24"/>
              </w:rPr>
            </w:pPr>
          </w:p>
        </w:tc>
      </w:tr>
    </w:tbl>
    <w:p w:rsidR="004336C9" w:rsidRDefault="004336C9">
      <w:pPr>
        <w:spacing w:line="360" w:lineRule="atLeast"/>
        <w:ind w:right="-1" w:firstLine="340"/>
        <w:jc w:val="both"/>
        <w:rPr>
          <w:rFonts w:ascii="Antiqua" w:hAnsi="Antiqua"/>
          <w:i/>
          <w:sz w:val="24"/>
        </w:rPr>
      </w:pPr>
    </w:p>
    <w:p w:rsidR="004336C9" w:rsidRDefault="00B25E82">
      <w:pPr>
        <w:spacing w:line="360" w:lineRule="atLeast"/>
        <w:ind w:right="-1" w:firstLine="340"/>
        <w:jc w:val="both"/>
        <w:rPr>
          <w:rFonts w:ascii="Antiqua" w:hAnsi="Antiqua"/>
          <w:sz w:val="24"/>
        </w:rPr>
      </w:pPr>
      <w:r>
        <w:rPr>
          <w:rFonts w:ascii="Antiqua" w:hAnsi="Antiqua"/>
          <w:sz w:val="24"/>
        </w:rPr>
        <w:t>Целевая цена для покупателя по условию - 500 единиц, изменение базиса составило минус 10 (10-20), конечная цена равна 490 единицам (500-10), т.е. по сравнению с хеджированием в примере 2 хеджер получил дополнительную прибыль, равную 10 единицам (500-490).</w:t>
      </w:r>
    </w:p>
    <w:p w:rsidR="004336C9" w:rsidRDefault="004336C9">
      <w:pPr>
        <w:spacing w:line="360" w:lineRule="atLeast"/>
        <w:ind w:right="-1" w:firstLine="340"/>
        <w:jc w:val="both"/>
        <w:rPr>
          <w:rFonts w:ascii="Antiqua" w:hAnsi="Antiqua"/>
          <w:i/>
          <w:sz w:val="24"/>
        </w:rPr>
      </w:pPr>
    </w:p>
    <w:p w:rsidR="004336C9" w:rsidRDefault="00B25E82">
      <w:pPr>
        <w:spacing w:line="360" w:lineRule="atLeast"/>
        <w:ind w:right="-1" w:firstLine="340"/>
        <w:jc w:val="both"/>
        <w:rPr>
          <w:rFonts w:ascii="Arial Cyr Italic" w:hAnsi="Arial Cyr Italic"/>
          <w:sz w:val="24"/>
        </w:rPr>
      </w:pPr>
      <w:r>
        <w:rPr>
          <w:rFonts w:ascii="Arial Cyr Italic" w:hAnsi="Arial Cyr Italic"/>
          <w:sz w:val="24"/>
        </w:rPr>
        <w:tab/>
      </w:r>
      <w:r>
        <w:rPr>
          <w:rFonts w:ascii="Arial Cyr Italic" w:hAnsi="Arial Cyr Italic"/>
          <w:sz w:val="24"/>
        </w:rPr>
        <w:tab/>
        <w:t>3.2. Спекулянты.</w:t>
      </w:r>
    </w:p>
    <w:p w:rsidR="004336C9" w:rsidRDefault="00B25E82">
      <w:pPr>
        <w:spacing w:line="360" w:lineRule="atLeast"/>
        <w:ind w:right="-1" w:firstLine="340"/>
        <w:jc w:val="both"/>
        <w:rPr>
          <w:rFonts w:ascii="Antiqua" w:hAnsi="Antiqua"/>
          <w:sz w:val="24"/>
        </w:rPr>
      </w:pPr>
      <w:r>
        <w:rPr>
          <w:rFonts w:ascii="Antiqua" w:hAnsi="Antiqua"/>
          <w:sz w:val="24"/>
        </w:rPr>
        <w:t>Вышеизложенное позволяет сделать вывод, согласно которому фьючерсные рынки могли бы служить исключительно в интересах будущих поставщиков и потребителей, которые используют этот рынок для снижения уровня риска, или хеджирования.</w:t>
      </w:r>
    </w:p>
    <w:p w:rsidR="004336C9" w:rsidRDefault="00B25E82">
      <w:pPr>
        <w:spacing w:line="360" w:lineRule="atLeast"/>
        <w:ind w:right="-1" w:firstLine="340"/>
        <w:jc w:val="both"/>
        <w:rPr>
          <w:rFonts w:ascii="Antiqua" w:hAnsi="Antiqua"/>
          <w:sz w:val="24"/>
        </w:rPr>
      </w:pPr>
      <w:r>
        <w:rPr>
          <w:rFonts w:ascii="Antiqua" w:hAnsi="Antiqua"/>
          <w:sz w:val="24"/>
        </w:rPr>
        <w:t>Однако на практике подавляющая часть операций на фьючерсном рынке производится людьми, которые не имеют к производству никакого отношения. Это спекулянты - люди, активно участвующие в рыночных операциях. [6, с. 354]</w:t>
      </w:r>
    </w:p>
    <w:p w:rsidR="004336C9" w:rsidRDefault="00B25E82">
      <w:pPr>
        <w:spacing w:line="360" w:lineRule="atLeast"/>
        <w:ind w:right="-1" w:firstLine="340"/>
        <w:jc w:val="both"/>
        <w:rPr>
          <w:rFonts w:ascii="Antiqua" w:hAnsi="Antiqua"/>
          <w:sz w:val="24"/>
        </w:rPr>
      </w:pPr>
      <w:r>
        <w:rPr>
          <w:rFonts w:ascii="Antiqua" w:hAnsi="Antiqua"/>
          <w:sz w:val="24"/>
        </w:rPr>
        <w:t>Биржевая спекуляция - это способ получения прибыли в процессе биржевой фьючерсной торговли, базирующейся на различиях в динамике цен фьючерсных контрактов во времени, пространстве и на разные виды товаров.</w:t>
      </w:r>
    </w:p>
    <w:p w:rsidR="004336C9" w:rsidRDefault="00B25E82">
      <w:pPr>
        <w:spacing w:line="360" w:lineRule="atLeast"/>
        <w:ind w:right="-1" w:firstLine="340"/>
        <w:jc w:val="both"/>
        <w:rPr>
          <w:rFonts w:ascii="Antiqua" w:hAnsi="Antiqua"/>
          <w:sz w:val="24"/>
        </w:rPr>
      </w:pPr>
      <w:r>
        <w:rPr>
          <w:rFonts w:ascii="Antiqua" w:hAnsi="Antiqua"/>
          <w:sz w:val="24"/>
        </w:rPr>
        <w:t>Внешне операция хеджирования неотличима от спекулятивной игры. Игрок также, как и хеджер, сначала открывает, а затем закрывает позиции, не доводя заключенные контракты до поставки. Отличие состоит в том, что для хеджера операции на фьючерсном рынке страхуют операции, производимые на рынке реального товара. Задача же игроков заключается в том, чтобы получить прибыль при помощи риска. Они занимаются покупкой и продажей фьючерсных контрактов, и их прибыль (убытки) напрямую связаны с тем, насколько точны их прогнозы относительно динамики цен. Таким образом, биржевые спекулянты принимают на себя риск от неопределенности в прогнозировании изменений цен.</w:t>
      </w:r>
    </w:p>
    <w:p w:rsidR="004336C9" w:rsidRDefault="00B25E82">
      <w:pPr>
        <w:spacing w:line="360" w:lineRule="atLeast"/>
        <w:ind w:right="-1" w:firstLine="340"/>
        <w:jc w:val="both"/>
        <w:rPr>
          <w:rFonts w:ascii="Antiqua" w:hAnsi="Antiqua"/>
          <w:sz w:val="24"/>
        </w:rPr>
      </w:pPr>
      <w:r>
        <w:rPr>
          <w:rFonts w:ascii="Antiqua" w:hAnsi="Antiqua"/>
          <w:sz w:val="24"/>
        </w:rPr>
        <w:t>Спекулянты играют важную роль во фьючерсной торговле. Они обеспечивают ликвидность фьючерсного рынка, т.е. ситуацию, когда каждый продавец находит на рынке покупателя, и наоборот. Не будь спекулянтов на рынке хеджерам было бы трудно или совсем невозможно согласовать цену, поскольку продавцы хотят добиться наивысшей возможной цены, а покупатели - самой низкой. Когда спекулянт приходит на рынок, количество продавцов и покупателей возрастает, расширяются границы по хеджированию, увеличивается стабильность уровня цен.</w:t>
      </w:r>
    </w:p>
    <w:p w:rsidR="004336C9" w:rsidRDefault="00B25E82">
      <w:pPr>
        <w:spacing w:line="360" w:lineRule="atLeast"/>
        <w:ind w:right="-1" w:firstLine="340"/>
        <w:jc w:val="both"/>
        <w:rPr>
          <w:rFonts w:ascii="Antiqua" w:hAnsi="Antiqua"/>
          <w:sz w:val="24"/>
        </w:rPr>
      </w:pPr>
      <w:r>
        <w:rPr>
          <w:rFonts w:ascii="Antiqua" w:hAnsi="Antiqua"/>
          <w:sz w:val="24"/>
        </w:rPr>
        <w:t>В политико-экономическом смысле и хеджирование, и биржевая спекуляция представляют собой просто спекуляцию, т.е. способ получения прибыли, основывающейся не на производстве, а на разнице цен. Хеджирование и биржевая спекуляция - две формы спекуляции на фьючерсном рынке, сосуществующие и дополняющие друг друга, но в то же время и отличающиеся между собой. Это две стороны одной медали. Хеджирование невозможно без биржевой спекуляции и наоборот.</w:t>
      </w:r>
    </w:p>
    <w:p w:rsidR="004336C9" w:rsidRDefault="00B25E82">
      <w:pPr>
        <w:spacing w:line="360" w:lineRule="atLeast"/>
        <w:ind w:right="-1" w:firstLine="340"/>
        <w:jc w:val="both"/>
        <w:rPr>
          <w:rFonts w:ascii="Antiqua" w:hAnsi="Antiqua"/>
          <w:sz w:val="24"/>
        </w:rPr>
      </w:pPr>
      <w:r>
        <w:rPr>
          <w:rFonts w:ascii="Antiqua" w:hAnsi="Antiqua"/>
          <w:sz w:val="24"/>
        </w:rPr>
        <w:t>Существует несколько способов классификации спекулянтов. Один из них - это деление игроков по объему открытых позиций. В качестве игроков выступают как посреднические фирмы, так и их клиенты. Все большую роль на фьючерсном рынке начинают играть банки, вкладывающие в игру часть своего капитала в качестве рискового. Мелкими спекуляциями занимаются как организации, так и физические лица.</w:t>
      </w:r>
    </w:p>
    <w:p w:rsidR="004336C9" w:rsidRDefault="00B25E82">
      <w:pPr>
        <w:spacing w:line="360" w:lineRule="atLeast"/>
        <w:ind w:right="-1" w:firstLine="340"/>
        <w:jc w:val="both"/>
        <w:rPr>
          <w:rFonts w:ascii="Antiqua" w:hAnsi="Antiqua"/>
          <w:sz w:val="24"/>
        </w:rPr>
      </w:pPr>
      <w:r>
        <w:rPr>
          <w:rFonts w:ascii="Antiqua" w:hAnsi="Antiqua"/>
          <w:sz w:val="24"/>
        </w:rPr>
        <w:t>Игроки также различаются и по способам игры. По этому признаку их можно классифицировать как позиционных, однодневных, скалперов и спекулянтов, играющих на разнице цен (спрэдеров).</w:t>
      </w:r>
    </w:p>
    <w:p w:rsidR="004336C9" w:rsidRDefault="00B25E82">
      <w:pPr>
        <w:spacing w:line="360" w:lineRule="atLeast"/>
        <w:ind w:right="-1" w:firstLine="340"/>
        <w:jc w:val="both"/>
        <w:rPr>
          <w:rFonts w:ascii="Antiqua" w:hAnsi="Antiqua"/>
          <w:sz w:val="24"/>
        </w:rPr>
      </w:pPr>
      <w:r>
        <w:rPr>
          <w:rFonts w:ascii="Antiqua" w:hAnsi="Antiqua"/>
          <w:sz w:val="24"/>
        </w:rPr>
        <w:t>Позиционные спекулянты удерживают открытые позиции в течение относительно длительного периода времени: несколько дней или недель. В основном это крупные игроки, так как однодневная игра не требует большого объема контрактов  приносит сравнительно небольшие прибыли. Работа с крупным объемом диктует определенную стратегию игр. Это постепенное открытие и закрытие позиций, игра на нескольких контрактных месяцах. Необходимость постепенного совершения сделок вызвана тем, что при значительном превышении над сложившимися объемами торгов числа открываемых или закрываемых одним игроком позиций рынок обязательно отреагирует неблагоприятным изменением котировок. Так, продажа большого количества контрактов приводит к снижению цены, а покупка - к повышению цены.</w:t>
      </w:r>
    </w:p>
    <w:p w:rsidR="004336C9" w:rsidRDefault="00B25E82">
      <w:pPr>
        <w:spacing w:line="360" w:lineRule="atLeast"/>
        <w:ind w:right="-1" w:firstLine="340"/>
        <w:jc w:val="both"/>
        <w:rPr>
          <w:rFonts w:ascii="Antiqua" w:hAnsi="Antiqua"/>
          <w:sz w:val="24"/>
        </w:rPr>
      </w:pPr>
      <w:r>
        <w:rPr>
          <w:rFonts w:ascii="Antiqua" w:hAnsi="Antiqua"/>
          <w:sz w:val="24"/>
        </w:rPr>
        <w:t>Однодневные спекулянты редко оставляют открытые позиции более одного дня. Близко к ним находятся скалперы - игроки, торгующие за свой счет небольшим объемом и совершающие большое количество сделок. Играя на колебаниях цен в ходе одной торговой сессии, скалпер не оставляет открытых позиций на следующий день. Стремление скалперов совершать сделки по наиболее выигрышной цене приводит к высокой ликвидности фьючерсного рынка. Сделки, совершаемые скалперами, составляют большую часть спекулятивного оборота на фьючерсном рынке.</w:t>
      </w:r>
    </w:p>
    <w:p w:rsidR="004336C9" w:rsidRDefault="00B25E82">
      <w:pPr>
        <w:spacing w:line="360" w:lineRule="atLeast"/>
        <w:ind w:right="-1" w:firstLine="340"/>
        <w:jc w:val="both"/>
        <w:rPr>
          <w:rFonts w:ascii="Antiqua" w:hAnsi="Antiqua"/>
          <w:sz w:val="24"/>
        </w:rPr>
      </w:pPr>
      <w:r>
        <w:rPr>
          <w:rFonts w:ascii="Antiqua" w:hAnsi="Antiqua"/>
          <w:sz w:val="24"/>
        </w:rPr>
        <w:t>Более осторожной стратегии придерживаются в основном мелкие и средние спекулянты, играющие на разнице между котировками контрактов с разными месяцами поставки, или на “спрэдах”. Техника такой операции предполагает покупку контрактов по ближнему месяцу и продажу по дальнему, когда разрыв между их котировками превышает средний для рынка, и наоборот - продажу по ближнему и покупку по дальнему при чрезмерном сжатии котировок. Например, спрэд между котировками июньского и июльского контрактов составил 10%, в то время как средний спрэд составляет 12-13%. Можно ожидать исправления этой аномалии. В этом случае игроку необходимо продать июньский контракт и купить июльский контракт. [9, с. 59]</w:t>
      </w:r>
    </w:p>
    <w:p w:rsidR="004336C9" w:rsidRDefault="00B25E82">
      <w:pPr>
        <w:spacing w:line="360" w:lineRule="atLeast"/>
        <w:ind w:right="-1" w:firstLine="340"/>
        <w:jc w:val="both"/>
        <w:rPr>
          <w:rFonts w:ascii="Antiqua" w:hAnsi="Antiqua"/>
          <w:sz w:val="24"/>
        </w:rPr>
      </w:pPr>
      <w:r>
        <w:rPr>
          <w:rFonts w:ascii="Antiqua" w:hAnsi="Antiqua"/>
          <w:sz w:val="24"/>
        </w:rPr>
        <w:t>Естественным является вопрос об источниках прибыли спекулянтов как группы в целом с учетом того, что при каждом изменении цены контракта выигрывает всегда только одна сторона. Ответ на этот вопрос связан с тем, что основную массу участников рынка составляют не спекулянты, а хеджеры, выходящие на рынок с целью не спекуляции, а защиты своих прибылей, получаемых от основной деятельности. Спекулянты по отношению к хеджерам играют роль страховой компании, которая за плату принимает на себя риск внезапного изменения цены.</w:t>
      </w:r>
    </w:p>
    <w:p w:rsidR="004336C9" w:rsidRDefault="004336C9">
      <w:pPr>
        <w:spacing w:line="360" w:lineRule="atLeast"/>
        <w:ind w:right="-1" w:firstLine="340"/>
        <w:jc w:val="both"/>
        <w:rPr>
          <w:rFonts w:ascii="Antiqua" w:hAnsi="Antiqua"/>
          <w:b/>
          <w:sz w:val="24"/>
        </w:rPr>
      </w:pPr>
    </w:p>
    <w:p w:rsidR="004336C9" w:rsidRDefault="00B25E82">
      <w:pPr>
        <w:spacing w:line="360" w:lineRule="atLeast"/>
        <w:ind w:right="-1" w:firstLine="340"/>
        <w:jc w:val="both"/>
        <w:rPr>
          <w:rFonts w:ascii="Arial Cyr Italic" w:hAnsi="Arial Cyr Italic"/>
          <w:sz w:val="24"/>
        </w:rPr>
      </w:pPr>
      <w:r>
        <w:rPr>
          <w:rFonts w:ascii="Arial Cyr Italic" w:hAnsi="Arial Cyr Italic"/>
          <w:sz w:val="24"/>
        </w:rPr>
        <w:t>4. Проблемы организации фьючерсной торговли на современном</w:t>
      </w:r>
    </w:p>
    <w:p w:rsidR="004336C9" w:rsidRDefault="00B25E82">
      <w:pPr>
        <w:spacing w:line="360" w:lineRule="atLeast"/>
        <w:ind w:right="-1" w:firstLine="340"/>
        <w:jc w:val="both"/>
        <w:rPr>
          <w:rFonts w:ascii="Arial Cyr Italic" w:hAnsi="Arial Cyr Italic"/>
          <w:sz w:val="24"/>
        </w:rPr>
      </w:pPr>
      <w:r>
        <w:rPr>
          <w:rFonts w:ascii="Arial Cyr Italic" w:hAnsi="Arial Cyr Italic"/>
          <w:sz w:val="24"/>
        </w:rPr>
        <w:tab/>
      </w:r>
      <w:r>
        <w:rPr>
          <w:rFonts w:ascii="Arial Cyr Italic" w:hAnsi="Arial Cyr Italic"/>
          <w:sz w:val="24"/>
        </w:rPr>
        <w:tab/>
        <w:t>этапе развития российской экономики.</w:t>
      </w:r>
    </w:p>
    <w:p w:rsidR="004336C9" w:rsidRDefault="00B25E82">
      <w:pPr>
        <w:spacing w:line="360" w:lineRule="atLeast"/>
        <w:ind w:right="-1" w:firstLine="340"/>
        <w:jc w:val="both"/>
        <w:rPr>
          <w:rFonts w:ascii="Antiqua" w:hAnsi="Antiqua"/>
          <w:sz w:val="24"/>
        </w:rPr>
      </w:pPr>
      <w:r>
        <w:rPr>
          <w:rFonts w:ascii="Antiqua" w:hAnsi="Antiqua"/>
          <w:sz w:val="24"/>
        </w:rPr>
        <w:t>За многие годы успешного функционирования фьючерсной торговли в мировой практике биржевой деятельности накоплен огромный опыт, весьма полезный сегодня для России. Началом развития фьючерсного рынка в нашей стране следует считать октябрь 1992г. К этому времени относятся первые шаги российских бирж по внедрению фьючерсных контрактов.</w:t>
      </w:r>
    </w:p>
    <w:p w:rsidR="004336C9" w:rsidRDefault="00B25E82">
      <w:pPr>
        <w:spacing w:line="360" w:lineRule="atLeast"/>
        <w:ind w:right="-1" w:firstLine="340"/>
        <w:jc w:val="both"/>
        <w:rPr>
          <w:rFonts w:ascii="Antiqua" w:hAnsi="Antiqua"/>
          <w:sz w:val="24"/>
        </w:rPr>
      </w:pPr>
      <w:r>
        <w:rPr>
          <w:rFonts w:ascii="Antiqua" w:hAnsi="Antiqua"/>
          <w:sz w:val="24"/>
        </w:rPr>
        <w:t>Замедленное развитие фьючерсного рынка связано со сложными условиями становления рыночной экономики России, отсутствием необходимой инфраструктуры фьючерсной торговли, квалифицированных кадров экономистов-биржевиков, способных организовать биржевую деятельность, инфляцией, кризисом производства.</w:t>
      </w:r>
    </w:p>
    <w:p w:rsidR="004336C9" w:rsidRDefault="00B25E82">
      <w:pPr>
        <w:spacing w:line="360" w:lineRule="atLeast"/>
        <w:ind w:right="-1" w:firstLine="340"/>
        <w:jc w:val="both"/>
        <w:rPr>
          <w:rFonts w:ascii="Antiqua" w:hAnsi="Antiqua"/>
          <w:sz w:val="24"/>
        </w:rPr>
      </w:pPr>
      <w:r>
        <w:rPr>
          <w:rFonts w:ascii="Antiqua" w:hAnsi="Antiqua"/>
          <w:sz w:val="24"/>
        </w:rPr>
        <w:t>Главная причина, мешающая развитию фьючерсной торговли в России, - это слабое развитие самих рыночных отношений, рыночной среды. Российская рыночная структура экономики находится еще только в стадии возрождения.</w:t>
      </w:r>
    </w:p>
    <w:p w:rsidR="004336C9" w:rsidRDefault="00B25E82">
      <w:pPr>
        <w:spacing w:line="360" w:lineRule="atLeast"/>
        <w:ind w:right="-1" w:firstLine="340"/>
        <w:jc w:val="both"/>
        <w:rPr>
          <w:rFonts w:ascii="Antiqua" w:hAnsi="Antiqua"/>
          <w:sz w:val="24"/>
        </w:rPr>
      </w:pPr>
      <w:r>
        <w:rPr>
          <w:rFonts w:ascii="Antiqua" w:hAnsi="Antiqua"/>
          <w:sz w:val="24"/>
        </w:rPr>
        <w:t>Слаборазвитая инфраструктура фьючерсного рынка в нашей стране препятствует вовлечению во фьючерсную торговлю тысяч предприятий, организаций и широкие слои населения. На большинстве российских предприятий и организаций нет специалистов, имеющих необходимый уровень знаний и понимания важности фьючерсной торговли. Как правило, на предприятиях и организациях полностью отсутствуют кадры экономистов-биржевиков, способные участвовать в биржевых делах.</w:t>
      </w:r>
    </w:p>
    <w:p w:rsidR="004336C9" w:rsidRDefault="00B25E82">
      <w:pPr>
        <w:spacing w:line="360" w:lineRule="atLeast"/>
        <w:ind w:right="-1" w:firstLine="340"/>
        <w:jc w:val="both"/>
        <w:rPr>
          <w:rFonts w:ascii="Antiqua" w:hAnsi="Antiqua"/>
          <w:sz w:val="24"/>
        </w:rPr>
      </w:pPr>
      <w:r>
        <w:rPr>
          <w:rFonts w:ascii="Antiqua" w:hAnsi="Antiqua"/>
          <w:sz w:val="24"/>
        </w:rPr>
        <w:t>Из вышеизложенного следует, что процесс развития фьючерсной торговли в российской экономике займет ряд лет и будет иметь свою историю и этапы становления, вытекающие из реальной обстановки. Неразвитость товарно-денежных отношений и частной собственности постоянно оказывает влияние на процессы развития фьючерсного рынка.</w:t>
      </w:r>
    </w:p>
    <w:p w:rsidR="004336C9" w:rsidRDefault="00B25E82">
      <w:pPr>
        <w:spacing w:line="360" w:lineRule="atLeast"/>
        <w:ind w:right="-1" w:firstLine="340"/>
        <w:jc w:val="both"/>
        <w:rPr>
          <w:rFonts w:ascii="Antiqua" w:hAnsi="Antiqua"/>
          <w:sz w:val="24"/>
        </w:rPr>
      </w:pPr>
      <w:r>
        <w:rPr>
          <w:rFonts w:ascii="Antiqua" w:hAnsi="Antiqua"/>
          <w:sz w:val="24"/>
        </w:rPr>
        <w:t>Эволюция развития рыночных отношений ведет к стиранию различий между товарной, фондовой и валютной биржами по механизму и характеру их деятельности. Тем не менее исторически сложившаяся специализация конкретных бирж сохранится с учетом занимаемого ими места на биржевом рынке в целом. Фьючерсная торговля преобладает над всей остальной деятельностью бирж. Биржи перестают быть только составной частью оптовой торговли. Их роль в оптовой торговле имеет тенденцию к сокращению. Они становятся центрами фьючерсной торговли в широком смысле слова, т.е. ценообразующими центрами, центрами страхования прибыли и такой коммерческой деятельности, которая позволяет получать дополнительную прибыль.</w:t>
      </w:r>
    </w:p>
    <w:p w:rsidR="004336C9" w:rsidRDefault="00B25E82">
      <w:pPr>
        <w:spacing w:line="360" w:lineRule="atLeast"/>
        <w:ind w:right="-1" w:firstLine="340"/>
        <w:jc w:val="both"/>
        <w:rPr>
          <w:rFonts w:ascii="Antiqua" w:hAnsi="Antiqua"/>
          <w:sz w:val="24"/>
        </w:rPr>
      </w:pPr>
      <w:r>
        <w:rPr>
          <w:rFonts w:ascii="Antiqua" w:hAnsi="Antiqua"/>
          <w:sz w:val="24"/>
        </w:rPr>
        <w:t>На основе развития средств связи и компьютеризации всех расчетов происходит концентрация фьючерсной торговли в основных финансово-кредитных центрах страны. Биржи создают совместные расчетные центры и совместно используют новейшую электронно-вычислительную технику. Например, в феврале 1996 года Московская межбанковская валютная биржа, 6 региональных валютных бирж и 16 крупных банков создали Расчетную палату ММВБ.</w:t>
      </w:r>
    </w:p>
    <w:p w:rsidR="004336C9" w:rsidRDefault="00B25E82">
      <w:pPr>
        <w:spacing w:line="360" w:lineRule="atLeast"/>
        <w:ind w:right="-1" w:firstLine="340"/>
        <w:jc w:val="both"/>
        <w:rPr>
          <w:rFonts w:ascii="Antiqua" w:hAnsi="Antiqua"/>
          <w:sz w:val="24"/>
        </w:rPr>
      </w:pPr>
      <w:r>
        <w:rPr>
          <w:rFonts w:ascii="Antiqua" w:hAnsi="Antiqua"/>
          <w:sz w:val="24"/>
        </w:rPr>
        <w:t>Важным условием существования фьючерсного рынка в российской экономике является его самоокупаемость. Биржевая фьючерсная торговля должна быть организована таким образом, чтобы доходы от нее покрывали затраты биржи на ее проведение. Последнее возможно только при условии больших объемов биржевых сделок на фьючерсном рынке.</w:t>
      </w:r>
    </w:p>
    <w:p w:rsidR="004336C9" w:rsidRDefault="00B25E82">
      <w:pPr>
        <w:spacing w:line="360" w:lineRule="atLeast"/>
        <w:ind w:right="-1" w:firstLine="340"/>
        <w:jc w:val="both"/>
        <w:rPr>
          <w:rFonts w:ascii="Antiqua" w:hAnsi="Antiqua"/>
          <w:sz w:val="24"/>
        </w:rPr>
      </w:pPr>
      <w:r>
        <w:rPr>
          <w:rFonts w:ascii="Antiqua" w:hAnsi="Antiqua"/>
          <w:sz w:val="24"/>
        </w:rPr>
        <w:t>В России внедрением фьючерсных контрактов в биржевой оборот занимаются многие биржевые структуры. В настоящее время разработаны фьючерсные контракты на продукцию нефтяного профиля, цветных металлов, зерно и другие биржевые товары, а также на валюту. Российские биржи осваивают механизм фьючерсной торговли и создают необходимые предпосылки для будущего развития фьючерсного рынка.</w:t>
      </w: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B25E82">
      <w:pPr>
        <w:spacing w:line="360" w:lineRule="atLeast"/>
        <w:ind w:right="-1" w:firstLine="340"/>
        <w:jc w:val="both"/>
        <w:rPr>
          <w:rFonts w:ascii="Arial Cyr Italic" w:hAnsi="Arial Cyr Italic"/>
          <w:sz w:val="24"/>
        </w:rPr>
      </w:pPr>
      <w:r>
        <w:rPr>
          <w:rFonts w:ascii="Arial Cyr Italic" w:hAnsi="Arial Cyr Italic"/>
          <w:sz w:val="24"/>
        </w:rPr>
        <w:t>Заключение.</w:t>
      </w:r>
    </w:p>
    <w:p w:rsidR="004336C9" w:rsidRDefault="00B25E82">
      <w:pPr>
        <w:spacing w:line="360" w:lineRule="atLeast"/>
        <w:ind w:right="-1" w:firstLine="340"/>
        <w:jc w:val="both"/>
        <w:rPr>
          <w:rFonts w:ascii="Antiqua" w:hAnsi="Antiqua"/>
          <w:sz w:val="24"/>
        </w:rPr>
      </w:pPr>
      <w:r>
        <w:rPr>
          <w:rFonts w:ascii="Antiqua" w:hAnsi="Antiqua"/>
          <w:sz w:val="24"/>
        </w:rPr>
        <w:t>В последнее время рынок фьючерсных контрактов, особенно на валюту, развивался ускоренными темпами. Об этом свидетельствует постоянно возрастающий оборот фьючерсного рынка и вовлечение в биржевую торговлю фьючерсными контрактами все нового и нового числа бирж (например, с  марта 1996 года начались фьючерсные торги на ММВБ). Уже сейчас разработаны основные методы и принципы фьючерсной торговли, методики оптимизации операций на фьючерсном рынке, написаны компьютерные программы, позволяющие выбрать оптимальную статегию игры на фьючерсном рынке.</w:t>
      </w:r>
    </w:p>
    <w:p w:rsidR="004336C9" w:rsidRDefault="00B25E82">
      <w:pPr>
        <w:spacing w:line="360" w:lineRule="atLeast"/>
        <w:ind w:right="-1" w:firstLine="340"/>
        <w:jc w:val="both"/>
        <w:rPr>
          <w:rFonts w:ascii="Antiqua" w:hAnsi="Antiqua"/>
          <w:sz w:val="24"/>
        </w:rPr>
      </w:pPr>
      <w:r>
        <w:rPr>
          <w:rFonts w:ascii="Antiqua" w:hAnsi="Antiqua"/>
          <w:sz w:val="24"/>
        </w:rPr>
        <w:t>Доходность игры н фьючерсном рынке менялась на протяжении всего периода его формирования, однако одно было неизменным - этот сегмент финансового рынка оставался в числе наиболее прибыльных, впрочем, и одним из наиболее рискованных. Риск, однако, не отпугивает желающих быстро заработать. На место проигравших приходят новые лица, и согласно с динамикой развития фьючерсного рынка число его участников неизменно растет. [5, с. 3]</w:t>
      </w:r>
    </w:p>
    <w:p w:rsidR="004336C9" w:rsidRDefault="00B25E82">
      <w:pPr>
        <w:spacing w:line="360" w:lineRule="atLeast"/>
        <w:ind w:right="-1" w:firstLine="340"/>
        <w:jc w:val="both"/>
        <w:rPr>
          <w:rFonts w:ascii="Antiqua" w:hAnsi="Antiqua"/>
          <w:sz w:val="24"/>
        </w:rPr>
      </w:pPr>
      <w:r>
        <w:rPr>
          <w:rFonts w:ascii="Antiqua" w:hAnsi="Antiqua"/>
          <w:sz w:val="24"/>
        </w:rPr>
        <w:t>Несомненно, что со стабилизацией финансового рынка России, когда круг возможных сфер высокоприбыльного вложения капитала сузится, привлекательность рынка фьючерсных контрактов еще более возрастет.</w:t>
      </w:r>
    </w:p>
    <w:p w:rsidR="004336C9" w:rsidRDefault="00B25E82">
      <w:pPr>
        <w:spacing w:line="360" w:lineRule="atLeast"/>
        <w:ind w:right="-1" w:firstLine="340"/>
        <w:jc w:val="both"/>
        <w:rPr>
          <w:rFonts w:ascii="Antiqua" w:hAnsi="Antiqua"/>
          <w:sz w:val="24"/>
        </w:rPr>
      </w:pPr>
      <w:r>
        <w:rPr>
          <w:rFonts w:ascii="Antiqua" w:hAnsi="Antiqua"/>
          <w:sz w:val="24"/>
        </w:rPr>
        <w:t>Согласно имеющимся тенденциям в мировой экономике следует ожидать развития новых форм фьючерсной торговли, увеличение удельного веса дорогих товаров в структуре товарной фьючерсной торговли, а также увеличение доли кормовых культур и продукции животноводства.</w:t>
      </w: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4336C9">
      <w:pPr>
        <w:spacing w:line="360" w:lineRule="atLeast"/>
        <w:ind w:right="-1" w:firstLine="340"/>
        <w:jc w:val="both"/>
        <w:rPr>
          <w:rFonts w:ascii="Antiqua" w:hAnsi="Antiqua"/>
          <w:sz w:val="24"/>
        </w:rPr>
      </w:pPr>
    </w:p>
    <w:p w:rsidR="004336C9" w:rsidRDefault="00B25E82">
      <w:pPr>
        <w:spacing w:line="360" w:lineRule="atLeast"/>
        <w:ind w:right="-1" w:firstLine="340"/>
        <w:jc w:val="both"/>
        <w:rPr>
          <w:rFonts w:ascii="Arial Cyr Italic" w:hAnsi="Arial Cyr Italic"/>
          <w:sz w:val="24"/>
        </w:rPr>
      </w:pPr>
      <w:r>
        <w:rPr>
          <w:rFonts w:ascii="Arial Cyr Italic" w:hAnsi="Arial Cyr Italic"/>
          <w:sz w:val="24"/>
        </w:rPr>
        <w:t>Литература:</w:t>
      </w:r>
    </w:p>
    <w:p w:rsidR="004336C9" w:rsidRDefault="004336C9">
      <w:pPr>
        <w:spacing w:line="360" w:lineRule="atLeast"/>
        <w:ind w:right="-1" w:firstLine="340"/>
        <w:jc w:val="both"/>
        <w:rPr>
          <w:rFonts w:ascii="Arial Cyr Italic" w:hAnsi="Arial Cyr Italic"/>
          <w:sz w:val="24"/>
        </w:rPr>
      </w:pPr>
    </w:p>
    <w:p w:rsidR="004336C9" w:rsidRDefault="00B25E82">
      <w:pPr>
        <w:spacing w:line="360" w:lineRule="atLeast"/>
        <w:ind w:right="-1" w:firstLine="340"/>
        <w:jc w:val="both"/>
        <w:rPr>
          <w:rFonts w:ascii="Antiqua" w:hAnsi="Antiqua"/>
          <w:sz w:val="24"/>
        </w:rPr>
      </w:pPr>
      <w:r>
        <w:rPr>
          <w:rFonts w:ascii="Antiqua" w:hAnsi="Antiqua"/>
          <w:sz w:val="24"/>
        </w:rPr>
        <w:t>1. Салыч Г.Г. Опционные, фьючерсные и форвардные контракты: сверхприбыльные инвестиции в период инфляции. -М.:, 1994.</w:t>
      </w:r>
    </w:p>
    <w:p w:rsidR="004336C9" w:rsidRDefault="00B25E82">
      <w:pPr>
        <w:spacing w:line="360" w:lineRule="atLeast"/>
        <w:ind w:right="-1" w:firstLine="340"/>
        <w:jc w:val="both"/>
        <w:rPr>
          <w:rFonts w:ascii="Antiqua" w:hAnsi="Antiqua"/>
          <w:sz w:val="24"/>
        </w:rPr>
      </w:pPr>
      <w:r>
        <w:rPr>
          <w:rFonts w:ascii="Antiqua" w:hAnsi="Antiqua"/>
          <w:sz w:val="24"/>
        </w:rPr>
        <w:t>2. Биржевая деятельность: Учебник/ под ред. проф. Грязновой А.Г., проф. Корнеевой Р.В., проф. Галанова В.А. -М: Финансы и статистика, 1995. - 240с.</w:t>
      </w:r>
    </w:p>
    <w:p w:rsidR="004336C9" w:rsidRDefault="00B25E82">
      <w:pPr>
        <w:spacing w:line="360" w:lineRule="atLeast"/>
        <w:ind w:right="-1" w:firstLine="340"/>
        <w:jc w:val="both"/>
        <w:rPr>
          <w:rFonts w:ascii="Antiqua" w:hAnsi="Antiqua"/>
          <w:sz w:val="24"/>
        </w:rPr>
      </w:pPr>
      <w:r>
        <w:rPr>
          <w:rFonts w:ascii="Antiqua" w:hAnsi="Antiqua"/>
          <w:sz w:val="24"/>
        </w:rPr>
        <w:t>3. Балабанов И.Т. Финансовый менеджмент: Учебник.- М.: Финансы и статистика, 1994.- 224с.</w:t>
      </w:r>
    </w:p>
    <w:p w:rsidR="004336C9" w:rsidRDefault="00B25E82">
      <w:pPr>
        <w:spacing w:line="360" w:lineRule="atLeast"/>
        <w:ind w:right="-1" w:firstLine="340"/>
        <w:jc w:val="both"/>
        <w:rPr>
          <w:rFonts w:ascii="Antiqua" w:hAnsi="Antiqua"/>
          <w:sz w:val="24"/>
        </w:rPr>
      </w:pPr>
      <w:r>
        <w:rPr>
          <w:rFonts w:ascii="Antiqua" w:hAnsi="Antiqua"/>
          <w:sz w:val="24"/>
        </w:rPr>
        <w:t>4. Кузнецова М.В., Малиничева Э.А. Финансовые фьючерсы.- М.:Ассоциация “Гуманитарное знание”, 1993.- 120с.</w:t>
      </w:r>
    </w:p>
    <w:p w:rsidR="004336C9" w:rsidRDefault="00B25E82">
      <w:pPr>
        <w:spacing w:line="360" w:lineRule="atLeast"/>
        <w:ind w:right="-1" w:firstLine="340"/>
        <w:jc w:val="both"/>
        <w:rPr>
          <w:rFonts w:ascii="Antiqua" w:hAnsi="Antiqua"/>
          <w:sz w:val="24"/>
        </w:rPr>
      </w:pPr>
      <w:r>
        <w:rPr>
          <w:rFonts w:ascii="Antiqua" w:hAnsi="Antiqua"/>
          <w:sz w:val="24"/>
        </w:rPr>
        <w:t>5. Овчинников О.Г. Игры на рынке валютных фьючерсов: основные факторы курса фьючерсов, оптимизация принятых решений.- М.: ИНФРА-М, издательский центр “Анкил”, 1995.- 64с.</w:t>
      </w:r>
    </w:p>
    <w:p w:rsidR="004336C9" w:rsidRDefault="00B25E82">
      <w:pPr>
        <w:spacing w:line="360" w:lineRule="atLeast"/>
        <w:ind w:right="-1" w:firstLine="340"/>
        <w:jc w:val="both"/>
        <w:rPr>
          <w:rFonts w:ascii="Antiqua" w:hAnsi="Antiqua"/>
          <w:sz w:val="24"/>
        </w:rPr>
      </w:pPr>
      <w:r>
        <w:rPr>
          <w:rFonts w:ascii="Antiqua" w:hAnsi="Antiqua"/>
          <w:sz w:val="24"/>
        </w:rPr>
        <w:t>6. Фишер С., Дорнбуш Р., Шмалензи Р. Экономика: Пер. с англ. со 2-го изд.- М.:”Дело ЛТД”, 1993.- 854с.</w:t>
      </w:r>
    </w:p>
    <w:p w:rsidR="004336C9" w:rsidRDefault="00B25E82">
      <w:pPr>
        <w:spacing w:line="360" w:lineRule="atLeast"/>
        <w:ind w:right="-1" w:firstLine="340"/>
        <w:jc w:val="both"/>
        <w:rPr>
          <w:rFonts w:ascii="Antiqua" w:hAnsi="Antiqua"/>
          <w:sz w:val="24"/>
        </w:rPr>
      </w:pPr>
      <w:r>
        <w:rPr>
          <w:rFonts w:ascii="Antiqua" w:hAnsi="Antiqua"/>
          <w:sz w:val="24"/>
        </w:rPr>
        <w:t>7. Шварц Ф. Биржевая деятельность Запада: Фьючерсные и фондовые биржи, системы работы и алгоритмы анализа. -М.:, 1992.- 310с.</w:t>
      </w:r>
    </w:p>
    <w:p w:rsidR="004336C9" w:rsidRDefault="00B25E82">
      <w:pPr>
        <w:spacing w:line="360" w:lineRule="atLeast"/>
        <w:ind w:right="-1" w:firstLine="340"/>
        <w:jc w:val="both"/>
        <w:rPr>
          <w:rFonts w:ascii="Antiqua" w:hAnsi="Antiqua"/>
          <w:sz w:val="24"/>
        </w:rPr>
      </w:pPr>
      <w:r>
        <w:rPr>
          <w:rFonts w:ascii="Antiqua" w:hAnsi="Antiqua"/>
          <w:sz w:val="24"/>
        </w:rPr>
        <w:t>8. Домнина О. Фьючерс - в тумане. Ревизор, 1994, №5, с.45.</w:t>
      </w:r>
    </w:p>
    <w:p w:rsidR="004336C9" w:rsidRDefault="00B25E82">
      <w:pPr>
        <w:spacing w:line="360" w:lineRule="atLeast"/>
        <w:ind w:right="-1" w:firstLine="340"/>
        <w:jc w:val="both"/>
        <w:rPr>
          <w:rFonts w:ascii="Antiqua" w:hAnsi="Antiqua"/>
          <w:sz w:val="24"/>
        </w:rPr>
      </w:pPr>
      <w:r>
        <w:rPr>
          <w:rFonts w:ascii="Antiqua" w:hAnsi="Antiqua"/>
          <w:sz w:val="24"/>
        </w:rPr>
        <w:t>9. Кириченко Н. игра на валютных фьючерсных контрактах. Коммерсантъ, 1994, №17, с.44.</w:t>
      </w:r>
    </w:p>
    <w:p w:rsidR="004336C9" w:rsidRDefault="00B25E82">
      <w:pPr>
        <w:spacing w:line="360" w:lineRule="atLeast"/>
        <w:ind w:right="-1" w:firstLine="340"/>
        <w:jc w:val="both"/>
        <w:rPr>
          <w:rFonts w:ascii="Antiqua" w:hAnsi="Antiqua"/>
          <w:sz w:val="24"/>
        </w:rPr>
      </w:pPr>
      <w:r>
        <w:rPr>
          <w:rFonts w:ascii="Antiqua" w:hAnsi="Antiqua"/>
          <w:sz w:val="24"/>
        </w:rPr>
        <w:t>10. Сафронов Б. Фьючерсы: главное - быть готовым к неожиданностям. Ревизор, 1994, №2, с.45.</w:t>
      </w:r>
    </w:p>
    <w:p w:rsidR="004336C9" w:rsidRDefault="00B25E82">
      <w:pPr>
        <w:spacing w:line="360" w:lineRule="atLeast"/>
        <w:ind w:right="-1" w:firstLine="340"/>
        <w:jc w:val="both"/>
        <w:rPr>
          <w:rFonts w:ascii="Antiqua" w:hAnsi="Antiqua"/>
          <w:sz w:val="24"/>
        </w:rPr>
      </w:pPr>
      <w:r>
        <w:rPr>
          <w:rFonts w:ascii="Antiqua" w:hAnsi="Antiqua"/>
          <w:sz w:val="24"/>
        </w:rPr>
        <w:t>11. Клеванский В. Фьючерсные контракты: механизм проведения торгов. Экономика и жизнь, 1994, №27, с.7.</w:t>
      </w:r>
    </w:p>
    <w:p w:rsidR="004336C9" w:rsidRDefault="00B25E82">
      <w:pPr>
        <w:spacing w:line="360" w:lineRule="atLeast"/>
        <w:ind w:right="-1" w:firstLine="340"/>
        <w:jc w:val="both"/>
        <w:rPr>
          <w:rFonts w:ascii="Antiqua" w:hAnsi="Antiqua"/>
          <w:sz w:val="24"/>
        </w:rPr>
      </w:pPr>
      <w:r>
        <w:rPr>
          <w:rFonts w:ascii="Antiqua" w:hAnsi="Antiqua"/>
          <w:sz w:val="24"/>
        </w:rPr>
        <w:t xml:space="preserve">12. Купин Е. Валютные фьючерсы. Экономика и жизнь, 1993, №40, с.11. </w:t>
      </w:r>
      <w:bookmarkStart w:id="0" w:name="_GoBack"/>
      <w:bookmarkEnd w:id="0"/>
    </w:p>
    <w:sectPr w:rsidR="004336C9">
      <w:headerReference w:type="even" r:id="rId6"/>
      <w:headerReference w:type="default" r:id="rId7"/>
      <w:pgSz w:w="11907" w:h="16840"/>
      <w:pgMar w:top="1134" w:right="851" w:bottom="851" w:left="1418"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36C9" w:rsidRDefault="00B25E82">
      <w:r>
        <w:separator/>
      </w:r>
    </w:p>
  </w:endnote>
  <w:endnote w:type="continuationSeparator" w:id="0">
    <w:p w:rsidR="004336C9" w:rsidRDefault="00B25E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ms Rmn">
    <w:panose1 w:val="02020603040505020304"/>
    <w:charset w:val="00"/>
    <w:family w:val="roman"/>
    <w:notTrueType/>
    <w:pitch w:val="variable"/>
    <w:sig w:usb0="00000003" w:usb1="00000000" w:usb2="00000000" w:usb3="00000000" w:csb0="00000001" w:csb1="00000000"/>
  </w:font>
  <w:font w:name="Times New Roman">
    <w:panose1 w:val="02020603050405020304"/>
    <w:charset w:val="CC"/>
    <w:family w:val="roman"/>
    <w:pitch w:val="variable"/>
    <w:sig w:usb0="E0002EFF" w:usb1="C0007843" w:usb2="00000009" w:usb3="00000000" w:csb0="000001FF" w:csb1="00000000"/>
  </w:font>
  <w:font w:name="Antiqua">
    <w:altName w:val="Times New Roman"/>
    <w:charset w:val="00"/>
    <w:family w:val="auto"/>
    <w:pitch w:val="variable"/>
    <w:sig w:usb0="00000003" w:usb1="00000000" w:usb2="00000000" w:usb3="00000000" w:csb0="00000001" w:csb1="00000000"/>
  </w:font>
  <w:font w:name="Arial Cyr Italic">
    <w:charset w:val="CC"/>
    <w:family w:val="swiss"/>
    <w:pitch w:val="variable"/>
    <w:sig w:usb0="00000201" w:usb1="00000000" w:usb2="00000000" w:usb3="00000000" w:csb0="00000004"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36C9" w:rsidRDefault="00B25E82">
      <w:r>
        <w:separator/>
      </w:r>
    </w:p>
  </w:footnote>
  <w:footnote w:type="continuationSeparator" w:id="0">
    <w:p w:rsidR="004336C9" w:rsidRDefault="00B25E82">
      <w:r>
        <w:continuationSeparator/>
      </w:r>
    </w:p>
  </w:footnote>
  <w:footnote w:id="1">
    <w:p w:rsidR="004336C9" w:rsidRDefault="00B25E82">
      <w:pPr>
        <w:pStyle w:val="a6"/>
      </w:pPr>
      <w:r>
        <w:rPr>
          <w:rStyle w:val="a4"/>
        </w:rPr>
        <w:footnoteRef/>
      </w:r>
      <w:r>
        <w:t xml:space="preserve"> </w:t>
      </w:r>
      <w:r>
        <w:rPr>
          <w:rFonts w:ascii="Courier New" w:hAnsi="Courier New"/>
          <w:sz w:val="22"/>
        </w:rPr>
        <w:t xml:space="preserve"> финансовые известия, №19 (253), 1996, с.4</w:t>
      </w:r>
    </w:p>
  </w:footnote>
  <w:footnote w:id="2">
    <w:p w:rsidR="004336C9" w:rsidRDefault="00B25E82">
      <w:pPr>
        <w:pStyle w:val="a6"/>
      </w:pPr>
      <w:r>
        <w:rPr>
          <w:rStyle w:val="a4"/>
        </w:rPr>
        <w:footnoteRef/>
      </w:r>
      <w:r>
        <w:t xml:space="preserve">  </w:t>
      </w:r>
      <w:r>
        <w:rPr>
          <w:rFonts w:ascii="Courier New" w:hAnsi="Courier New"/>
          <w:sz w:val="22"/>
        </w:rPr>
        <w:t>Финансовые известия, № 20 (254), 1996, с.4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6C9" w:rsidRDefault="00B25E82">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4336C9" w:rsidRDefault="004336C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6C9" w:rsidRDefault="00B25E82">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rPr>
      <w:t>27</w:t>
    </w:r>
    <w:r>
      <w:rPr>
        <w:rStyle w:val="a7"/>
      </w:rPr>
      <w:fldChar w:fldCharType="end"/>
    </w:r>
  </w:p>
  <w:p w:rsidR="004336C9" w:rsidRDefault="00B25E82">
    <w:pPr>
      <w:pStyle w:val="a5"/>
      <w:framePr w:wrap="auto" w:vAnchor="text" w:hAnchor="margin" w:xAlign="center" w:y="1"/>
    </w:pPr>
    <w:r>
      <w:fldChar w:fldCharType="begin"/>
    </w:r>
    <w:r>
      <w:instrText xml:space="preserve">\СТР  </w:instrText>
    </w:r>
    <w:r>
      <w:fldChar w:fldCharType="separate"/>
    </w:r>
    <w:r>
      <w:t>3</w:t>
    </w:r>
    <w:r>
      <w:fldChar w:fldCharType="end"/>
    </w:r>
  </w:p>
  <w:p w:rsidR="004336C9" w:rsidRDefault="004336C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printFractionalCharacterWidth/>
  <w:hideSpellingErrors/>
  <w:hideGrammaticalErrors/>
  <w:revisionView w:markup="0"/>
  <w:doNotTrackMoves/>
  <w:doNotTrackFormatting/>
  <w:defaultTabStop w:val="708"/>
  <w:hyphenationZone w:val="425"/>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balanceSingleByteDoubleByteWidth/>
    <w:doNotLeaveBackslashAlone/>
    <w:ulTrailSpace/>
    <w:doNotExpandShiftReturn/>
    <w:printColBlack/>
    <w:showBreaksInFrames/>
    <w:suppressSpBfAfterPgBrk/>
    <w:swapBordersFacingPages/>
    <w:convMailMergeEsc/>
    <w:usePrinterMetrics/>
    <w:doNotSuppressParagraphBorders/>
    <w:footnoteLayoutLikeWW8/>
    <w:shapeLayoutLikeWW8/>
    <w:alignTablesRowByRow/>
    <w:forgetLastTabAlignment/>
    <w:autoSpaceLikeWord95/>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25E82"/>
    <w:rsid w:val="004336C9"/>
    <w:rsid w:val="00B25E82"/>
    <w:rsid w:val="00CE78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6"/>
    <o:shapelayout v:ext="edit">
      <o:idmap v:ext="edit" data="1"/>
      <o:rules v:ext="edit">
        <o:r id="V:Rule1" type="arc" idref="#_x0000_s1034"/>
        <o:r id="V:Rule2" type="arc" idref="#_x0000_s1036"/>
      </o:rules>
    </o:shapelayout>
  </w:shapeDefaults>
  <w:decimalSymbol w:val=","/>
  <w:listSeparator w:val=";"/>
  <w15:chartTrackingRefBased/>
  <w15:docId w15:val="{842C210E-11E8-479B-8FAE-C40146AFB9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ms Rmn" w:eastAsia="Times New Roman" w:hAnsi="Tms Rm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ndnote reference"/>
    <w:basedOn w:val="a0"/>
    <w:semiHidden/>
    <w:rPr>
      <w:vertAlign w:val="superscript"/>
    </w:rPr>
  </w:style>
  <w:style w:type="character" w:styleId="a4">
    <w:name w:val="footnote reference"/>
    <w:basedOn w:val="a0"/>
    <w:semiHidden/>
    <w:rPr>
      <w:vertAlign w:val="superscript"/>
    </w:rPr>
  </w:style>
  <w:style w:type="paragraph" w:styleId="a5">
    <w:name w:val="header"/>
    <w:basedOn w:val="a"/>
    <w:semiHidden/>
    <w:pPr>
      <w:tabs>
        <w:tab w:val="center" w:pos="4536"/>
        <w:tab w:val="right" w:pos="9072"/>
      </w:tabs>
    </w:pPr>
  </w:style>
  <w:style w:type="paragraph" w:styleId="a6">
    <w:name w:val="footnote text"/>
    <w:basedOn w:val="a"/>
    <w:semiHidden/>
  </w:style>
  <w:style w:type="character" w:styleId="a7">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9024</Words>
  <Characters>51440</Characters>
  <Application>Microsoft Office Word</Application>
  <DocSecurity>0</DocSecurity>
  <Lines>428</Lines>
  <Paragraphs>120</Paragraphs>
  <ScaleCrop>false</ScaleCrop>
  <Company>diakov.net</Company>
  <LinksUpToDate>false</LinksUpToDate>
  <CharactersWithSpaces>60344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История и причины возникновения  фьючерсной торговли.</dc:title>
  <dc:subject/>
  <dc:creator>Katya Lazhintseva</dc:creator>
  <cp:keywords/>
  <cp:lastModifiedBy>Irina</cp:lastModifiedBy>
  <cp:revision>2</cp:revision>
  <cp:lastPrinted>1996-04-05T15:29:00Z</cp:lastPrinted>
  <dcterms:created xsi:type="dcterms:W3CDTF">2014-08-03T16:13:00Z</dcterms:created>
  <dcterms:modified xsi:type="dcterms:W3CDTF">2014-08-03T16:13:00Z</dcterms:modified>
</cp:coreProperties>
</file>