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3131" w:rsidRDefault="00E73131">
      <w:pPr>
        <w:rPr>
          <w:sz w:val="24"/>
          <w:szCs w:val="24"/>
        </w:rPr>
      </w:pPr>
    </w:p>
    <w:p w:rsidR="00E73131" w:rsidRDefault="00B178D1">
      <w:pPr>
        <w:rPr>
          <w:sz w:val="24"/>
          <w:szCs w:val="24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177.95pt;margin-top:652.65pt;width:160pt;height:34.65pt;z-index:251658752" filled="f" stroked="f">
            <v:textbox>
              <w:txbxContent>
                <w:p w:rsidR="00E73131" w:rsidRDefault="003C6EBD">
                  <w:pPr>
                    <w:jc w:val="center"/>
                    <w:rPr>
                      <w:rFonts w:ascii="PragmaticaKMM Cyr" w:hAnsi="PragmaticaKMM Cyr" w:cs="PragmaticaKMM Cyr"/>
                      <w:sz w:val="32"/>
                      <w:szCs w:val="32"/>
                    </w:rPr>
                  </w:pPr>
                  <w:r>
                    <w:rPr>
                      <w:rFonts w:ascii="PragmaticaKMM Cyr" w:hAnsi="PragmaticaKMM Cyr" w:cs="PragmaticaKMM Cyr"/>
                      <w:sz w:val="32"/>
                      <w:szCs w:val="32"/>
                    </w:rPr>
                    <w:t>Москва, 2001 год.</w:t>
                  </w:r>
                </w:p>
              </w:txbxContent>
            </v:textbox>
            <w10:wrap type="topAndBottom"/>
          </v:shape>
        </w:pict>
      </w:r>
      <w:r>
        <w:rPr>
          <w:noProof/>
        </w:rPr>
        <w:pict>
          <v:shape id="_x0000_s1030" type="#_x0000_t202" style="position:absolute;margin-left:331.3pt;margin-top:620.3pt;width:180pt;height:34.65pt;z-index:251657728" filled="f" stroked="f">
            <v:textbox>
              <w:txbxContent>
                <w:p w:rsidR="00E73131" w:rsidRDefault="003C6EBD">
                  <w:pPr>
                    <w:rPr>
                      <w:rFonts w:ascii="PragmaticaKMM" w:hAnsi="PragmaticaKMM" w:cs="PragmaticaKMM"/>
                      <w:sz w:val="32"/>
                      <w:szCs w:val="32"/>
                    </w:rPr>
                  </w:pPr>
                  <w:r>
                    <w:rPr>
                      <w:rFonts w:ascii="PragmaticaKMM Cyr" w:hAnsi="PragmaticaKMM Cyr" w:cs="PragmaticaKMM Cyr"/>
                      <w:sz w:val="32"/>
                      <w:szCs w:val="32"/>
                    </w:rPr>
                    <w:t>Ковчегин Игорь 10</w:t>
                  </w:r>
                  <w:r>
                    <w:rPr>
                      <w:rFonts w:ascii="PragmaticaKMM Cyr" w:hAnsi="PragmaticaKMM Cyr" w:cs="PragmaticaKMM Cyr"/>
                      <w:sz w:val="32"/>
                      <w:szCs w:val="32"/>
                      <w:u w:val="single"/>
                      <w:vertAlign w:val="superscript"/>
                    </w:rPr>
                    <w:t>б</w:t>
                  </w:r>
                </w:p>
              </w:txbxContent>
            </v:textbox>
            <w10:wrap type="topAndBottom"/>
          </v:shape>
        </w:pict>
      </w: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margin-left:37pt;margin-top:213.6pt;width:439.9pt;height:382.7pt;z-index:251656704">
            <v:imagedata r:id="rId6" o:title="bs01161_"/>
            <w10:wrap type="square"/>
          </v:shape>
        </w:pict>
      </w:r>
      <w:r>
        <w:rPr>
          <w:noProof/>
        </w:rPr>
        <w:pict>
          <v:shapetype id="_x0000_t156" coordsize="21600,21600" o:spt="156" adj="2809,10800" path="m@25@0c@26@3@27@1@28@0m@21@4c@22@5@23@6@24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2 3"/>
              <v:f eqn="prod @8 4 3"/>
              <v:f eqn="prod @8 2 1"/>
              <v:f eqn="sum 21600 0 @9"/>
              <v:f eqn="sum 21600 0 @10"/>
              <v:f eqn="sum 21600 0 @11"/>
              <v:f eqn="prod #1 2 3"/>
              <v:f eqn="prod #1 4 3"/>
              <v:f eqn="prod #1 2 1"/>
              <v:f eqn="sum 21600 0 @15"/>
              <v:f eqn="sum 21600 0 @16"/>
              <v:f eqn="sum 21600 0 @17"/>
              <v:f eqn="if @7 @14 0"/>
              <v:f eqn="if @7 @13 @15"/>
              <v:f eqn="if @7 @12 @16"/>
              <v:f eqn="if @7 21600 @17"/>
              <v:f eqn="if @7 0 @20"/>
              <v:f eqn="if @7 @9 @19"/>
              <v:f eqn="if @7 @10 @18"/>
              <v:f eqn="if @7 @11 21600"/>
              <v:f eqn="sum @24 0 @21"/>
              <v:f eqn="sum @4 0 @0"/>
              <v:f eqn="max @21 @25"/>
              <v:f eqn="min @24 @28"/>
              <v:f eqn="prod @0 2 1"/>
              <v:f eqn="sum 21600 0 @33"/>
              <v:f eqn="mid @26 @27"/>
              <v:f eqn="mid @24 @28"/>
              <v:f eqn="mid @22 @23"/>
              <v:f eqn="mid @21 @25"/>
            </v:formulas>
            <v:path textpathok="t" o:connecttype="custom" o:connectlocs="@35,@0;@38,10800;@37,@4;@36,10800" o:connectangles="270,180,90,0"/>
            <v:textpath on="t" fitshape="t" xscale="t"/>
            <v:handles>
              <v:h position="topLeft,#0" yrange="0,4459"/>
              <v:h position="#1,bottomRight" xrange="8640,12960"/>
            </v:handles>
            <o:lock v:ext="edit" text="t" shapetype="t"/>
          </v:shapetype>
          <v:shape id="_x0000_s1032" type="#_x0000_t156" style="position:absolute;margin-left:25.9pt;margin-top:33.35pt;width:478.65pt;height:130.4pt;z-index:251655680" fillcolor="#99f" stroked="f">
            <v:fill color2="#099" focus="100%" type="gradient"/>
            <v:shadow on="t" color="silver" offset="3pt,3pt"/>
            <v:textpath style="font-family:&quot;a_AlbionicTtlRg&amp;Bt&quot;;v-text-kern:t" trim="t" fitpath="t" xscale="f" string="Галогены"/>
            <w10:wrap type="topAndBottom"/>
          </v:shape>
        </w:pict>
      </w:r>
      <w:r w:rsidR="003C6EBD">
        <w:rPr>
          <w:sz w:val="24"/>
          <w:szCs w:val="24"/>
        </w:rPr>
        <w:br w:type="page"/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Галогены</w:t>
      </w:r>
    </w:p>
    <w:p w:rsidR="00E73131" w:rsidRDefault="003C6EBD">
      <w:pPr>
        <w:rPr>
          <w:i/>
          <w:iCs/>
          <w:noProof/>
          <w:sz w:val="24"/>
          <w:szCs w:val="24"/>
        </w:rPr>
      </w:pPr>
      <w:r>
        <w:rPr>
          <w:i/>
          <w:iCs/>
          <w:sz w:val="24"/>
          <w:szCs w:val="24"/>
        </w:rPr>
        <w:t>Всем известно, что фтор вводят в состав зубной пасты, а хлором дезинфицируют воду в плавательных бассейнах. Бром применяют в качестве успокоительного средства, а спиртовой раствор йода как антисептическое средство. Фтор, хлор, бром и йод образуют семейство галогенов. Галогены относятся к неметаллическим элементам. Они входят в</w:t>
      </w:r>
      <w:r>
        <w:rPr>
          <w:i/>
          <w:iCs/>
          <w:noProof/>
          <w:sz w:val="24"/>
          <w:szCs w:val="24"/>
        </w:rPr>
        <w:t xml:space="preserve"> VII</w:t>
      </w:r>
      <w:r>
        <w:rPr>
          <w:i/>
          <w:iCs/>
          <w:sz w:val="24"/>
          <w:szCs w:val="24"/>
        </w:rPr>
        <w:t xml:space="preserve"> группу периодической системы (см. рис.</w:t>
      </w:r>
      <w:r>
        <w:rPr>
          <w:i/>
          <w:iCs/>
          <w:noProof/>
          <w:sz w:val="24"/>
          <w:szCs w:val="24"/>
        </w:rPr>
        <w:t>).</w:t>
      </w:r>
    </w:p>
    <w:p w:rsidR="00E73131" w:rsidRDefault="00B178D1">
      <w:pPr>
        <w:rPr>
          <w:b/>
          <w:bCs/>
          <w:sz w:val="24"/>
          <w:szCs w:val="24"/>
        </w:rPr>
      </w:pPr>
      <w:r>
        <w:rPr>
          <w:noProof/>
        </w:rPr>
        <w:pict>
          <v:group id="_x0000_s1033" style="position:absolute;margin-left:109.95pt;margin-top:8.45pt;width:296.85pt;height:120.4pt;z-index:251659776" coordorigin="3220,3227" coordsize="5937,2408">
            <v:shape id="_x0000_s1034" type="#_x0000_t75" style="position:absolute;left:3220;top:3227;width:5919;height:2120;mso-position-horizontal:center">
              <v:imagedata r:id="rId7" o:title="" grayscale="t" bilevel="t"/>
            </v:shape>
            <v:shape id="_x0000_s1035" type="#_x0000_t202" style="position:absolute;left:3227;top:5306;width:5930;height:329" filled="f" stroked="f">
              <v:textbox>
                <w:txbxContent>
                  <w:p w:rsidR="00E73131" w:rsidRDefault="003C6EBD">
                    <w:pPr>
                      <w:jc w:val="right"/>
                      <w:rPr>
                        <w:i/>
                        <w:iCs/>
                      </w:rPr>
                    </w:pPr>
                    <w:r>
                      <w:rPr>
                        <w:i/>
                        <w:iCs/>
                      </w:rPr>
                      <w:t>Положение галогенов в периодической системе.</w:t>
                    </w:r>
                  </w:p>
                </w:txbxContent>
              </v:textbox>
            </v:shape>
            <w10:wrap type="topAndBottom"/>
          </v:group>
        </w:pict>
      </w:r>
      <w:r w:rsidR="003C6EBD">
        <w:rPr>
          <w:b/>
          <w:bCs/>
          <w:sz w:val="24"/>
          <w:szCs w:val="24"/>
        </w:rPr>
        <w:t>О происхождении названий галогенов</w: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Названия всех галогенов, за исключением фтора, происходят от греческих слов:</w:t>
      </w:r>
    </w:p>
    <w:tbl>
      <w:tblPr>
        <w:tblW w:w="5000" w:type="pct"/>
        <w:tblInd w:w="-55" w:type="dxa"/>
        <w:tblBorders>
          <w:left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15"/>
        <w:gridCol w:w="2941"/>
        <w:gridCol w:w="5542"/>
      </w:tblGrid>
      <w:tr w:rsidR="00E73131">
        <w:tc>
          <w:tcPr>
            <w:tcW w:w="0" w:type="auto"/>
            <w:tcBorders>
              <w:top w:val="nil"/>
            </w:tcBorders>
            <w:shd w:val="pct30" w:color="FFFF00" w:fill="FFFFFF"/>
            <w:vAlign w:val="center"/>
          </w:tcPr>
          <w:p w:rsidR="00E73131" w:rsidRDefault="003C6EBD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Название</w:t>
            </w:r>
          </w:p>
        </w:tc>
        <w:tc>
          <w:tcPr>
            <w:tcW w:w="1414" w:type="pct"/>
            <w:tcBorders>
              <w:top w:val="nil"/>
            </w:tcBorders>
            <w:shd w:val="pct30" w:color="FFFF00" w:fill="FFFFFF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Исходное слово</w:t>
            </w:r>
          </w:p>
        </w:tc>
        <w:tc>
          <w:tcPr>
            <w:tcW w:w="2665" w:type="pct"/>
            <w:tcBorders>
              <w:top w:val="nil"/>
            </w:tcBorders>
            <w:shd w:val="pct30" w:color="FFFF00" w:fill="FFFFFF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Значение</w:t>
            </w:r>
          </w:p>
        </w:tc>
      </w:tr>
      <w:tr w:rsidR="00E73131">
        <w:tc>
          <w:tcPr>
            <w:tcW w:w="0" w:type="auto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Галоген</w:t>
            </w:r>
          </w:p>
        </w:tc>
        <w:tc>
          <w:tcPr>
            <w:tcW w:w="1414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галс (греч.)</w:t>
            </w:r>
          </w:p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ген (греч.)</w:t>
            </w:r>
          </w:p>
        </w:tc>
        <w:tc>
          <w:tcPr>
            <w:tcW w:w="2665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Соль</w:t>
            </w:r>
          </w:p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Образующий</w:t>
            </w:r>
          </w:p>
        </w:tc>
      </w:tr>
      <w:tr w:rsidR="00E73131">
        <w:tc>
          <w:tcPr>
            <w:tcW w:w="0" w:type="auto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Фтор</w:t>
            </w:r>
          </w:p>
        </w:tc>
        <w:tc>
          <w:tcPr>
            <w:tcW w:w="1414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флуо (лат.)</w:t>
            </w:r>
          </w:p>
        </w:tc>
        <w:tc>
          <w:tcPr>
            <w:tcW w:w="2665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Течь, текучий (в старину минерал поле</w:t>
            </w:r>
            <w:r>
              <w:rPr>
                <w:sz w:val="24"/>
                <w:szCs w:val="24"/>
              </w:rPr>
              <w:softHyphen/>
              <w:t xml:space="preserve">вой шпат </w:t>
            </w:r>
            <w:r>
              <w:rPr>
                <w:sz w:val="24"/>
                <w:szCs w:val="24"/>
                <w:lang w:val="en-US"/>
              </w:rPr>
              <w:t>CaF</w:t>
            </w:r>
            <w:r>
              <w:rPr>
                <w:sz w:val="24"/>
                <w:szCs w:val="24"/>
              </w:rPr>
              <w:t>, использовали в ме</w:t>
            </w:r>
            <w:r>
              <w:rPr>
                <w:sz w:val="24"/>
                <w:szCs w:val="24"/>
              </w:rPr>
              <w:softHyphen/>
              <w:t>таллургии в качестве флюса для при</w:t>
            </w:r>
            <w:r>
              <w:rPr>
                <w:sz w:val="24"/>
                <w:szCs w:val="24"/>
              </w:rPr>
              <w:softHyphen/>
              <w:t>дания легкоплавкости шлакам)</w:t>
            </w:r>
          </w:p>
        </w:tc>
      </w:tr>
      <w:tr w:rsidR="00E73131">
        <w:tc>
          <w:tcPr>
            <w:tcW w:w="0" w:type="auto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Хлор</w:t>
            </w:r>
          </w:p>
        </w:tc>
        <w:tc>
          <w:tcPr>
            <w:tcW w:w="1414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хлорос (греч.)</w:t>
            </w:r>
          </w:p>
        </w:tc>
        <w:tc>
          <w:tcPr>
            <w:tcW w:w="2665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Зеленовато-желтый</w:t>
            </w:r>
          </w:p>
        </w:tc>
      </w:tr>
      <w:tr w:rsidR="00E73131">
        <w:tc>
          <w:tcPr>
            <w:tcW w:w="0" w:type="auto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Бром</w:t>
            </w:r>
          </w:p>
        </w:tc>
        <w:tc>
          <w:tcPr>
            <w:tcW w:w="1414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бромос (греч.)</w:t>
            </w:r>
          </w:p>
        </w:tc>
        <w:tc>
          <w:tcPr>
            <w:tcW w:w="2665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Зловонный</w:t>
            </w:r>
          </w:p>
        </w:tc>
      </w:tr>
      <w:tr w:rsidR="00E73131">
        <w:tc>
          <w:tcPr>
            <w:tcW w:w="0" w:type="auto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Иод</w:t>
            </w:r>
          </w:p>
        </w:tc>
        <w:tc>
          <w:tcPr>
            <w:tcW w:w="1414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иодес (греч.)</w:t>
            </w:r>
          </w:p>
        </w:tc>
        <w:tc>
          <w:tcPr>
            <w:tcW w:w="2665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Фиолетовый</w:t>
            </w:r>
          </w:p>
        </w:tc>
      </w:tr>
      <w:tr w:rsidR="00E73131">
        <w:tc>
          <w:tcPr>
            <w:tcW w:w="0" w:type="auto"/>
            <w:tcBorders>
              <w:bottom w:val="nil"/>
            </w:tcBorders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Астат</w:t>
            </w:r>
          </w:p>
        </w:tc>
        <w:tc>
          <w:tcPr>
            <w:tcW w:w="1414" w:type="pct"/>
            <w:tcBorders>
              <w:bottom w:val="nil"/>
            </w:tcBorders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астатос (греч.)</w:t>
            </w:r>
          </w:p>
        </w:tc>
        <w:tc>
          <w:tcPr>
            <w:tcW w:w="2665" w:type="pct"/>
            <w:tcBorders>
              <w:bottom w:val="nil"/>
            </w:tcBorders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Неустойчивый</w:t>
            </w:r>
          </w:p>
        </w:tc>
      </w:tr>
    </w:tbl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Слог «ген» в качестве приставки либо суффикса входит во многие научные термины, например в слова генератор и антиген. Обычно он означает рост или образование чего-либо. Таким образом, слово галоген (гало</w:t>
      </w:r>
      <w:r>
        <w:rPr>
          <w:i/>
          <w:iCs/>
          <w:noProof/>
          <w:sz w:val="24"/>
          <w:szCs w:val="24"/>
        </w:rPr>
        <w:t xml:space="preserve"> +</w:t>
      </w:r>
      <w:r>
        <w:rPr>
          <w:i/>
          <w:iCs/>
          <w:sz w:val="24"/>
          <w:szCs w:val="24"/>
        </w:rPr>
        <w:t xml:space="preserve"> ген) означает «образующий соль».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ЭЛЕКТРОННАЯ СТРУКТУРА АТОМОВ ГАЛОГЕНОВ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Атомы всех галогенов имеют во внешней оболочке семь электронов. Они легко присоединяют еще один электрон, образуя галогенидные ионы. Галогенид-ион имеет устойчивый октет электронов. Галогены характеризуются высокой электроотрица</w:t>
      </w:r>
      <w:r>
        <w:rPr>
          <w:sz w:val="24"/>
          <w:szCs w:val="24"/>
        </w:rPr>
        <w:softHyphen/>
        <w:t>тельностью и реакционной способностью и поэтому в свободном виде не встречаются в природе. Однако галогенид-ионы широко распространены в природе.</w:t>
      </w:r>
    </w:p>
    <w:p w:rsidR="00E73131" w:rsidRDefault="00B178D1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pict>
          <v:shape id="_x0000_i1025" type="#_x0000_t75" style="width:123.75pt;height:44.25pt">
            <v:imagedata r:id="rId8" o:title="" grayscale="t" bilevel="t"/>
          </v:shape>
        </w:pic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Галогены в свободном виде существуют в форме двухатомных молекул. Атомы в этих молекулах связаны между собой простой ковалентной связью. Каждая такая связь образуется в результате обобществления пары электронов - по одному от каждого атома:</w: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В табл. 1 приведены некоторые данные о структуре атомов и молекул галоге</w:t>
      </w:r>
      <w:r>
        <w:rPr>
          <w:i/>
          <w:iCs/>
          <w:sz w:val="24"/>
          <w:szCs w:val="24"/>
        </w:rPr>
        <w:softHyphen/>
        <w:t>нов. Обратим внимание на то, что атомные и ионные радиусы галогенов, а также длины связи в их молекулах последовательно возрастают при перемещении к нижней части группы. Однако энергии диссоциации связи и, следовательно, прочность связи в молекулах галогенов при этом, наоборот, уменьшаются. Исключением в этом отноше</w:t>
      </w:r>
      <w:r>
        <w:rPr>
          <w:i/>
          <w:iCs/>
          <w:sz w:val="24"/>
          <w:szCs w:val="24"/>
        </w:rPr>
        <w:softHyphen/>
        <w:t>нии является только фтор. Небольшая прочность связи фтора, по-видимому, обус</w:t>
      </w:r>
      <w:r>
        <w:rPr>
          <w:i/>
          <w:iCs/>
          <w:sz w:val="24"/>
          <w:szCs w:val="24"/>
        </w:rPr>
        <w:softHyphen/>
        <w:t>ловлена слишком близким расположением атомов в его молекуле. Это приводит к сильному отталкиванию между несвязывающими электронами, что вызывает ослаб</w:t>
      </w:r>
      <w:r>
        <w:rPr>
          <w:i/>
          <w:iCs/>
          <w:sz w:val="24"/>
          <w:szCs w:val="24"/>
        </w:rPr>
        <w:softHyphen/>
        <w:t>ление связи.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Таблица 1. Электронное строение и свойства галогенов</w:t>
      </w:r>
    </w:p>
    <w:tbl>
      <w:tblPr>
        <w:tblW w:w="5000" w:type="pct"/>
        <w:tblInd w:w="-55" w:type="dxa"/>
        <w:tblBorders>
          <w:left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70"/>
        <w:gridCol w:w="1113"/>
        <w:gridCol w:w="1807"/>
        <w:gridCol w:w="1880"/>
        <w:gridCol w:w="1173"/>
        <w:gridCol w:w="1208"/>
        <w:gridCol w:w="1079"/>
        <w:gridCol w:w="1368"/>
      </w:tblGrid>
      <w:tr w:rsidR="00E73131">
        <w:tc>
          <w:tcPr>
            <w:tcW w:w="370" w:type="pct"/>
            <w:tcBorders>
              <w:top w:val="nil"/>
            </w:tcBorders>
            <w:shd w:val="pct30" w:color="FFFF00" w:fill="FFFFFF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Элемент</w:t>
            </w:r>
          </w:p>
        </w:tc>
        <w:tc>
          <w:tcPr>
            <w:tcW w:w="535" w:type="pct"/>
            <w:tcBorders>
              <w:top w:val="nil"/>
            </w:tcBorders>
            <w:shd w:val="pct30" w:color="FFFF00" w:fill="FFFFFF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Атомный номер</w:t>
            </w:r>
          </w:p>
        </w:tc>
        <w:tc>
          <w:tcPr>
            <w:tcW w:w="869" w:type="pct"/>
            <w:tcBorders>
              <w:top w:val="nil"/>
            </w:tcBorders>
            <w:shd w:val="pct30" w:color="FFFF00" w:fill="FFFFFF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Электронная конфигурация атомов</w:t>
            </w:r>
          </w:p>
        </w:tc>
        <w:tc>
          <w:tcPr>
            <w:tcW w:w="904" w:type="pct"/>
            <w:tcBorders>
              <w:top w:val="nil"/>
            </w:tcBorders>
            <w:shd w:val="pct30" w:color="FFFF00" w:fill="FFFFFF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Конфигурация внешней оболочки</w:t>
            </w:r>
          </w:p>
        </w:tc>
        <w:tc>
          <w:tcPr>
            <w:tcW w:w="564" w:type="pct"/>
            <w:tcBorders>
              <w:top w:val="nil"/>
            </w:tcBorders>
            <w:shd w:val="pct30" w:color="FFFF00" w:fill="FFFFFF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Атомный радиус, нм</w:t>
            </w:r>
          </w:p>
        </w:tc>
        <w:tc>
          <w:tcPr>
            <w:tcW w:w="581" w:type="pct"/>
            <w:tcBorders>
              <w:top w:val="nil"/>
            </w:tcBorders>
            <w:shd w:val="pct30" w:color="FFFF00" w:fill="FFFFFF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Ионный радиус, нм</w:t>
            </w:r>
          </w:p>
        </w:tc>
        <w:tc>
          <w:tcPr>
            <w:tcW w:w="519" w:type="pct"/>
            <w:tcBorders>
              <w:top w:val="nil"/>
            </w:tcBorders>
            <w:shd w:val="pct30" w:color="FFFF00" w:fill="FFFFFF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Длина связи, нм</w:t>
            </w:r>
          </w:p>
        </w:tc>
        <w:tc>
          <w:tcPr>
            <w:tcW w:w="659" w:type="pct"/>
            <w:tcBorders>
              <w:top w:val="nil"/>
            </w:tcBorders>
            <w:shd w:val="pct30" w:color="FFFF00" w:fill="FFFFFF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Энергия диссоциации связи,</w:t>
            </w:r>
          </w:p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кДж/моль</w:t>
            </w:r>
          </w:p>
        </w:tc>
      </w:tr>
      <w:tr w:rsidR="00E73131">
        <w:tc>
          <w:tcPr>
            <w:tcW w:w="370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Фтор</w:t>
            </w:r>
          </w:p>
        </w:tc>
        <w:tc>
          <w:tcPr>
            <w:tcW w:w="535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869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2.7</w:t>
            </w:r>
          </w:p>
        </w:tc>
        <w:tc>
          <w:tcPr>
            <w:tcW w:w="904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2s</w:t>
            </w:r>
            <w:r>
              <w:rPr>
                <w:sz w:val="24"/>
                <w:szCs w:val="24"/>
                <w:vertAlign w:val="superscript"/>
              </w:rPr>
              <w:t>2</w:t>
            </w:r>
            <w:r>
              <w:rPr>
                <w:sz w:val="24"/>
                <w:szCs w:val="24"/>
              </w:rPr>
              <w:t>2p</w:t>
            </w:r>
            <w:r>
              <w:rPr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564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0,072</w:t>
            </w:r>
          </w:p>
        </w:tc>
        <w:tc>
          <w:tcPr>
            <w:tcW w:w="581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0,136</w:t>
            </w:r>
          </w:p>
        </w:tc>
        <w:tc>
          <w:tcPr>
            <w:tcW w:w="519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0,142</w:t>
            </w:r>
          </w:p>
        </w:tc>
        <w:tc>
          <w:tcPr>
            <w:tcW w:w="659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</w:t>
            </w:r>
          </w:p>
        </w:tc>
      </w:tr>
      <w:tr w:rsidR="00E73131">
        <w:tc>
          <w:tcPr>
            <w:tcW w:w="370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Хлор</w:t>
            </w:r>
          </w:p>
        </w:tc>
        <w:tc>
          <w:tcPr>
            <w:tcW w:w="535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869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2.8.7</w:t>
            </w:r>
          </w:p>
        </w:tc>
        <w:tc>
          <w:tcPr>
            <w:tcW w:w="904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Зs</w:t>
            </w:r>
            <w:r>
              <w:rPr>
                <w:sz w:val="24"/>
                <w:szCs w:val="24"/>
                <w:vertAlign w:val="superscript"/>
              </w:rPr>
              <w:t>2</w:t>
            </w:r>
            <w:r>
              <w:rPr>
                <w:sz w:val="24"/>
                <w:szCs w:val="24"/>
              </w:rPr>
              <w:t>3p</w:t>
            </w:r>
            <w:r>
              <w:rPr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564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0,099</w:t>
            </w:r>
          </w:p>
        </w:tc>
        <w:tc>
          <w:tcPr>
            <w:tcW w:w="581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0,181</w:t>
            </w:r>
          </w:p>
        </w:tc>
        <w:tc>
          <w:tcPr>
            <w:tcW w:w="519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0,200</w:t>
            </w:r>
          </w:p>
        </w:tc>
        <w:tc>
          <w:tcPr>
            <w:tcW w:w="659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</w:t>
            </w:r>
          </w:p>
        </w:tc>
      </w:tr>
      <w:tr w:rsidR="00E73131">
        <w:tc>
          <w:tcPr>
            <w:tcW w:w="370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Бром</w:t>
            </w:r>
          </w:p>
        </w:tc>
        <w:tc>
          <w:tcPr>
            <w:tcW w:w="535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869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2.8.18.7</w:t>
            </w:r>
          </w:p>
        </w:tc>
        <w:tc>
          <w:tcPr>
            <w:tcW w:w="904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  <w:lang w:val="en-US"/>
              </w:rPr>
              <w:t>s</w:t>
            </w:r>
            <w:r>
              <w:rPr>
                <w:sz w:val="24"/>
                <w:szCs w:val="24"/>
                <w:vertAlign w:val="superscript"/>
                <w:lang w:val="en-US"/>
              </w:rPr>
              <w:t>2</w:t>
            </w:r>
            <w:r>
              <w:rPr>
                <w:sz w:val="24"/>
                <w:szCs w:val="24"/>
              </w:rPr>
              <w:t>4р</w:t>
            </w:r>
            <w:r>
              <w:rPr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564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0,114</w:t>
            </w:r>
          </w:p>
        </w:tc>
        <w:tc>
          <w:tcPr>
            <w:tcW w:w="581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0,195</w:t>
            </w:r>
          </w:p>
        </w:tc>
        <w:tc>
          <w:tcPr>
            <w:tcW w:w="519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0,229</w:t>
            </w:r>
          </w:p>
        </w:tc>
        <w:tc>
          <w:tcPr>
            <w:tcW w:w="659" w:type="pct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</w:t>
            </w:r>
          </w:p>
        </w:tc>
      </w:tr>
      <w:tr w:rsidR="00E73131">
        <w:tc>
          <w:tcPr>
            <w:tcW w:w="370" w:type="pct"/>
            <w:tcBorders>
              <w:bottom w:val="nil"/>
            </w:tcBorders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Иод</w:t>
            </w:r>
          </w:p>
        </w:tc>
        <w:tc>
          <w:tcPr>
            <w:tcW w:w="535" w:type="pct"/>
            <w:tcBorders>
              <w:bottom w:val="nil"/>
            </w:tcBorders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869" w:type="pct"/>
            <w:tcBorders>
              <w:bottom w:val="nil"/>
            </w:tcBorders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2.8.18.18.7</w:t>
            </w:r>
          </w:p>
        </w:tc>
        <w:tc>
          <w:tcPr>
            <w:tcW w:w="904" w:type="pct"/>
            <w:tcBorders>
              <w:bottom w:val="nil"/>
            </w:tcBorders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  <w:lang w:val="en-US"/>
              </w:rPr>
              <w:t>s</w:t>
            </w:r>
            <w:r>
              <w:rPr>
                <w:sz w:val="24"/>
                <w:szCs w:val="24"/>
                <w:vertAlign w:val="superscript"/>
                <w:lang w:val="en-US"/>
              </w:rPr>
              <w:t>2</w:t>
            </w:r>
            <w:r>
              <w:rPr>
                <w:sz w:val="24"/>
                <w:szCs w:val="24"/>
              </w:rPr>
              <w:t>5р</w:t>
            </w:r>
            <w:r>
              <w:rPr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564" w:type="pct"/>
            <w:tcBorders>
              <w:bottom w:val="nil"/>
            </w:tcBorders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0,133</w:t>
            </w:r>
          </w:p>
        </w:tc>
        <w:tc>
          <w:tcPr>
            <w:tcW w:w="581" w:type="pct"/>
            <w:tcBorders>
              <w:bottom w:val="nil"/>
            </w:tcBorders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0,216</w:t>
            </w:r>
          </w:p>
        </w:tc>
        <w:tc>
          <w:tcPr>
            <w:tcW w:w="519" w:type="pct"/>
            <w:tcBorders>
              <w:bottom w:val="nil"/>
            </w:tcBorders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0,266</w:t>
            </w:r>
          </w:p>
        </w:tc>
        <w:tc>
          <w:tcPr>
            <w:tcW w:w="659" w:type="pct"/>
            <w:tcBorders>
              <w:bottom w:val="nil"/>
            </w:tcBorders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</w:t>
            </w:r>
          </w:p>
        </w:tc>
      </w:tr>
    </w:tbl>
    <w:p w:rsidR="00E73131" w:rsidRDefault="00E73131">
      <w:pPr>
        <w:rPr>
          <w:i/>
          <w:iCs/>
          <w:sz w:val="24"/>
          <w:szCs w:val="24"/>
        </w:rPr>
      </w:pP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ЛАБОРАТОРНЫЕ МЕТОДЫ ПОЛУЧЕНИЯ ГАЛОГЕНОВ</w: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Хлор. </w:t>
      </w:r>
      <w:r>
        <w:rPr>
          <w:i/>
          <w:iCs/>
          <w:sz w:val="24"/>
          <w:szCs w:val="24"/>
        </w:rPr>
        <w:t>Хлор можно получить в лабораторных условиях окислением концентрированной соляной кислоты манганатом(</w:t>
      </w:r>
      <w:r>
        <w:rPr>
          <w:i/>
          <w:iCs/>
          <w:sz w:val="24"/>
          <w:szCs w:val="24"/>
          <w:lang w:val="en-US"/>
        </w:rPr>
        <w:t>VII</w:t>
      </w:r>
      <w:r>
        <w:rPr>
          <w:i/>
          <w:iCs/>
          <w:sz w:val="24"/>
          <w:szCs w:val="24"/>
        </w:rPr>
        <w:t>) калия:</w:t>
      </w:r>
    </w:p>
    <w:p w:rsidR="00E73131" w:rsidRDefault="00B178D1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pict>
          <v:shape id="_x0000_i1026" type="#_x0000_t75" style="width:385.5pt;height:15pt">
            <v:imagedata r:id="rId9" o:title=""/>
          </v:shape>
        </w:pic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Выделяющийся хлор пропускают через воду, чтобы удалить следы хлороводородов, а затем через концентрированную серную кислоту, чтобы осушить его. Полученный хлор собирают в перевернутом сосуде, из которого он вытесняет воздух.</w: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Другой способ лабораторного получения хлора основан на реакции между отбели</w:t>
      </w:r>
      <w:r>
        <w:rPr>
          <w:i/>
          <w:iCs/>
          <w:sz w:val="24"/>
          <w:szCs w:val="24"/>
        </w:rPr>
        <w:softHyphen/>
        <w:t>вающим порошком (гипохлоритом кальция) и разбавленной соляной кислотой:</w:t>
      </w:r>
    </w:p>
    <w:p w:rsidR="00E73131" w:rsidRDefault="00B178D1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pict>
          <v:shape id="_x0000_i1027" type="#_x0000_t75" style="width:372pt;height:14.25pt">
            <v:imagedata r:id="rId10" o:title=""/>
          </v:shape>
        </w:pic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Бром.</w:t>
      </w:r>
      <w:r>
        <w:rPr>
          <w:i/>
          <w:iCs/>
          <w:sz w:val="24"/>
          <w:szCs w:val="24"/>
        </w:rPr>
        <w:t xml:space="preserve"> Для получения брома в лабораторных условиях добавляют оксид марган-Ha(IV) к смеси концентрированной серной кислоты с бромидом калия. Бромоводород-ная кислота, обоазуюшаяся в оеакции между сеоной кислотой и бромидом калия:</w:t>
      </w:r>
    </w:p>
    <w:p w:rsidR="00E73131" w:rsidRDefault="00B178D1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pict>
          <v:shape id="_x0000_i1028" type="#_x0000_t75" style="width:226.5pt;height:15pt">
            <v:imagedata r:id="rId11" o:title=""/>
          </v:shape>
        </w:pic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окисляется оксидом марганца(</w:t>
      </w:r>
      <w:r>
        <w:rPr>
          <w:i/>
          <w:iCs/>
          <w:sz w:val="24"/>
          <w:szCs w:val="24"/>
          <w:lang w:val="en-US"/>
        </w:rPr>
        <w:t>IV</w:t>
      </w:r>
      <w:r>
        <w:rPr>
          <w:i/>
          <w:iCs/>
          <w:sz w:val="24"/>
          <w:szCs w:val="24"/>
        </w:rPr>
        <w:t>)</w:t>
      </w:r>
    </w:p>
    <w:p w:rsidR="00E73131" w:rsidRDefault="00B178D1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pict>
          <v:shape id="_x0000_i1029" type="#_x0000_t75" style="width:362.25pt;height:14.25pt">
            <v:imagedata r:id="rId12" o:title=""/>
          </v:shape>
        </w:pic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Бром отделяют от реакционной смеси перегонкой.</w: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Иод.</w:t>
      </w:r>
      <w:r>
        <w:rPr>
          <w:i/>
          <w:iCs/>
          <w:sz w:val="24"/>
          <w:szCs w:val="24"/>
        </w:rPr>
        <w:t xml:space="preserve"> Иод получают тем же способом, что и бром, только вместо бромида калия используется иодид калия. Полученный иод отделяют от реакционной смеси воз</w:t>
      </w:r>
      <w:r>
        <w:rPr>
          <w:i/>
          <w:iCs/>
          <w:sz w:val="24"/>
          <w:szCs w:val="24"/>
        </w:rPr>
        <w:softHyphen/>
        <w:t>гонкой.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ФИЗИЧЕСКИЕ И БИОЛОГИЧЕСКИЕ СВОЙСТВА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Все галогены - токсичные вещества.</w: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Отравление хлором.</w:t>
      </w:r>
      <w:r>
        <w:rPr>
          <w:i/>
          <w:iCs/>
          <w:sz w:val="24"/>
          <w:szCs w:val="24"/>
        </w:rPr>
        <w:t xml:space="preserve"> Жидкий хлор вызывает серьезные ожоги кожи. Газообраз</w:t>
      </w:r>
      <w:r>
        <w:rPr>
          <w:i/>
          <w:iCs/>
          <w:sz w:val="24"/>
          <w:szCs w:val="24"/>
        </w:rPr>
        <w:softHyphen/>
        <w:t>ный хлор оказывает сильное раздражающее действие, особенно на глаза и дыха</w:t>
      </w:r>
      <w:r>
        <w:rPr>
          <w:i/>
          <w:iCs/>
          <w:sz w:val="24"/>
          <w:szCs w:val="24"/>
        </w:rPr>
        <w:softHyphen/>
        <w:t>тельную систему. Он реагирует с водой, содержащейся в глазах, легких и слизистых оболочках органов дыхания, образуя соляную кислоту и хлорноватистую кислоту (см. ниже «Реакции с водой и щелочами»). Симптомами отравления хлором являются жжение глаз и органов дыхания, непрекращающийся кашель и, в тяжелых случаях, кровавая мокрота. В легких, отравленных хлором, может развиваться бронхиальная пневмония. Предельно допустимая концентрация хлора в воздухе составляет 0,005 мг/дм</w:t>
      </w:r>
      <w:r>
        <w:rPr>
          <w:i/>
          <w:iCs/>
          <w:sz w:val="24"/>
          <w:szCs w:val="24"/>
          <w:vertAlign w:val="superscript"/>
        </w:rPr>
        <w:t>3</w:t>
      </w:r>
      <w:r>
        <w:rPr>
          <w:i/>
          <w:iCs/>
          <w:sz w:val="24"/>
          <w:szCs w:val="24"/>
        </w:rPr>
        <w:t>. Уровень 0,2 мг/дм</w:t>
      </w:r>
      <w:r>
        <w:rPr>
          <w:i/>
          <w:iCs/>
          <w:sz w:val="24"/>
          <w:szCs w:val="24"/>
          <w:vertAlign w:val="superscript"/>
        </w:rPr>
        <w:t>3</w:t>
      </w:r>
      <w:r>
        <w:rPr>
          <w:i/>
          <w:iCs/>
          <w:sz w:val="24"/>
          <w:szCs w:val="24"/>
        </w:rPr>
        <w:t xml:space="preserve"> считается опасным, а концентрация 2 мг/дм</w:t>
      </w:r>
      <w:r>
        <w:rPr>
          <w:i/>
          <w:iCs/>
          <w:sz w:val="24"/>
          <w:szCs w:val="24"/>
          <w:vertAlign w:val="superscript"/>
        </w:rPr>
        <w:t>3</w:t>
      </w:r>
      <w:r>
        <w:rPr>
          <w:i/>
          <w:iCs/>
          <w:sz w:val="24"/>
          <w:szCs w:val="24"/>
        </w:rPr>
        <w:t xml:space="preserve"> может вызвать быструю смерть. Однако случаи отравления хлором со смертельным исходом в аварийной обстановке нечасты, поскольку людей, на</w:t>
      </w:r>
      <w:r>
        <w:rPr>
          <w:i/>
          <w:iCs/>
          <w:sz w:val="24"/>
          <w:szCs w:val="24"/>
        </w:rPr>
        <w:softHyphen/>
        <w:t>дышавшихся этим газом, обычно удается вовремя удалить из отравленной зоны.</w: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Галогены имеют характерный резкий запах, хорошо знакомый тем, кто посещает плавательные бассейны.</w: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Все галогены имеют большую летучесть. Она объясняется тем, что их молекулы удерживаются вместе лишь слабыми вандерваальсовыми силами. Хотя вандерваальсовы силы постепенно возрастают при перемещении к нижней части группы галогенов, они остаются очень слабыми даже в кристаллах иода, которые поэтому легко возгоняются при нагревании. При этом образуются фиолетовые пары иода. Темпе</w:t>
      </w:r>
      <w:r>
        <w:rPr>
          <w:i/>
          <w:iCs/>
          <w:sz w:val="24"/>
          <w:szCs w:val="24"/>
        </w:rPr>
        <w:softHyphen/>
        <w:t>ратуры плавления и кипения галогенов указаны в табл. 2.</w: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Таблица 2. Физические свойства галогенов</w:t>
      </w:r>
    </w:p>
    <w:tbl>
      <w:tblPr>
        <w:tblW w:w="5000" w:type="pct"/>
        <w:tblInd w:w="-55" w:type="dxa"/>
        <w:tblBorders>
          <w:left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57"/>
        <w:gridCol w:w="2420"/>
        <w:gridCol w:w="2250"/>
        <w:gridCol w:w="4771"/>
      </w:tblGrid>
      <w:tr w:rsidR="00E73131">
        <w:tc>
          <w:tcPr>
            <w:tcW w:w="433" w:type="pct"/>
            <w:tcBorders>
              <w:top w:val="nil"/>
            </w:tcBorders>
            <w:shd w:val="pct30" w:color="FFFF00" w:fill="FFFFFF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Элемент</w:t>
            </w:r>
          </w:p>
        </w:tc>
        <w:tc>
          <w:tcPr>
            <w:tcW w:w="1173" w:type="pct"/>
            <w:tcBorders>
              <w:top w:val="nil"/>
            </w:tcBorders>
            <w:shd w:val="pct30" w:color="FFFF00" w:fill="FFFFFF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Температура плавления, °С</w:t>
            </w:r>
          </w:p>
        </w:tc>
        <w:tc>
          <w:tcPr>
            <w:tcW w:w="1091" w:type="pct"/>
            <w:tcBorders>
              <w:top w:val="nil"/>
            </w:tcBorders>
            <w:shd w:val="pct30" w:color="FFFF00" w:fill="FFFFFF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Температура кипения, °С</w:t>
            </w:r>
          </w:p>
        </w:tc>
        <w:tc>
          <w:tcPr>
            <w:tcW w:w="2304" w:type="pct"/>
            <w:tcBorders>
              <w:top w:val="nil"/>
            </w:tcBorders>
            <w:shd w:val="pct30" w:color="FFFF00" w:fill="FFFFFF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Агрегатное состояние и внешний вид при 20°С</w:t>
            </w:r>
          </w:p>
        </w:tc>
      </w:tr>
      <w:tr w:rsidR="00E73131">
        <w:tc>
          <w:tcPr>
            <w:tcW w:w="433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Фтор</w:t>
            </w:r>
          </w:p>
        </w:tc>
        <w:tc>
          <w:tcPr>
            <w:tcW w:w="1173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-220</w:t>
            </w:r>
          </w:p>
        </w:tc>
        <w:tc>
          <w:tcPr>
            <w:tcW w:w="1091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-188</w:t>
            </w:r>
          </w:p>
        </w:tc>
        <w:tc>
          <w:tcPr>
            <w:tcW w:w="2304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Бледно-желтый газ</w:t>
            </w:r>
          </w:p>
        </w:tc>
      </w:tr>
      <w:tr w:rsidR="00E73131">
        <w:tc>
          <w:tcPr>
            <w:tcW w:w="433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Хлор</w:t>
            </w:r>
          </w:p>
        </w:tc>
        <w:tc>
          <w:tcPr>
            <w:tcW w:w="1173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-101</w:t>
            </w:r>
          </w:p>
        </w:tc>
        <w:tc>
          <w:tcPr>
            <w:tcW w:w="1091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-34</w:t>
            </w:r>
          </w:p>
        </w:tc>
        <w:tc>
          <w:tcPr>
            <w:tcW w:w="2304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Желто-зеленый газ</w:t>
            </w:r>
          </w:p>
        </w:tc>
      </w:tr>
      <w:tr w:rsidR="00E73131">
        <w:tc>
          <w:tcPr>
            <w:tcW w:w="433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Бром</w:t>
            </w:r>
          </w:p>
        </w:tc>
        <w:tc>
          <w:tcPr>
            <w:tcW w:w="1173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-7</w:t>
            </w:r>
          </w:p>
        </w:tc>
        <w:tc>
          <w:tcPr>
            <w:tcW w:w="1091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2304" w:type="pct"/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Коричневая жидкость с тяжелы</w:t>
            </w:r>
            <w:r>
              <w:rPr>
                <w:sz w:val="24"/>
                <w:szCs w:val="24"/>
              </w:rPr>
              <w:softHyphen/>
              <w:t>ми коричневыми парами</w:t>
            </w:r>
          </w:p>
        </w:tc>
      </w:tr>
      <w:tr w:rsidR="00E73131">
        <w:tc>
          <w:tcPr>
            <w:tcW w:w="433" w:type="pct"/>
            <w:tcBorders>
              <w:bottom w:val="nil"/>
            </w:tcBorders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Иод</w:t>
            </w:r>
          </w:p>
        </w:tc>
        <w:tc>
          <w:tcPr>
            <w:tcW w:w="1173" w:type="pct"/>
            <w:tcBorders>
              <w:bottom w:val="nil"/>
            </w:tcBorders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</w:t>
            </w:r>
          </w:p>
        </w:tc>
        <w:tc>
          <w:tcPr>
            <w:tcW w:w="1091" w:type="pct"/>
            <w:tcBorders>
              <w:bottom w:val="nil"/>
            </w:tcBorders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183</w:t>
            </w:r>
          </w:p>
        </w:tc>
        <w:tc>
          <w:tcPr>
            <w:tcW w:w="2304" w:type="pct"/>
            <w:tcBorders>
              <w:bottom w:val="nil"/>
            </w:tcBorders>
            <w:vAlign w:val="center"/>
          </w:tcPr>
          <w:p w:rsidR="00E73131" w:rsidRDefault="003C6E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Блестящие серо-черные кристал</w:t>
            </w:r>
            <w:r>
              <w:rPr>
                <w:sz w:val="24"/>
                <w:szCs w:val="24"/>
              </w:rPr>
              <w:softHyphen/>
              <w:t>лы</w:t>
            </w:r>
          </w:p>
        </w:tc>
      </w:tr>
    </w:tbl>
    <w:p w:rsidR="00E73131" w:rsidRDefault="00E73131">
      <w:pPr>
        <w:rPr>
          <w:sz w:val="24"/>
          <w:szCs w:val="24"/>
        </w:rPr>
      </w:pP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Все галогены - окрашенные вещества. Интенсивность их окраски возрастает по мере перемещения к нижней части группы.</w: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Галогены обладают небольшой растворимостью в воде. Раствор хлора в воде называется хлорной водой. Галогены хорошо растворяются в органических раствори</w:t>
      </w:r>
      <w:r>
        <w:rPr>
          <w:i/>
          <w:iCs/>
          <w:sz w:val="24"/>
          <w:szCs w:val="24"/>
        </w:rPr>
        <w:softHyphen/>
        <w:t>телях, образуя окрашенные растворы. Например, хлор растворяется в тетрахлоро-метане, образуя желтый раствор, бром образует красный раствор, а иод-фиолетовый.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РЕАКЦИОННАЯ СПОСОБНОСТЬ ГАЛОГЕНОВ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Галогены представляют собой наиболее реакционноспособную группу элементов в периодической системе. Они состоят из молекул с очень низкими энергиями диссоциа</w:t>
      </w:r>
      <w:r>
        <w:rPr>
          <w:sz w:val="24"/>
          <w:szCs w:val="24"/>
        </w:rPr>
        <w:softHyphen/>
        <w:t>ции связи (см. табл. 1), а их атомы имеют во внешней оболочке семь электронов и поэтому очень электроотрицательны. Фтор-наиболее электроотрицательный и наи</w:t>
      </w:r>
      <w:r>
        <w:rPr>
          <w:sz w:val="24"/>
          <w:szCs w:val="24"/>
        </w:rPr>
        <w:softHyphen/>
        <w:t>более реакционноспособный неметаллический элемент в периодической системе. Реак</w:t>
      </w:r>
      <w:r>
        <w:rPr>
          <w:sz w:val="24"/>
          <w:szCs w:val="24"/>
        </w:rPr>
        <w:softHyphen/>
        <w:t>ционная способность галогенов постепенно уменьшается при перемещении к нижней части группы. В следующем разделе будет рассмотрена способность галогенов окис</w:t>
      </w:r>
      <w:r>
        <w:rPr>
          <w:sz w:val="24"/>
          <w:szCs w:val="24"/>
        </w:rPr>
        <w:softHyphen/>
        <w:t>лять металлы и неметаллы и показано, как эта способность уменьшается в направле</w:t>
      </w:r>
      <w:r>
        <w:rPr>
          <w:sz w:val="24"/>
          <w:szCs w:val="24"/>
        </w:rPr>
        <w:softHyphen/>
        <w:t>нии от фтора к иоду.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ГАЛОГЕНЫ КАК ОКИСЛИТЕЛИ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При пропускании газообразного сероводорода через хлорную воду происходит осаж</w:t>
      </w:r>
      <w:r>
        <w:rPr>
          <w:sz w:val="24"/>
          <w:szCs w:val="24"/>
        </w:rPr>
        <w:softHyphen/>
        <w:t>дение серы. Реакция протекает по уравнению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30" type="#_x0000_t75" style="width:225.75pt;height:15pt">
            <v:imagedata r:id="rId13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В этой реакции хлор окисляет сероводород, отнимая у него водород. Хлор окисляет также железо (II) до железа (III). Например, если перемешивать встряхиванием хлор с водным раствором сульфата железа (II), образуется сульфат железа (III):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31" type="#_x0000_t75" style="width:247.5pt;height:13.5pt">
            <v:imagedata r:id="rId14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Происходящая при этом окислительная полуреакция описывается уравнением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32" type="#_x0000_t75" style="width:99pt;height:11.25pt">
            <v:imagedata r:id="rId15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В качестве другого примера окислительного действия хлора приведем синтез хлорида натрия при сжигании натрия в хлоре: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33" type="#_x0000_t75" style="width:145.5pt;height:12pt">
            <v:imagedata r:id="rId16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В этой реакции происходит окисление натрия, поскольку каждый атом натрия теряет электрон, образуя ион натрия: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34" type="#_x0000_t75" style="width:93pt;height:14.25pt">
            <v:imagedata r:id="rId17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Хлор присоединяет эти электроны, образуя хлорид-ионы: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35" type="#_x0000_t75" style="width:81pt;height:14.25pt">
            <v:imagedata r:id="rId18" o:title=""/>
          </v:shape>
        </w:pict>
      </w:r>
    </w:p>
    <w:p w:rsidR="00E73131" w:rsidRDefault="00E73131">
      <w:pPr>
        <w:rPr>
          <w:b/>
          <w:bCs/>
          <w:sz w:val="24"/>
          <w:szCs w:val="24"/>
        </w:rPr>
        <w:sectPr w:rsidR="00E73131">
          <w:headerReference w:type="default" r:id="rId19"/>
          <w:footerReference w:type="default" r:id="rId20"/>
          <w:pgSz w:w="11906" w:h="16838" w:code="9"/>
          <w:pgMar w:top="567" w:right="567" w:bottom="1702" w:left="567" w:header="720" w:footer="851" w:gutter="454"/>
          <w:cols w:space="720"/>
          <w:titlePg/>
        </w:sectPr>
      </w:pP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Таблица 3. Стандартные электродные потен</w:t>
      </w:r>
      <w:r>
        <w:rPr>
          <w:i/>
          <w:iCs/>
          <w:sz w:val="24"/>
          <w:szCs w:val="24"/>
        </w:rPr>
        <w:softHyphen/>
        <w:t>циалы галогенов</w:t>
      </w:r>
    </w:p>
    <w:tbl>
      <w:tblPr>
        <w:tblW w:w="5000" w:type="pct"/>
        <w:tblInd w:w="-55" w:type="dxa"/>
        <w:tblBorders>
          <w:left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17"/>
        <w:gridCol w:w="1862"/>
      </w:tblGrid>
      <w:tr w:rsidR="00E73131">
        <w:tc>
          <w:tcPr>
            <w:tcW w:w="3092" w:type="pct"/>
            <w:tcBorders>
              <w:top w:val="nil"/>
            </w:tcBorders>
            <w:shd w:val="pct30" w:color="FFFF00" w:fill="FFFFFF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Электродная реакция</w:t>
            </w:r>
          </w:p>
        </w:tc>
        <w:tc>
          <w:tcPr>
            <w:tcW w:w="1908" w:type="pct"/>
            <w:tcBorders>
              <w:top w:val="nil"/>
            </w:tcBorders>
            <w:shd w:val="pct30" w:color="FFFF00" w:fill="FFFFFF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Стандартный электродный потенциал Е</w:t>
            </w:r>
            <w:r>
              <w:rPr>
                <w:i/>
                <w:iCs/>
                <w:sz w:val="24"/>
                <w:szCs w:val="24"/>
              </w:rPr>
              <w:sym w:font="Symbol" w:char="F0B0"/>
            </w:r>
            <w:r>
              <w:rPr>
                <w:i/>
                <w:iCs/>
                <w:sz w:val="24"/>
                <w:szCs w:val="24"/>
              </w:rPr>
              <w:t>, В</w:t>
            </w:r>
          </w:p>
        </w:tc>
      </w:tr>
      <w:tr w:rsidR="00E73131">
        <w:tc>
          <w:tcPr>
            <w:tcW w:w="3092" w:type="pct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  <w:lang w:val="en-US"/>
              </w:rPr>
              <w:t>F</w:t>
            </w:r>
            <w:r>
              <w:rPr>
                <w:i/>
                <w:iCs/>
                <w:sz w:val="24"/>
                <w:szCs w:val="24"/>
                <w:vertAlign w:val="subscript"/>
              </w:rPr>
              <w:t xml:space="preserve">2 </w:t>
            </w:r>
            <w:r>
              <w:rPr>
                <w:i/>
                <w:iCs/>
                <w:sz w:val="24"/>
                <w:szCs w:val="24"/>
              </w:rPr>
              <w:t>(г.)+2</w:t>
            </w:r>
            <w:r>
              <w:rPr>
                <w:i/>
                <w:iCs/>
                <w:sz w:val="24"/>
                <w:szCs w:val="24"/>
                <w:lang w:val="en-US"/>
              </w:rPr>
              <w:t>e</w:t>
            </w:r>
            <w:r>
              <w:rPr>
                <w:i/>
                <w:iCs/>
                <w:sz w:val="24"/>
                <w:szCs w:val="24"/>
                <w:vertAlign w:val="superscript"/>
              </w:rPr>
              <w:t>–</w:t>
            </w:r>
            <w:r>
              <w:rPr>
                <w:i/>
                <w:iCs/>
                <w:sz w:val="24"/>
                <w:szCs w:val="24"/>
                <w:lang w:val="en-US"/>
              </w:rPr>
              <w:sym w:font="Symbol" w:char="F0AB"/>
            </w:r>
            <w:r>
              <w:rPr>
                <w:i/>
                <w:iCs/>
                <w:sz w:val="24"/>
                <w:szCs w:val="24"/>
              </w:rPr>
              <w:t>2</w:t>
            </w:r>
            <w:r>
              <w:rPr>
                <w:i/>
                <w:iCs/>
                <w:sz w:val="24"/>
                <w:szCs w:val="24"/>
                <w:lang w:val="en-US"/>
              </w:rPr>
              <w:t>F</w:t>
            </w:r>
            <w:r>
              <w:rPr>
                <w:i/>
                <w:iCs/>
                <w:sz w:val="24"/>
                <w:szCs w:val="24"/>
                <w:vertAlign w:val="superscript"/>
              </w:rPr>
              <w:t>–</w:t>
            </w:r>
            <w:r>
              <w:rPr>
                <w:i/>
                <w:iCs/>
                <w:sz w:val="24"/>
                <w:szCs w:val="24"/>
              </w:rPr>
              <w:t xml:space="preserve"> (водн.)</w:t>
            </w:r>
          </w:p>
        </w:tc>
        <w:tc>
          <w:tcPr>
            <w:tcW w:w="1908" w:type="pct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+2,87</w:t>
            </w:r>
          </w:p>
        </w:tc>
      </w:tr>
      <w:tr w:rsidR="00E73131">
        <w:tc>
          <w:tcPr>
            <w:tcW w:w="3092" w:type="pct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  <w:lang w:val="en-US"/>
              </w:rPr>
              <w:t>Cl</w:t>
            </w:r>
            <w:r>
              <w:rPr>
                <w:i/>
                <w:iCs/>
                <w:sz w:val="24"/>
                <w:szCs w:val="24"/>
                <w:vertAlign w:val="subscript"/>
              </w:rPr>
              <w:t xml:space="preserve">2 </w:t>
            </w:r>
            <w:r>
              <w:rPr>
                <w:i/>
                <w:iCs/>
                <w:sz w:val="24"/>
                <w:szCs w:val="24"/>
              </w:rPr>
              <w:t>(г.)+2</w:t>
            </w:r>
            <w:r>
              <w:rPr>
                <w:i/>
                <w:iCs/>
                <w:sz w:val="24"/>
                <w:szCs w:val="24"/>
                <w:lang w:val="en-US"/>
              </w:rPr>
              <w:t>e</w:t>
            </w:r>
            <w:r>
              <w:rPr>
                <w:i/>
                <w:iCs/>
                <w:sz w:val="24"/>
                <w:szCs w:val="24"/>
                <w:vertAlign w:val="superscript"/>
              </w:rPr>
              <w:t>–</w:t>
            </w:r>
            <w:r>
              <w:rPr>
                <w:i/>
                <w:iCs/>
                <w:sz w:val="24"/>
                <w:szCs w:val="24"/>
                <w:lang w:val="en-US"/>
              </w:rPr>
              <w:sym w:font="Symbol" w:char="F0AB"/>
            </w:r>
            <w:r>
              <w:rPr>
                <w:i/>
                <w:iCs/>
                <w:sz w:val="24"/>
                <w:szCs w:val="24"/>
              </w:rPr>
              <w:t>2</w:t>
            </w:r>
            <w:r>
              <w:rPr>
                <w:i/>
                <w:iCs/>
                <w:sz w:val="24"/>
                <w:szCs w:val="24"/>
                <w:lang w:val="en-US"/>
              </w:rPr>
              <w:t>Cl</w:t>
            </w:r>
            <w:r>
              <w:rPr>
                <w:i/>
                <w:iCs/>
                <w:sz w:val="24"/>
                <w:szCs w:val="24"/>
                <w:vertAlign w:val="superscript"/>
              </w:rPr>
              <w:t xml:space="preserve">– </w:t>
            </w:r>
            <w:r>
              <w:rPr>
                <w:i/>
                <w:iCs/>
                <w:sz w:val="24"/>
                <w:szCs w:val="24"/>
              </w:rPr>
              <w:t>(водн.)</w:t>
            </w:r>
          </w:p>
        </w:tc>
        <w:tc>
          <w:tcPr>
            <w:tcW w:w="1908" w:type="pct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+1,36</w:t>
            </w:r>
          </w:p>
        </w:tc>
      </w:tr>
      <w:tr w:rsidR="00E73131">
        <w:tc>
          <w:tcPr>
            <w:tcW w:w="3092" w:type="pct"/>
          </w:tcPr>
          <w:p w:rsidR="00E73131" w:rsidRDefault="003C6EBD">
            <w:pPr>
              <w:rPr>
                <w:i/>
                <w:iCs/>
                <w:sz w:val="24"/>
                <w:szCs w:val="24"/>
                <w:lang w:val="en-US"/>
              </w:rPr>
            </w:pPr>
            <w:r>
              <w:rPr>
                <w:i/>
                <w:iCs/>
                <w:sz w:val="24"/>
                <w:szCs w:val="24"/>
                <w:lang w:val="en-US"/>
              </w:rPr>
              <w:t>Br</w:t>
            </w:r>
            <w:r>
              <w:rPr>
                <w:i/>
                <w:iCs/>
                <w:sz w:val="24"/>
                <w:szCs w:val="24"/>
                <w:vertAlign w:val="subscript"/>
                <w:lang w:val="en-US"/>
              </w:rPr>
              <w:t>2</w:t>
            </w:r>
            <w:r>
              <w:rPr>
                <w:i/>
                <w:iCs/>
                <w:sz w:val="24"/>
                <w:szCs w:val="24"/>
                <w:lang w:val="en-US"/>
              </w:rPr>
              <w:t xml:space="preserve"> (</w:t>
            </w:r>
            <w:r>
              <w:rPr>
                <w:i/>
                <w:iCs/>
                <w:sz w:val="24"/>
                <w:szCs w:val="24"/>
              </w:rPr>
              <w:t>ж</w:t>
            </w:r>
            <w:r>
              <w:rPr>
                <w:i/>
                <w:iCs/>
                <w:sz w:val="24"/>
                <w:szCs w:val="24"/>
                <w:lang w:val="en-US"/>
              </w:rPr>
              <w:t>.)+2e</w:t>
            </w:r>
            <w:r>
              <w:rPr>
                <w:i/>
                <w:iCs/>
                <w:sz w:val="24"/>
                <w:szCs w:val="24"/>
                <w:vertAlign w:val="superscript"/>
                <w:lang w:val="en-US"/>
              </w:rPr>
              <w:t>–</w:t>
            </w:r>
            <w:r>
              <w:rPr>
                <w:i/>
                <w:iCs/>
                <w:sz w:val="24"/>
                <w:szCs w:val="24"/>
                <w:lang w:val="en-US"/>
              </w:rPr>
              <w:sym w:font="Symbol" w:char="F0AB"/>
            </w:r>
            <w:r>
              <w:rPr>
                <w:i/>
                <w:iCs/>
                <w:sz w:val="24"/>
                <w:szCs w:val="24"/>
                <w:lang w:val="en-US"/>
              </w:rPr>
              <w:t>2Br</w:t>
            </w:r>
            <w:r>
              <w:rPr>
                <w:i/>
                <w:iCs/>
                <w:sz w:val="24"/>
                <w:szCs w:val="24"/>
                <w:vertAlign w:val="superscript"/>
                <w:lang w:val="en-US"/>
              </w:rPr>
              <w:t xml:space="preserve">– </w:t>
            </w:r>
            <w:r>
              <w:rPr>
                <w:i/>
                <w:iCs/>
                <w:sz w:val="24"/>
                <w:szCs w:val="24"/>
              </w:rPr>
              <w:t>(водн.)</w:t>
            </w:r>
          </w:p>
        </w:tc>
        <w:tc>
          <w:tcPr>
            <w:tcW w:w="1908" w:type="pct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+1,09</w:t>
            </w:r>
          </w:p>
        </w:tc>
      </w:tr>
      <w:tr w:rsidR="00E73131">
        <w:tc>
          <w:tcPr>
            <w:tcW w:w="3092" w:type="pct"/>
            <w:tcBorders>
              <w:bottom w:val="nil"/>
            </w:tcBorders>
          </w:tcPr>
          <w:p w:rsidR="00E73131" w:rsidRDefault="003C6EBD">
            <w:pPr>
              <w:rPr>
                <w:i/>
                <w:iCs/>
                <w:sz w:val="24"/>
                <w:szCs w:val="24"/>
                <w:lang w:val="en-US"/>
              </w:rPr>
            </w:pPr>
            <w:r>
              <w:rPr>
                <w:i/>
                <w:iCs/>
                <w:sz w:val="24"/>
                <w:szCs w:val="24"/>
                <w:lang w:val="en-US"/>
              </w:rPr>
              <w:t>I</w:t>
            </w:r>
            <w:r>
              <w:rPr>
                <w:i/>
                <w:iCs/>
                <w:sz w:val="24"/>
                <w:szCs w:val="24"/>
                <w:vertAlign w:val="subscript"/>
                <w:lang w:val="en-US"/>
              </w:rPr>
              <w:t xml:space="preserve">2 </w:t>
            </w:r>
            <w:r>
              <w:rPr>
                <w:i/>
                <w:iCs/>
                <w:sz w:val="24"/>
                <w:szCs w:val="24"/>
                <w:lang w:val="en-US"/>
              </w:rPr>
              <w:t>(</w:t>
            </w:r>
            <w:r>
              <w:rPr>
                <w:i/>
                <w:iCs/>
                <w:sz w:val="24"/>
                <w:szCs w:val="24"/>
              </w:rPr>
              <w:t>тв</w:t>
            </w:r>
            <w:r>
              <w:rPr>
                <w:i/>
                <w:iCs/>
                <w:sz w:val="24"/>
                <w:szCs w:val="24"/>
                <w:lang w:val="en-US"/>
              </w:rPr>
              <w:t>.)+2e</w:t>
            </w:r>
            <w:r>
              <w:rPr>
                <w:i/>
                <w:iCs/>
                <w:sz w:val="24"/>
                <w:szCs w:val="24"/>
                <w:vertAlign w:val="superscript"/>
                <w:lang w:val="en-US"/>
              </w:rPr>
              <w:t>–</w:t>
            </w:r>
            <w:r>
              <w:rPr>
                <w:i/>
                <w:iCs/>
                <w:sz w:val="24"/>
                <w:szCs w:val="24"/>
                <w:lang w:val="en-US"/>
              </w:rPr>
              <w:sym w:font="Symbol" w:char="F0AB"/>
            </w:r>
            <w:r>
              <w:rPr>
                <w:i/>
                <w:iCs/>
                <w:sz w:val="24"/>
                <w:szCs w:val="24"/>
                <w:lang w:val="en-US"/>
              </w:rPr>
              <w:t>2I</w:t>
            </w:r>
            <w:r>
              <w:rPr>
                <w:i/>
                <w:iCs/>
                <w:sz w:val="24"/>
                <w:szCs w:val="24"/>
                <w:vertAlign w:val="superscript"/>
                <w:lang w:val="en-US"/>
              </w:rPr>
              <w:t xml:space="preserve">– </w:t>
            </w:r>
            <w:r>
              <w:rPr>
                <w:i/>
                <w:iCs/>
                <w:sz w:val="24"/>
                <w:szCs w:val="24"/>
                <w:lang w:val="en-US"/>
              </w:rPr>
              <w:t>(</w:t>
            </w:r>
            <w:r>
              <w:rPr>
                <w:i/>
                <w:iCs/>
                <w:sz w:val="24"/>
                <w:szCs w:val="24"/>
              </w:rPr>
              <w:t>водн</w:t>
            </w:r>
            <w:r>
              <w:rPr>
                <w:i/>
                <w:iCs/>
                <w:sz w:val="24"/>
                <w:szCs w:val="24"/>
                <w:lang w:val="en-US"/>
              </w:rPr>
              <w:t>.)</w:t>
            </w:r>
          </w:p>
        </w:tc>
        <w:tc>
          <w:tcPr>
            <w:tcW w:w="1908" w:type="pct"/>
            <w:tcBorders>
              <w:bottom w:val="nil"/>
            </w:tcBorders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+0,54</w:t>
            </w:r>
          </w:p>
        </w:tc>
      </w:tr>
    </w:tbl>
    <w:p w:rsidR="00E73131" w:rsidRDefault="00E73131">
      <w:pPr>
        <w:rPr>
          <w:sz w:val="24"/>
          <w:szCs w:val="24"/>
        </w:rPr>
      </w:pPr>
    </w:p>
    <w:p w:rsidR="00E73131" w:rsidRDefault="003C6EBD">
      <w:pPr>
        <w:rPr>
          <w:i/>
          <w:iCs/>
          <w:sz w:val="24"/>
          <w:szCs w:val="24"/>
        </w:rPr>
      </w:pPr>
      <w:r>
        <w:rPr>
          <w:sz w:val="24"/>
          <w:szCs w:val="24"/>
        </w:rPr>
        <w:br w:type="column"/>
      </w:r>
      <w:r>
        <w:rPr>
          <w:i/>
          <w:iCs/>
          <w:sz w:val="24"/>
          <w:szCs w:val="24"/>
        </w:rPr>
        <w:t>Таблица 4. Стандартные энтальпии образо</w:t>
      </w:r>
      <w:r>
        <w:rPr>
          <w:i/>
          <w:iCs/>
          <w:sz w:val="24"/>
          <w:szCs w:val="24"/>
        </w:rPr>
        <w:softHyphen/>
        <w:t>вания галогенидов натрия</w:t>
      </w:r>
    </w:p>
    <w:tbl>
      <w:tblPr>
        <w:tblW w:w="5000" w:type="pct"/>
        <w:tblInd w:w="-55" w:type="dxa"/>
        <w:tblBorders>
          <w:left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67"/>
        <w:gridCol w:w="3412"/>
      </w:tblGrid>
      <w:tr w:rsidR="00E73131">
        <w:tc>
          <w:tcPr>
            <w:tcW w:w="1503" w:type="pct"/>
            <w:tcBorders>
              <w:top w:val="nil"/>
            </w:tcBorders>
            <w:shd w:val="pct30" w:color="FFFF00" w:fill="FFFFFF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Галогенид</w:t>
            </w:r>
          </w:p>
        </w:tc>
        <w:tc>
          <w:tcPr>
            <w:tcW w:w="3497" w:type="pct"/>
            <w:tcBorders>
              <w:top w:val="nil"/>
            </w:tcBorders>
            <w:shd w:val="pct30" w:color="FFFF00" w:fill="FFFFFF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Стандартная энтальпия образования, </w:t>
            </w:r>
            <w:r>
              <w:rPr>
                <w:i/>
                <w:iCs/>
                <w:sz w:val="24"/>
                <w:szCs w:val="24"/>
              </w:rPr>
              <w:sym w:font="Symbol" w:char="F044"/>
            </w:r>
            <w:r>
              <w:rPr>
                <w:i/>
                <w:iCs/>
                <w:sz w:val="24"/>
                <w:szCs w:val="24"/>
              </w:rPr>
              <w:sym w:font="Symbol" w:char="F048"/>
            </w:r>
            <w:r>
              <w:rPr>
                <w:i/>
                <w:iCs/>
                <w:sz w:val="24"/>
                <w:szCs w:val="24"/>
              </w:rPr>
              <w:sym w:font="Symbol" w:char="F0B0"/>
            </w:r>
            <w:r>
              <w:rPr>
                <w:i/>
                <w:iCs/>
                <w:sz w:val="24"/>
                <w:szCs w:val="24"/>
                <w:vertAlign w:val="subscript"/>
              </w:rPr>
              <w:t xml:space="preserve">обр, </w:t>
            </w:r>
            <w:r>
              <w:rPr>
                <w:i/>
                <w:iCs/>
                <w:sz w:val="24"/>
                <w:szCs w:val="24"/>
                <w:vertAlign w:val="subscript"/>
                <w:lang w:val="en-US"/>
              </w:rPr>
              <w:t>m</w:t>
            </w:r>
            <w:r>
              <w:rPr>
                <w:i/>
                <w:iCs/>
                <w:sz w:val="24"/>
                <w:szCs w:val="24"/>
              </w:rPr>
              <w:t>, кДж/моль</w:t>
            </w:r>
          </w:p>
          <w:p w:rsidR="00E73131" w:rsidRDefault="00E73131">
            <w:pPr>
              <w:rPr>
                <w:i/>
                <w:iCs/>
                <w:sz w:val="24"/>
                <w:szCs w:val="24"/>
              </w:rPr>
            </w:pPr>
          </w:p>
        </w:tc>
      </w:tr>
      <w:tr w:rsidR="00E73131">
        <w:tc>
          <w:tcPr>
            <w:tcW w:w="1503" w:type="pct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NaF</w:t>
            </w:r>
          </w:p>
        </w:tc>
        <w:tc>
          <w:tcPr>
            <w:tcW w:w="3497" w:type="pct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-573</w:t>
            </w:r>
          </w:p>
        </w:tc>
      </w:tr>
      <w:tr w:rsidR="00E73131">
        <w:tc>
          <w:tcPr>
            <w:tcW w:w="1503" w:type="pct"/>
          </w:tcPr>
          <w:p w:rsidR="00E73131" w:rsidRDefault="003C6EBD">
            <w:pPr>
              <w:rPr>
                <w:i/>
                <w:iCs/>
                <w:sz w:val="24"/>
                <w:szCs w:val="24"/>
                <w:lang w:val="en-US"/>
              </w:rPr>
            </w:pPr>
            <w:r>
              <w:rPr>
                <w:i/>
                <w:iCs/>
                <w:sz w:val="24"/>
                <w:szCs w:val="24"/>
              </w:rPr>
              <w:t>Na</w:t>
            </w:r>
            <w:r>
              <w:rPr>
                <w:i/>
                <w:iCs/>
                <w:sz w:val="24"/>
                <w:szCs w:val="24"/>
                <w:lang w:val="en-US"/>
              </w:rPr>
              <w:t>Cl</w:t>
            </w:r>
          </w:p>
        </w:tc>
        <w:tc>
          <w:tcPr>
            <w:tcW w:w="3497" w:type="pct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-414</w:t>
            </w:r>
          </w:p>
        </w:tc>
      </w:tr>
      <w:tr w:rsidR="00E73131">
        <w:tc>
          <w:tcPr>
            <w:tcW w:w="1503" w:type="pct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NaBr</w:t>
            </w:r>
          </w:p>
        </w:tc>
        <w:tc>
          <w:tcPr>
            <w:tcW w:w="3497" w:type="pct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-361</w:t>
            </w:r>
          </w:p>
        </w:tc>
      </w:tr>
      <w:tr w:rsidR="00E73131">
        <w:tc>
          <w:tcPr>
            <w:tcW w:w="1503" w:type="pct"/>
            <w:tcBorders>
              <w:bottom w:val="nil"/>
            </w:tcBorders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Nal</w:t>
            </w:r>
          </w:p>
        </w:tc>
        <w:tc>
          <w:tcPr>
            <w:tcW w:w="3497" w:type="pct"/>
            <w:tcBorders>
              <w:bottom w:val="nil"/>
            </w:tcBorders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-288</w:t>
            </w:r>
          </w:p>
        </w:tc>
      </w:tr>
    </w:tbl>
    <w:p w:rsidR="00E73131" w:rsidRDefault="00E73131">
      <w:pPr>
        <w:rPr>
          <w:sz w:val="24"/>
          <w:szCs w:val="24"/>
        </w:rPr>
        <w:sectPr w:rsidR="00E73131">
          <w:type w:val="continuous"/>
          <w:pgSz w:w="11906" w:h="16838" w:code="9"/>
          <w:pgMar w:top="567" w:right="567" w:bottom="1702" w:left="567" w:header="720" w:footer="851" w:gutter="454"/>
          <w:cols w:num="2" w:space="720" w:equalWidth="0">
            <w:col w:w="4805" w:space="708"/>
            <w:col w:w="4805"/>
          </w:cols>
          <w:titlePg/>
        </w:sectPr>
      </w:pP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Окислителями являются все галогены, из них фтор-самый сильный окислитель. В табл. 3 указаны стандартные электродные потенциалы галогенов. Из этой таблицы видно, что окислительная способность галогенов постепенно уменьшается в направлении к нижней части группы. Эту закономерность можно продемонстрировать, добавляя раствор бромида калия в сосуд с газообразным хлором. Хлор окисляет бромид-ионы, в результате чего образуется бром; это приводит к появлению окраски у прежде бесцветного раствора: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36" type="#_x0000_t75" style="width:233.25pt;height:17.25pt">
            <v:imagedata r:id="rId21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Таким образом, можно убедиться, что хлор более сильный окислитель, чем бром. Точно так же, если смешать раствор иодида калия с бромом, образуется черный осадок из твердого иода. Это означает, что бром окисляет иодид-ионы: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37" type="#_x0000_t75" style="width:210pt;height:14.25pt">
            <v:imagedata r:id="rId22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Обе описанные реакции являются примерами реакций вытеснения (замещения). В каждом случае более реакционноспособный, то есть являющийся более сильным окислителем, галоген вытесняет из раствора менее реакционноспособный галоген.</w:t>
      </w:r>
    </w:p>
    <w:p w:rsidR="00E73131" w:rsidRDefault="003C6EB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Окисление металлов.</w:t>
      </w:r>
      <w:r>
        <w:rPr>
          <w:sz w:val="24"/>
          <w:szCs w:val="24"/>
        </w:rPr>
        <w:t xml:space="preserve"> Галогены легко окисляют металлы. Фтор легко окисляет все металлы, исключая золото и серебро. Мы уже упоминали о том, что хлор окисляет натрий, образуя с ним хлорид натрия. Приведем еще один пример: когда поток газообразного хлора пропускают над поверхностью нагретых железных опилок, образуется хлорид железа (III), твердое коричневое вещество: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38" type="#_x0000_t75" style="width:153.75pt;height:14.25pt">
            <v:imagedata r:id="rId23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Даже иод способен, хотя и медленно, окислять металлы, расположенные в электрохи</w:t>
      </w:r>
      <w:r>
        <w:rPr>
          <w:sz w:val="24"/>
          <w:szCs w:val="24"/>
        </w:rPr>
        <w:softHyphen/>
        <w:t>мическом ряду ниже его. Легкость окисления металлов различными галогенами уменьшается при перемещении к нижней части VII группы. В этом можно убедиться, сравнивая энергии образования галогенидов из исходных элементов. В табл. 4 указаны стандартные энтальпии образования галогенидов натрия в порядке перемеще</w:t>
      </w:r>
      <w:r>
        <w:rPr>
          <w:sz w:val="24"/>
          <w:szCs w:val="24"/>
        </w:rPr>
        <w:softHyphen/>
        <w:t>ния к нижней части группы.</w:t>
      </w:r>
    </w:p>
    <w:p w:rsidR="00E73131" w:rsidRDefault="003C6EB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Окисление неметаллов</w:t>
      </w:r>
      <w:r>
        <w:rPr>
          <w:sz w:val="24"/>
          <w:szCs w:val="24"/>
        </w:rPr>
        <w:t>. За исключением азота и большинства благородных газов, фтор окисляет все остальные неметаллы. Хлор реагирует с фосфором и серой. Углерод, азот и кислород не вступают в реакции непосредственно с хлором, бромом или иодом. Об относительной реакционной способности галогенов к неметаллам можно судить, сравнивая их реакции с водородом (табл. 5).</w:t>
      </w:r>
    </w:p>
    <w:p w:rsidR="00E73131" w:rsidRDefault="003C6EB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Окисление углеводородов.</w:t>
      </w:r>
      <w:r>
        <w:rPr>
          <w:sz w:val="24"/>
          <w:szCs w:val="24"/>
        </w:rPr>
        <w:t xml:space="preserve"> При определенных условиях галогены окисляют углеводороды. Например, хлор полностью отщепляет водород от молекулы скипидара: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39" type="#_x0000_t75" style="width:192pt;height:12.75pt">
            <v:imagedata r:id="rId24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Окисление ацетилена может протекать со взрывом: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40" type="#_x0000_t75" style="width:224.25pt;height:14.25pt">
            <v:imagedata r:id="rId25" o:title=""/>
          </v:shape>
        </w:pict>
      </w:r>
    </w:p>
    <w:p w:rsidR="00E73131" w:rsidRDefault="003C6EBD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Таблица 5. Реакции галогенов с водородом</w:t>
      </w:r>
    </w:p>
    <w:tbl>
      <w:tblPr>
        <w:tblW w:w="5000" w:type="pct"/>
        <w:tblInd w:w="-55" w:type="dxa"/>
        <w:tblBorders>
          <w:left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473"/>
        <w:gridCol w:w="5925"/>
      </w:tblGrid>
      <w:tr w:rsidR="00E73131">
        <w:tc>
          <w:tcPr>
            <w:tcW w:w="2151" w:type="pct"/>
            <w:tcBorders>
              <w:top w:val="nil"/>
            </w:tcBorders>
            <w:shd w:val="pct30" w:color="FFFF00" w:fill="FFFFFF"/>
            <w:vAlign w:val="center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Реакция</w:t>
            </w:r>
          </w:p>
        </w:tc>
        <w:tc>
          <w:tcPr>
            <w:tcW w:w="2849" w:type="pct"/>
            <w:tcBorders>
              <w:top w:val="nil"/>
            </w:tcBorders>
            <w:shd w:val="pct30" w:color="FFFF00" w:fill="FFFFFF"/>
            <w:vAlign w:val="center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Характер и условия протекания</w:t>
            </w:r>
          </w:p>
        </w:tc>
      </w:tr>
      <w:tr w:rsidR="00E73131">
        <w:trPr>
          <w:cantSplit/>
          <w:trHeight w:val="289"/>
        </w:trPr>
        <w:tc>
          <w:tcPr>
            <w:tcW w:w="2151" w:type="pct"/>
            <w:vAlign w:val="center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Н</w:t>
            </w:r>
            <w:r>
              <w:rPr>
                <w:i/>
                <w:iCs/>
                <w:sz w:val="24"/>
                <w:szCs w:val="24"/>
                <w:vertAlign w:val="subscript"/>
              </w:rPr>
              <w:t>2</w:t>
            </w:r>
            <w:r>
              <w:rPr>
                <w:i/>
                <w:iCs/>
                <w:sz w:val="24"/>
                <w:szCs w:val="24"/>
              </w:rPr>
              <w:t>(г.)+</w:t>
            </w:r>
            <w:r>
              <w:rPr>
                <w:i/>
                <w:iCs/>
                <w:sz w:val="24"/>
                <w:szCs w:val="24"/>
                <w:lang w:val="en-US"/>
              </w:rPr>
              <w:t>F</w:t>
            </w:r>
            <w:r>
              <w:rPr>
                <w:i/>
                <w:iCs/>
                <w:sz w:val="24"/>
                <w:szCs w:val="24"/>
                <w:vertAlign w:val="subscript"/>
              </w:rPr>
              <w:t>2</w:t>
            </w:r>
            <w:r>
              <w:rPr>
                <w:i/>
                <w:iCs/>
                <w:sz w:val="24"/>
                <w:szCs w:val="24"/>
              </w:rPr>
              <w:t xml:space="preserve">(г.) </w:t>
            </w:r>
            <w:r>
              <w:rPr>
                <w:i/>
                <w:iCs/>
                <w:sz w:val="24"/>
                <w:szCs w:val="24"/>
              </w:rPr>
              <w:sym w:font="Symbol" w:char="F0AE"/>
            </w:r>
            <w:r>
              <w:rPr>
                <w:i/>
                <w:iCs/>
                <w:sz w:val="24"/>
                <w:szCs w:val="24"/>
              </w:rPr>
              <w:t xml:space="preserve"> 2Н</w:t>
            </w:r>
            <w:r>
              <w:rPr>
                <w:i/>
                <w:iCs/>
                <w:sz w:val="24"/>
                <w:szCs w:val="24"/>
                <w:lang w:val="en-US"/>
              </w:rPr>
              <w:t>F</w:t>
            </w:r>
            <w:r>
              <w:rPr>
                <w:i/>
                <w:iCs/>
                <w:sz w:val="24"/>
                <w:szCs w:val="24"/>
              </w:rPr>
              <w:t xml:space="preserve"> (г.)</w:t>
            </w:r>
          </w:p>
        </w:tc>
        <w:tc>
          <w:tcPr>
            <w:tcW w:w="2849" w:type="pct"/>
            <w:vAlign w:val="center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Протекает со взрывом</w:t>
            </w:r>
          </w:p>
        </w:tc>
      </w:tr>
      <w:tr w:rsidR="00E73131">
        <w:trPr>
          <w:cantSplit/>
          <w:trHeight w:val="289"/>
        </w:trPr>
        <w:tc>
          <w:tcPr>
            <w:tcW w:w="2151" w:type="pct"/>
            <w:vAlign w:val="center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Н</w:t>
            </w:r>
            <w:r>
              <w:rPr>
                <w:i/>
                <w:iCs/>
                <w:sz w:val="24"/>
                <w:szCs w:val="24"/>
                <w:vertAlign w:val="subscript"/>
              </w:rPr>
              <w:t>2</w:t>
            </w:r>
            <w:r>
              <w:rPr>
                <w:i/>
                <w:iCs/>
                <w:sz w:val="24"/>
                <w:szCs w:val="24"/>
              </w:rPr>
              <w:t>(г.)+С</w:t>
            </w:r>
            <w:r>
              <w:rPr>
                <w:i/>
                <w:iCs/>
                <w:sz w:val="24"/>
                <w:szCs w:val="24"/>
                <w:lang w:val="en-US"/>
              </w:rPr>
              <w:t>l</w:t>
            </w:r>
            <w:r>
              <w:rPr>
                <w:i/>
                <w:iCs/>
                <w:sz w:val="24"/>
                <w:szCs w:val="24"/>
                <w:vertAlign w:val="subscript"/>
              </w:rPr>
              <w:t>2</w:t>
            </w:r>
            <w:r>
              <w:rPr>
                <w:i/>
                <w:iCs/>
                <w:sz w:val="24"/>
                <w:szCs w:val="24"/>
              </w:rPr>
              <w:t xml:space="preserve">(г.) </w:t>
            </w:r>
            <w:r>
              <w:rPr>
                <w:i/>
                <w:iCs/>
                <w:sz w:val="24"/>
                <w:szCs w:val="24"/>
              </w:rPr>
              <w:sym w:font="Symbol" w:char="F0AE"/>
            </w:r>
            <w:r>
              <w:rPr>
                <w:i/>
                <w:iCs/>
                <w:sz w:val="24"/>
                <w:szCs w:val="24"/>
              </w:rPr>
              <w:t xml:space="preserve"> 2НС</w:t>
            </w:r>
            <w:r>
              <w:rPr>
                <w:i/>
                <w:iCs/>
                <w:sz w:val="24"/>
                <w:szCs w:val="24"/>
                <w:lang w:val="en-US"/>
              </w:rPr>
              <w:t>l</w:t>
            </w:r>
            <w:r>
              <w:rPr>
                <w:i/>
                <w:iCs/>
                <w:sz w:val="24"/>
                <w:szCs w:val="24"/>
              </w:rPr>
              <w:t xml:space="preserve"> (г.)</w:t>
            </w:r>
          </w:p>
        </w:tc>
        <w:tc>
          <w:tcPr>
            <w:tcW w:w="2849" w:type="pct"/>
            <w:vAlign w:val="center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Протекает со взрывом на свету, но медленно в темноте</w:t>
            </w:r>
          </w:p>
        </w:tc>
      </w:tr>
      <w:tr w:rsidR="00E73131">
        <w:tc>
          <w:tcPr>
            <w:tcW w:w="2151" w:type="pct"/>
            <w:vAlign w:val="center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Н</w:t>
            </w:r>
            <w:r>
              <w:rPr>
                <w:i/>
                <w:iCs/>
                <w:sz w:val="24"/>
                <w:szCs w:val="24"/>
                <w:vertAlign w:val="subscript"/>
              </w:rPr>
              <w:t>2</w:t>
            </w:r>
            <w:r>
              <w:rPr>
                <w:i/>
                <w:iCs/>
                <w:sz w:val="24"/>
                <w:szCs w:val="24"/>
              </w:rPr>
              <w:t>(г.)+В</w:t>
            </w:r>
            <w:r>
              <w:rPr>
                <w:i/>
                <w:iCs/>
                <w:sz w:val="24"/>
                <w:szCs w:val="24"/>
                <w:lang w:val="en-US"/>
              </w:rPr>
              <w:t>r</w:t>
            </w:r>
            <w:r>
              <w:rPr>
                <w:i/>
                <w:iCs/>
                <w:sz w:val="24"/>
                <w:szCs w:val="24"/>
                <w:vertAlign w:val="subscript"/>
              </w:rPr>
              <w:t>2</w:t>
            </w:r>
            <w:r>
              <w:rPr>
                <w:i/>
                <w:iCs/>
                <w:sz w:val="24"/>
                <w:szCs w:val="24"/>
              </w:rPr>
              <w:t xml:space="preserve">(г.) </w:t>
            </w:r>
            <w:r>
              <w:rPr>
                <w:i/>
                <w:iCs/>
                <w:sz w:val="24"/>
                <w:szCs w:val="24"/>
              </w:rPr>
              <w:sym w:font="Symbol" w:char="F0AE"/>
            </w:r>
            <w:r>
              <w:rPr>
                <w:i/>
                <w:iCs/>
                <w:sz w:val="24"/>
                <w:szCs w:val="24"/>
              </w:rPr>
              <w:t xml:space="preserve"> 2НВ</w:t>
            </w:r>
            <w:r>
              <w:rPr>
                <w:i/>
                <w:iCs/>
                <w:sz w:val="24"/>
                <w:szCs w:val="24"/>
                <w:lang w:val="en-US"/>
              </w:rPr>
              <w:t>r</w:t>
            </w:r>
            <w:r>
              <w:rPr>
                <w:i/>
                <w:iCs/>
                <w:sz w:val="24"/>
                <w:szCs w:val="24"/>
              </w:rPr>
              <w:t xml:space="preserve"> (г.)</w:t>
            </w:r>
          </w:p>
        </w:tc>
        <w:tc>
          <w:tcPr>
            <w:tcW w:w="2849" w:type="pct"/>
            <w:vAlign w:val="center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Протекает только при нагревании и в присутствии катализатора</w:t>
            </w:r>
          </w:p>
        </w:tc>
      </w:tr>
      <w:tr w:rsidR="00E73131">
        <w:tc>
          <w:tcPr>
            <w:tcW w:w="2151" w:type="pct"/>
            <w:tcBorders>
              <w:bottom w:val="nil"/>
            </w:tcBorders>
            <w:vAlign w:val="center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Н</w:t>
            </w:r>
            <w:r>
              <w:rPr>
                <w:i/>
                <w:iCs/>
                <w:sz w:val="24"/>
                <w:szCs w:val="24"/>
                <w:vertAlign w:val="subscript"/>
              </w:rPr>
              <w:t>2</w:t>
            </w:r>
            <w:r>
              <w:rPr>
                <w:i/>
                <w:iCs/>
                <w:sz w:val="24"/>
                <w:szCs w:val="24"/>
              </w:rPr>
              <w:t>(г.)+</w:t>
            </w:r>
            <w:r>
              <w:rPr>
                <w:i/>
                <w:iCs/>
                <w:sz w:val="24"/>
                <w:szCs w:val="24"/>
                <w:lang w:val="en-US"/>
              </w:rPr>
              <w:t>I</w:t>
            </w:r>
            <w:r>
              <w:rPr>
                <w:i/>
                <w:iCs/>
                <w:sz w:val="24"/>
                <w:szCs w:val="24"/>
                <w:vertAlign w:val="subscript"/>
              </w:rPr>
              <w:t>2</w:t>
            </w:r>
            <w:r>
              <w:rPr>
                <w:i/>
                <w:iCs/>
                <w:sz w:val="24"/>
                <w:szCs w:val="24"/>
              </w:rPr>
              <w:t xml:space="preserve">(г.) </w:t>
            </w:r>
            <w:r>
              <w:rPr>
                <w:i/>
                <w:iCs/>
                <w:sz w:val="24"/>
                <w:szCs w:val="24"/>
              </w:rPr>
              <w:sym w:font="Symbol" w:char="F0AE"/>
            </w:r>
            <w:r>
              <w:rPr>
                <w:i/>
                <w:iCs/>
                <w:sz w:val="24"/>
                <w:szCs w:val="24"/>
              </w:rPr>
              <w:t xml:space="preserve"> 2Н</w:t>
            </w:r>
            <w:r>
              <w:rPr>
                <w:i/>
                <w:iCs/>
                <w:sz w:val="24"/>
                <w:szCs w:val="24"/>
                <w:lang w:val="en-US"/>
              </w:rPr>
              <w:t xml:space="preserve">I </w:t>
            </w:r>
            <w:r>
              <w:rPr>
                <w:i/>
                <w:iCs/>
                <w:sz w:val="24"/>
                <w:szCs w:val="24"/>
              </w:rPr>
              <w:t>(г.)</w:t>
            </w:r>
          </w:p>
        </w:tc>
        <w:tc>
          <w:tcPr>
            <w:tcW w:w="2849" w:type="pct"/>
            <w:tcBorders>
              <w:bottom w:val="nil"/>
            </w:tcBorders>
            <w:vAlign w:val="center"/>
          </w:tcPr>
          <w:p w:rsidR="00E73131" w:rsidRDefault="003C6EB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Протекает медленно даже при нагревании</w:t>
            </w:r>
          </w:p>
        </w:tc>
      </w:tr>
    </w:tbl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Реакции с водой и щелочами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Фтор реагирует с холодной водой, образуя фтороводород и кислород: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41" type="#_x0000_t75" style="width:180.75pt;height:13.5pt">
            <v:imagedata r:id="rId26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Хлор медленно растворяется в воде, образуя хлорную воду. Хлорная вода имеет небольшую кислотность вследствие того, что в ней происходит диспропорционирование хлора с образованием соляной кислоты и хлорноватистой кислоты: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42" type="#_x0000_t75" style="width:318pt;height:86.25pt">
            <v:imagedata r:id="rId27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Бром и иод диспропорционируют в воде аналогичным образом, но степень диспропорционирования в воде уменьшается от хлора к иоду.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Хлор, бром и иод диспропорционируют также в щелочах. Например, в холодной разбавленной щелочи бром диспропорционирует на бромид-ионы и гипобромит-ионы (бромат (I)-ионы):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43" type="#_x0000_t75" style="width:294pt;height:14.25pt">
            <v:imagedata r:id="rId28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При взаимодействии брома с горячими концентрированными щелочами диспропор</w:t>
      </w:r>
      <w:r>
        <w:rPr>
          <w:sz w:val="24"/>
          <w:szCs w:val="24"/>
        </w:rPr>
        <w:softHyphen/>
        <w:t>ционирование протекает дальше: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44" type="#_x0000_t75" style="width:211.5pt;height:31.5pt">
            <v:imagedata r:id="rId29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Иодат (I), или гипоиодит-ион, неустойчив даже в холодных разбавленных щелочах. Он самопроизвольно диспропорционирует с образованием иодид-иона и иодат(</w:t>
      </w:r>
      <w:r>
        <w:rPr>
          <w:sz w:val="24"/>
          <w:szCs w:val="24"/>
          <w:lang w:val="en-US"/>
        </w:rPr>
        <w:t>V</w:t>
      </w:r>
      <w:r>
        <w:rPr>
          <w:sz w:val="24"/>
          <w:szCs w:val="24"/>
        </w:rPr>
        <w:t>)-иона.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Реакция фтора со щелочами, как и его реакция с водой, не похожа на аналогичные реакции других галогенов. В холодной разбавленной щелочи протекает следующая реакция: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45" type="#_x0000_t75" style="width:283.5pt;height:27.75pt">
            <v:imagedata r:id="rId30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В горячей концентрированной щелочи реакция с фтором протекает так: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46" type="#_x0000_t75" style="width:273pt;height:17.25pt">
            <v:imagedata r:id="rId31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Анализ на галогены и с участием галогенов</w: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Качественный и количественный анализ на галогены обычно выполняется с помощью оаствора нитрата серебра. Например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47" type="#_x0000_t75" style="width:177pt;height:14.25pt">
            <v:imagedata r:id="rId32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Для качественного и количественного определения иода может использоваться раствор крахмала. Поскольку иод очень мало растворим в воде, его обычно анализи</w:t>
      </w:r>
      <w:r>
        <w:rPr>
          <w:sz w:val="24"/>
          <w:szCs w:val="24"/>
        </w:rPr>
        <w:softHyphen/>
        <w:t xml:space="preserve">руют в присутствии иодида калия. Так поступают по той причине, что иод образует с иодид-ионом растворимый трииодидный ион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  <w:vertAlign w:val="superscript"/>
        </w:rPr>
        <w:t>–</w:t>
      </w:r>
      <w:r>
        <w:rPr>
          <w:sz w:val="24"/>
          <w:szCs w:val="24"/>
        </w:rPr>
        <w:t>:</w:t>
      </w:r>
    </w:p>
    <w:p w:rsidR="00E73131" w:rsidRDefault="00B178D1">
      <w:pPr>
        <w:rPr>
          <w:sz w:val="24"/>
          <w:szCs w:val="24"/>
        </w:rPr>
      </w:pPr>
      <w:r>
        <w:rPr>
          <w:sz w:val="24"/>
          <w:szCs w:val="24"/>
        </w:rPr>
        <w:pict>
          <v:shape id="_x0000_i1048" type="#_x0000_t75" style="width:160.5pt;height:14.25pt">
            <v:imagedata r:id="rId33" o:title=""/>
          </v:shape>
        </w:pict>
      </w:r>
    </w:p>
    <w:p w:rsidR="00E73131" w:rsidRDefault="003C6EBD">
      <w:pPr>
        <w:rPr>
          <w:sz w:val="24"/>
          <w:szCs w:val="24"/>
        </w:rPr>
      </w:pPr>
      <w:r>
        <w:rPr>
          <w:sz w:val="24"/>
          <w:szCs w:val="24"/>
        </w:rPr>
        <w:t>Растворы иода с иодидами используются для аналитического определения различных восстановителей, например тиосульфат (</w:t>
      </w:r>
      <w:r>
        <w:rPr>
          <w:sz w:val="24"/>
          <w:szCs w:val="24"/>
          <w:lang w:val="en-US"/>
        </w:rPr>
        <w:t>VI</w:t>
      </w:r>
      <w:r>
        <w:rPr>
          <w:sz w:val="24"/>
          <w:szCs w:val="24"/>
        </w:rPr>
        <w:t>)-ионов, а также некоторых окислителей, например манганат(</w:t>
      </w:r>
      <w:r>
        <w:rPr>
          <w:sz w:val="24"/>
          <w:szCs w:val="24"/>
          <w:lang w:val="en-US"/>
        </w:rPr>
        <w:t>VII</w:t>
      </w:r>
      <w:r>
        <w:rPr>
          <w:sz w:val="24"/>
          <w:szCs w:val="24"/>
        </w:rPr>
        <w:t>)-ионов. Окислители смещают указанное выше равновесие влево, высвобождая иод. Иод затем титруют тиосульфатом (VI).</w:t>
      </w:r>
    </w:p>
    <w:p w:rsidR="00E73131" w:rsidRDefault="00E73131">
      <w:pPr>
        <w:rPr>
          <w:sz w:val="24"/>
          <w:szCs w:val="24"/>
        </w:rPr>
      </w:pPr>
      <w:bookmarkStart w:id="0" w:name="_GoBack"/>
      <w:bookmarkEnd w:id="0"/>
    </w:p>
    <w:sectPr w:rsidR="00E73131">
      <w:type w:val="continuous"/>
      <w:pgSz w:w="11906" w:h="16838" w:code="9"/>
      <w:pgMar w:top="567" w:right="567" w:bottom="1702" w:left="567" w:header="720" w:footer="851" w:gutter="454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3131" w:rsidRDefault="003C6EBD">
      <w:r>
        <w:separator/>
      </w:r>
    </w:p>
  </w:endnote>
  <w:endnote w:type="continuationSeparator" w:id="0">
    <w:p w:rsidR="00E73131" w:rsidRDefault="003C6E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PragmaticaKM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PragmaticaKMM Cyr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ves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3131" w:rsidRDefault="00B178D1">
    <w:pPr>
      <w:pStyle w:val="a5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192.45pt;margin-top:-32.75pt;width:105.55pt;height:36.8pt;z-index:251658752" o:allowincell="f" filled="f" stroked="f">
          <v:textbox style="mso-next-textbox:#_x0000_s2050">
            <w:txbxContent>
              <w:p w:rsidR="00E73131" w:rsidRDefault="003C6EBD">
                <w:pPr>
                  <w:jc w:val="center"/>
                  <w:rPr>
                    <w:rFonts w:ascii="Invest" w:hAnsi="Invest" w:cs="Invest"/>
                    <w:sz w:val="56"/>
                    <w:szCs w:val="56"/>
                  </w:rPr>
                </w:pPr>
                <w:r>
                  <w:rPr>
                    <w:rStyle w:val="a7"/>
                    <w:rFonts w:ascii="Invest" w:hAnsi="Invest" w:cs="Invest"/>
                    <w:sz w:val="56"/>
                    <w:szCs w:val="56"/>
                  </w:rPr>
                  <w:fldChar w:fldCharType="begin"/>
                </w:r>
                <w:r>
                  <w:rPr>
                    <w:rStyle w:val="a7"/>
                    <w:rFonts w:ascii="Invest" w:hAnsi="Invest" w:cs="Invest"/>
                    <w:sz w:val="56"/>
                    <w:szCs w:val="56"/>
                  </w:rPr>
                  <w:instrText xml:space="preserve"> PAGE </w:instrText>
                </w:r>
                <w:r>
                  <w:rPr>
                    <w:rStyle w:val="a7"/>
                    <w:rFonts w:ascii="Invest" w:hAnsi="Invest" w:cs="Invest"/>
                    <w:sz w:val="56"/>
                    <w:szCs w:val="56"/>
                  </w:rPr>
                  <w:fldChar w:fldCharType="separate"/>
                </w:r>
                <w:r>
                  <w:rPr>
                    <w:rStyle w:val="a7"/>
                    <w:rFonts w:ascii="Invest" w:hAnsi="Invest" w:cs="Invest"/>
                    <w:noProof/>
                    <w:sz w:val="56"/>
                    <w:szCs w:val="56"/>
                  </w:rPr>
                  <w:t>4</w:t>
                </w:r>
                <w:r>
                  <w:rPr>
                    <w:rStyle w:val="a7"/>
                    <w:rFonts w:ascii="Invest" w:hAnsi="Invest" w:cs="Invest"/>
                    <w:sz w:val="56"/>
                    <w:szCs w:val="56"/>
                  </w:rPr>
                  <w:fldChar w:fldCharType="end"/>
                </w:r>
              </w:p>
            </w:txbxContent>
          </v:textbox>
        </v:shape>
      </w:pict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margin-left:-39.35pt;margin-top:-31.75pt;width:566.85pt;height:42.45pt;z-index:-251658752;mso-wrap-edited:f" wrapcoords="-29 0 -29 21221 21600 21221 21600 0 -29 0" o:allowincell="f">
          <v:imagedata r:id="rId1" o:title="" grayscale="t" bilevel="t"/>
          <w10:wrap type="tight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3131" w:rsidRDefault="003C6EBD">
      <w:r>
        <w:separator/>
      </w:r>
    </w:p>
  </w:footnote>
  <w:footnote w:type="continuationSeparator" w:id="0">
    <w:p w:rsidR="00E73131" w:rsidRDefault="003C6E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3131" w:rsidRDefault="00B178D1">
    <w:pPr>
      <w:pStyle w:val="a3"/>
      <w:tabs>
        <w:tab w:val="clear" w:pos="4153"/>
        <w:tab w:val="clear" w:pos="8306"/>
        <w:tab w:val="right" w:pos="7797"/>
      </w:tabs>
      <w:jc w:val="center"/>
      <w:rPr>
        <w:rFonts w:ascii="Arial" w:hAnsi="Arial" w:cs="Arial"/>
        <w:i/>
        <w:iCs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1.1pt;margin-top:7.75pt;width:518.3pt;height:8.65pt;z-index:-251659776" o:allowincell="f">
          <v:imagedata r:id="rId1" o:title=""/>
          <w10:wrap type="topAndBottom"/>
        </v:shape>
      </w:pict>
    </w:r>
    <w:r w:rsidR="003C6EBD">
      <w:rPr>
        <w:rFonts w:ascii="Arial" w:hAnsi="Arial" w:cs="Arial"/>
        <w:b/>
        <w:bCs/>
        <w:i/>
        <w:iCs/>
      </w:rPr>
      <w:t>ТЕМА: Галогены.</w:t>
    </w:r>
    <w:r w:rsidR="003C6EBD">
      <w:rPr>
        <w:rFonts w:ascii="Arial" w:hAnsi="Arial" w:cs="Arial"/>
      </w:rPr>
      <w:tab/>
    </w:r>
    <w:r w:rsidR="003C6EBD">
      <w:rPr>
        <w:rFonts w:ascii="Arial" w:hAnsi="Arial" w:cs="Arial"/>
        <w:i/>
        <w:iCs/>
      </w:rPr>
      <w:tab/>
      <w:t>Ковчегин Игорь 10</w:t>
    </w:r>
    <w:r w:rsidR="003C6EBD">
      <w:rPr>
        <w:rFonts w:ascii="Arial" w:hAnsi="Arial" w:cs="Arial"/>
        <w:i/>
        <w:iCs/>
        <w:u w:val="single"/>
        <w:vertAlign w:val="superscript"/>
      </w:rPr>
      <w:t>б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attachedTemplate r:id="rId1"/>
  <w:revisionView w:markup="0"/>
  <w:doNotTrackMoves/>
  <w:doNotTrackFormatting/>
  <w:defaultTabStop w:val="720"/>
  <w:autoHyphenation/>
  <w:hyphenationZone w:val="357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6EBD"/>
    <w:rsid w:val="003C6EBD"/>
    <w:rsid w:val="00B178D1"/>
    <w:rsid w:val="00E73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1"/>
    </o:shapelayout>
  </w:shapeDefaults>
  <w:decimalSymbol w:val=","/>
  <w:listSeparator w:val=";"/>
  <w14:defaultImageDpi w14:val="0"/>
  <w15:docId w15:val="{9EA4C12D-0F87-496A-B4F3-CCDFC09AC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autoSpaceDE w:val="0"/>
      <w:autoSpaceDN w:val="0"/>
      <w:adjustRightInd w:val="0"/>
      <w:spacing w:before="120" w:after="120"/>
      <w:ind w:firstLine="720"/>
      <w:outlineLvl w:val="0"/>
    </w:pPr>
    <w:rPr>
      <w:rFonts w:ascii="PragmaticaKMM" w:hAnsi="PragmaticaKMM" w:cs="PragmaticaKMM"/>
      <w:b/>
      <w:bCs/>
      <w:i/>
      <w:i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pBdr>
        <w:bottom w:val="single" w:sz="12" w:space="1" w:color="00FF00"/>
      </w:pBdr>
      <w:autoSpaceDE w:val="0"/>
      <w:autoSpaceDN w:val="0"/>
      <w:adjustRightInd w:val="0"/>
      <w:spacing w:before="120" w:after="120"/>
      <w:ind w:right="1671"/>
      <w:jc w:val="both"/>
      <w:outlineLvl w:val="1"/>
    </w:pPr>
    <w:rPr>
      <w:rFonts w:ascii="PragmaticaKMM" w:hAnsi="PragmaticaKMM" w:cs="PragmaticaKMM"/>
      <w:b/>
      <w:bCs/>
      <w:i/>
      <w:i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autoSpaceDE w:val="0"/>
      <w:autoSpaceDN w:val="0"/>
      <w:adjustRightInd w:val="0"/>
      <w:spacing w:before="120"/>
      <w:outlineLvl w:val="2"/>
    </w:pPr>
    <w:rPr>
      <w:rFonts w:ascii="PragmaticaKMM" w:hAnsi="PragmaticaKMM" w:cs="PragmaticaKMM"/>
      <w:b/>
      <w:bCs/>
      <w:i/>
      <w:iCs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autoSpaceDE w:val="0"/>
      <w:autoSpaceDN w:val="0"/>
      <w:adjustRightInd w:val="0"/>
      <w:spacing w:before="120" w:after="120"/>
      <w:jc w:val="both"/>
      <w:outlineLvl w:val="3"/>
    </w:pPr>
    <w:rPr>
      <w:rFonts w:ascii="PragmaticaKMM" w:hAnsi="PragmaticaKMM" w:cs="PragmaticaKMM"/>
      <w:b/>
      <w:bCs/>
      <w:i/>
      <w:iCs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right"/>
      <w:outlineLvl w:val="4"/>
    </w:pPr>
    <w:rPr>
      <w:rFonts w:ascii="PragmaticaKMM" w:hAnsi="PragmaticaKMM" w:cs="PragmaticaKMM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Pr>
      <w:b/>
      <w:bCs/>
      <w:i/>
      <w:iCs/>
      <w:sz w:val="26"/>
      <w:szCs w:val="26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ій колонтитул Знак"/>
    <w:basedOn w:val="a0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ій колонтитул Знак"/>
    <w:basedOn w:val="a0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7">
    <w:name w:val="page number"/>
    <w:basedOn w:val="a0"/>
    <w:uiPriority w:val="99"/>
  </w:style>
  <w:style w:type="paragraph" w:styleId="a8">
    <w:name w:val="Body Text"/>
    <w:basedOn w:val="a"/>
    <w:link w:val="a9"/>
    <w:uiPriority w:val="99"/>
    <w:pPr>
      <w:autoSpaceDE w:val="0"/>
      <w:autoSpaceDN w:val="0"/>
      <w:adjustRightInd w:val="0"/>
      <w:jc w:val="both"/>
    </w:pPr>
    <w:rPr>
      <w:rFonts w:ascii="PragmaticaKMM" w:hAnsi="PragmaticaKMM" w:cs="PragmaticaKMM"/>
      <w:sz w:val="24"/>
      <w:szCs w:val="24"/>
    </w:rPr>
  </w:style>
  <w:style w:type="character" w:customStyle="1" w:styleId="a9">
    <w:name w:val="Основний текст Знак"/>
    <w:basedOn w:val="a0"/>
    <w:link w:val="a8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1">
    <w:name w:val="Body Text 2"/>
    <w:basedOn w:val="a"/>
    <w:link w:val="22"/>
    <w:uiPriority w:val="99"/>
    <w:pPr>
      <w:autoSpaceDE w:val="0"/>
      <w:autoSpaceDN w:val="0"/>
      <w:adjustRightInd w:val="0"/>
      <w:ind w:firstLine="720"/>
      <w:jc w:val="both"/>
    </w:pPr>
    <w:rPr>
      <w:rFonts w:ascii="PragmaticaKMM" w:hAnsi="PragmaticaKMM" w:cs="PragmaticaKMM"/>
      <w:i/>
      <w:iCs/>
      <w:sz w:val="24"/>
      <w:szCs w:val="24"/>
    </w:rPr>
  </w:style>
  <w:style w:type="character" w:customStyle="1" w:styleId="22">
    <w:name w:val="Основний текст 2 Знак"/>
    <w:basedOn w:val="a0"/>
    <w:link w:val="21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34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footer" Target="footer1.xml"/><Relationship Id="rId29" Type="http://schemas.openxmlformats.org/officeDocument/2006/relationships/image" Target="media/image24.png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10" Type="http://schemas.openxmlformats.org/officeDocument/2006/relationships/image" Target="media/image5.png"/><Relationship Id="rId19" Type="http://schemas.openxmlformats.org/officeDocument/2006/relationships/header" Target="header1.xml"/><Relationship Id="rId31" Type="http://schemas.openxmlformats.org/officeDocument/2006/relationships/image" Target="media/image26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theme" Target="theme/theme1.xml"/><Relationship Id="rId8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&#1064;&#1072;&#1073;&#1083;&#1086;&#1085;&#1099;\&#1064;&#1072;&#1073;&#1083;&#1086;&#1085;%20&#1076;&#1083;&#1103;%20&#1088;&#1077;&#1092;&#1077;&#1088;&#1072;&#1090;&#1086;&#1074;.dot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для рефератов.dot</Template>
  <TotalTime>0</TotalTime>
  <Pages>1</Pages>
  <Words>1855</Words>
  <Characters>10576</Characters>
  <Application>Microsoft Office Word</Application>
  <DocSecurity>0</DocSecurity>
  <Lines>88</Lines>
  <Paragraphs>24</Paragraphs>
  <ScaleCrop>false</ScaleCrop>
  <Company> </Company>
  <LinksUpToDate>false</LinksUpToDate>
  <CharactersWithSpaces>12407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Ковчегин Д. А</dc:creator>
  <cp:keywords/>
  <dc:description/>
  <cp:lastModifiedBy>Irina</cp:lastModifiedBy>
  <cp:revision>2</cp:revision>
  <dcterms:created xsi:type="dcterms:W3CDTF">2014-08-19T09:14:00Z</dcterms:created>
  <dcterms:modified xsi:type="dcterms:W3CDTF">2014-08-19T09:14:00Z</dcterms:modified>
</cp:coreProperties>
</file>