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BB" w:rsidRPr="00A70078" w:rsidRDefault="00C652E0" w:rsidP="00A70078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A70078">
        <w:rPr>
          <w:rFonts w:ascii="Times New Roman" w:hAnsi="Times New Roman"/>
          <w:b/>
          <w:sz w:val="28"/>
          <w:szCs w:val="32"/>
        </w:rPr>
        <w:t>Гарантии законности избрания</w:t>
      </w:r>
      <w:r w:rsidR="008E04BB" w:rsidRPr="00A70078">
        <w:rPr>
          <w:rFonts w:ascii="Times New Roman" w:hAnsi="Times New Roman"/>
          <w:b/>
          <w:sz w:val="28"/>
          <w:szCs w:val="32"/>
        </w:rPr>
        <w:t xml:space="preserve"> меры пресечения в виде заключения под стражу</w:t>
      </w:r>
    </w:p>
    <w:p w:rsidR="00A70078" w:rsidRDefault="00A70078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51C" w:rsidRPr="00A70078" w:rsidRDefault="00A54993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Заключение под стражу</w:t>
      </w:r>
      <w:r w:rsidR="001547E5" w:rsidRPr="00A70078">
        <w:rPr>
          <w:rFonts w:ascii="Times New Roman" w:hAnsi="Times New Roman"/>
          <w:sz w:val="28"/>
          <w:szCs w:val="28"/>
        </w:rPr>
        <w:t xml:space="preserve"> относится к мерам государственного принуждения, которые в наибольшей степени ограничивают права и свободы граждан, включая право на свободу и личную неприкосновенность. Мера пресечения может быть избрана по возбужденному уголовному делу, применяется только к обвиняемому и лишь в исключительных случаях к подозреваемому, в </w:t>
      </w:r>
      <w:r w:rsidR="00A70078" w:rsidRPr="00A70078">
        <w:rPr>
          <w:rFonts w:ascii="Times New Roman" w:hAnsi="Times New Roman"/>
          <w:sz w:val="28"/>
          <w:szCs w:val="28"/>
        </w:rPr>
        <w:t>связи,</w:t>
      </w:r>
      <w:r w:rsidR="001547E5" w:rsidRPr="00A70078">
        <w:rPr>
          <w:rFonts w:ascii="Times New Roman" w:hAnsi="Times New Roman"/>
          <w:sz w:val="28"/>
          <w:szCs w:val="28"/>
        </w:rPr>
        <w:t xml:space="preserve"> с чем</w:t>
      </w:r>
      <w:r w:rsidR="00A70078">
        <w:rPr>
          <w:rFonts w:ascii="Times New Roman" w:hAnsi="Times New Roman"/>
          <w:sz w:val="28"/>
          <w:szCs w:val="28"/>
        </w:rPr>
        <w:t>,</w:t>
      </w:r>
      <w:r w:rsidR="001547E5" w:rsidRPr="00A70078">
        <w:rPr>
          <w:rFonts w:ascii="Times New Roman" w:hAnsi="Times New Roman"/>
          <w:sz w:val="28"/>
          <w:szCs w:val="28"/>
        </w:rPr>
        <w:t xml:space="preserve"> процессуальное законодательство устанавливает особые гарантии законности и обоснованности избрания данной меры пресечения.</w:t>
      </w:r>
    </w:p>
    <w:p w:rsidR="001547E5" w:rsidRPr="00A70078" w:rsidRDefault="001547E5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 xml:space="preserve">Во-первых, заключение под стражу </w:t>
      </w:r>
      <w:r w:rsidR="00297D34" w:rsidRPr="00A70078">
        <w:rPr>
          <w:rFonts w:ascii="Times New Roman" w:hAnsi="Times New Roman"/>
          <w:sz w:val="28"/>
          <w:szCs w:val="28"/>
        </w:rPr>
        <w:t>избирается только по судебному решению. Это принципиальное положение получило статус</w:t>
      </w:r>
      <w:r w:rsidR="00716221" w:rsidRPr="00A70078">
        <w:rPr>
          <w:rFonts w:ascii="Times New Roman" w:hAnsi="Times New Roman"/>
          <w:sz w:val="28"/>
          <w:szCs w:val="28"/>
        </w:rPr>
        <w:t xml:space="preserve"> конституционной нормы и почти </w:t>
      </w:r>
      <w:r w:rsidR="00297D34" w:rsidRPr="00A70078">
        <w:rPr>
          <w:rFonts w:ascii="Times New Roman" w:hAnsi="Times New Roman"/>
          <w:sz w:val="28"/>
          <w:szCs w:val="28"/>
        </w:rPr>
        <w:t>10 лет пробивало себе дорогу в практику, начав действовать с 1 июля 2002г. Уголовно процессуальный закон допускает избрание заключения под стражу и на основе решения иностранного суда без подтверждения судом РФ при исполнении запроса о выдаче.</w:t>
      </w:r>
    </w:p>
    <w:p w:rsidR="00211D30" w:rsidRPr="00A70078" w:rsidRDefault="00297D34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Во-вторых, заключение под стражу избирается при невозможности применения другой, более мягкой меры пресечения.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«Содержание под стражей лиц, ожидающих судебного разбирательства не должно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быть общим правилом» - гласит ст.9 Пакта о гражданских и политических правах. Согласно п.6.1 Токийских правил «предварительное заключение под стражу используется в судопроизводстве по уголовным делам как крайняя мера при условии должного учета интересов расследования предполагаемого правонарушения и защиты общества и жертвы».</w:t>
      </w:r>
    </w:p>
    <w:p w:rsidR="00297D34" w:rsidRPr="00A70078" w:rsidRDefault="00297D34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 xml:space="preserve">В-третьих, специальным условием избрания заключения под стражу является обвинение (подозрение) </w:t>
      </w:r>
      <w:r w:rsidR="008F6A0B" w:rsidRPr="00A70078">
        <w:rPr>
          <w:rFonts w:ascii="Times New Roman" w:hAnsi="Times New Roman"/>
          <w:sz w:val="28"/>
          <w:szCs w:val="28"/>
        </w:rPr>
        <w:t>в совершении преступления средней тяжести, тяжких и</w:t>
      </w:r>
      <w:r w:rsidR="007077CB" w:rsidRPr="00A70078">
        <w:rPr>
          <w:rFonts w:ascii="Times New Roman" w:hAnsi="Times New Roman"/>
          <w:sz w:val="28"/>
          <w:szCs w:val="28"/>
        </w:rPr>
        <w:t>ли</w:t>
      </w:r>
      <w:r w:rsidR="008F6A0B" w:rsidRPr="00A70078">
        <w:rPr>
          <w:rFonts w:ascii="Times New Roman" w:hAnsi="Times New Roman"/>
          <w:sz w:val="28"/>
          <w:szCs w:val="28"/>
        </w:rPr>
        <w:t xml:space="preserve"> особо тяжких.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="00C00FFC" w:rsidRPr="00A70078">
        <w:rPr>
          <w:rFonts w:ascii="Times New Roman" w:hAnsi="Times New Roman"/>
          <w:sz w:val="28"/>
          <w:szCs w:val="28"/>
        </w:rPr>
        <w:t>Данное условие нуждается в ограничительном толковании. Заключение под стражу может применяться только тогда, когда реально возможно назначение наказания в виде лишения свободы. Об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="00C00FFC" w:rsidRPr="00A70078">
        <w:rPr>
          <w:rFonts w:ascii="Times New Roman" w:hAnsi="Times New Roman"/>
          <w:sz w:val="28"/>
          <w:szCs w:val="28"/>
        </w:rPr>
        <w:t>отсутствии данного условия могут свидетельствовать:</w:t>
      </w:r>
    </w:p>
    <w:p w:rsidR="00C00FFC" w:rsidRPr="00A70078" w:rsidRDefault="00C00FFC" w:rsidP="00A700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Недостаточная обоснованность обвинения (подозрения): например, явно «завышенные» квалификация преступления, объ</w:t>
      </w:r>
      <w:r w:rsidR="00CF78B7" w:rsidRPr="00A70078">
        <w:rPr>
          <w:rFonts w:ascii="Times New Roman" w:hAnsi="Times New Roman"/>
          <w:sz w:val="28"/>
          <w:szCs w:val="28"/>
        </w:rPr>
        <w:t>ем обвинения или недостаточно установленная причастность данного лица к совершению преступления.</w:t>
      </w:r>
    </w:p>
    <w:p w:rsidR="00CF78B7" w:rsidRPr="00A70078" w:rsidRDefault="00CF78B7" w:rsidP="00A700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Когда санкция уголовно-правовой нормы формально предусматривает наказания более чем 2 года лишения свободы, однако в силу прямого требования закона суд обязан его уменьшить при:</w:t>
      </w:r>
    </w:p>
    <w:p w:rsidR="00CF78B7" w:rsidRPr="00A70078" w:rsidRDefault="00CF78B7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- наличии смягчающих обстоятельств (ст. 62 УК РФ)</w:t>
      </w:r>
    </w:p>
    <w:p w:rsidR="00CF78B7" w:rsidRPr="00A70078" w:rsidRDefault="00CF78B7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- неоконченном преступлении (ст.66 УК РФ</w:t>
      </w:r>
      <w:r w:rsidR="008E04BB" w:rsidRPr="00A70078">
        <w:rPr>
          <w:rFonts w:ascii="Times New Roman" w:hAnsi="Times New Roman"/>
          <w:sz w:val="28"/>
          <w:szCs w:val="28"/>
        </w:rPr>
        <w:t xml:space="preserve">) </w:t>
      </w:r>
    </w:p>
    <w:p w:rsidR="008E04BB" w:rsidRPr="00A70078" w:rsidRDefault="008E04BB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- и т.д.</w:t>
      </w:r>
    </w:p>
    <w:p w:rsidR="00AC43F6" w:rsidRPr="00A70078" w:rsidRDefault="00AC43F6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В качестве исключения заключение под стражу может быть избрано и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при обвинении (подозрении) в совершении преступления,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 xml:space="preserve">за которое грозит наказание </w:t>
      </w:r>
      <w:r w:rsidR="002A0D84" w:rsidRPr="00A70078">
        <w:rPr>
          <w:rFonts w:ascii="Times New Roman" w:hAnsi="Times New Roman"/>
          <w:sz w:val="28"/>
          <w:szCs w:val="28"/>
        </w:rPr>
        <w:t>в виде лишения свободы до двух лет</w:t>
      </w:r>
      <w:r w:rsidRPr="00A70078">
        <w:rPr>
          <w:rFonts w:ascii="Times New Roman" w:hAnsi="Times New Roman"/>
          <w:sz w:val="28"/>
          <w:szCs w:val="28"/>
        </w:rPr>
        <w:t xml:space="preserve"> в одном из 4 случаев:</w:t>
      </w:r>
    </w:p>
    <w:p w:rsidR="00AC43F6" w:rsidRPr="00A70078" w:rsidRDefault="00AC43F6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а) обвиняемый не имеет постоянного места жительства на территории РФ</w:t>
      </w:r>
    </w:p>
    <w:p w:rsidR="00AC43F6" w:rsidRPr="00A70078" w:rsidRDefault="00AC43F6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б) не установлена личность обвиняемого или подозреваемого</w:t>
      </w:r>
    </w:p>
    <w:p w:rsidR="008E04BB" w:rsidRPr="00A70078" w:rsidRDefault="008F791E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в) обвиняемый (подозреваемый) нарушил ранее избранную меру пресечения</w:t>
      </w:r>
    </w:p>
    <w:p w:rsidR="008F791E" w:rsidRPr="00A70078" w:rsidRDefault="008F791E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г) обвиняемы</w:t>
      </w:r>
      <w:r w:rsidR="008F00AB" w:rsidRPr="00A70078">
        <w:rPr>
          <w:rFonts w:ascii="Times New Roman" w:hAnsi="Times New Roman"/>
          <w:sz w:val="28"/>
          <w:szCs w:val="28"/>
        </w:rPr>
        <w:t>й</w:t>
      </w:r>
      <w:r w:rsidRPr="00A70078">
        <w:rPr>
          <w:rFonts w:ascii="Times New Roman" w:hAnsi="Times New Roman"/>
          <w:sz w:val="28"/>
          <w:szCs w:val="28"/>
        </w:rPr>
        <w:t xml:space="preserve"> (подозреваемый) скрылся от органов расследования или суда</w:t>
      </w:r>
    </w:p>
    <w:p w:rsidR="002D0C02" w:rsidRPr="00A70078" w:rsidRDefault="00211D30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Но</w:t>
      </w:r>
      <w:r w:rsidR="008F00AB" w:rsidRPr="00A70078">
        <w:rPr>
          <w:rFonts w:ascii="Times New Roman" w:hAnsi="Times New Roman"/>
          <w:sz w:val="28"/>
          <w:szCs w:val="28"/>
        </w:rPr>
        <w:t>,</w:t>
      </w:r>
      <w:r w:rsidRPr="00A70078">
        <w:rPr>
          <w:rFonts w:ascii="Times New Roman" w:hAnsi="Times New Roman"/>
          <w:sz w:val="28"/>
          <w:szCs w:val="28"/>
        </w:rPr>
        <w:t xml:space="preserve"> к сожалению</w:t>
      </w:r>
      <w:r w:rsidR="008F00AB" w:rsidRPr="00A70078">
        <w:rPr>
          <w:rFonts w:ascii="Times New Roman" w:hAnsi="Times New Roman"/>
          <w:sz w:val="28"/>
          <w:szCs w:val="28"/>
        </w:rPr>
        <w:t>,</w:t>
      </w:r>
      <w:r w:rsidR="00E70928" w:rsidRPr="00A70078">
        <w:rPr>
          <w:rFonts w:ascii="Times New Roman" w:hAnsi="Times New Roman"/>
          <w:sz w:val="28"/>
          <w:szCs w:val="28"/>
        </w:rPr>
        <w:t xml:space="preserve"> </w:t>
      </w:r>
      <w:r w:rsidR="00A70078" w:rsidRPr="00E17272">
        <w:rPr>
          <w:rFonts w:ascii="Times New Roman" w:hAnsi="Times New Roman"/>
          <w:sz w:val="28"/>
          <w:szCs w:val="28"/>
        </w:rPr>
        <w:t>с</w:t>
      </w:r>
      <w:r w:rsidR="008F00AB" w:rsidRPr="00A70078">
        <w:rPr>
          <w:rFonts w:ascii="Times New Roman" w:hAnsi="Times New Roman"/>
          <w:sz w:val="28"/>
          <w:szCs w:val="28"/>
        </w:rPr>
        <w:t>уды все охотнее избирают подследственным исключительную меру пресечения и не спешат ее изменять</w:t>
      </w:r>
      <w:r w:rsidR="00340645" w:rsidRPr="00A70078">
        <w:rPr>
          <w:rFonts w:ascii="Times New Roman" w:hAnsi="Times New Roman"/>
          <w:sz w:val="28"/>
          <w:szCs w:val="28"/>
        </w:rPr>
        <w:t xml:space="preserve"> вплоть</w:t>
      </w:r>
      <w:r w:rsidR="008F00AB" w:rsidRPr="00A70078">
        <w:rPr>
          <w:rFonts w:ascii="Times New Roman" w:hAnsi="Times New Roman"/>
          <w:sz w:val="28"/>
          <w:szCs w:val="28"/>
        </w:rPr>
        <w:t xml:space="preserve"> до постановления приговора. Согласно данным Судебного департамента при Верховном Суде РФ, в 2007 году </w:t>
      </w:r>
      <w:r w:rsidR="00E319D4" w:rsidRPr="00A70078">
        <w:rPr>
          <w:rFonts w:ascii="Times New Roman" w:hAnsi="Times New Roman"/>
          <w:sz w:val="28"/>
          <w:szCs w:val="28"/>
        </w:rPr>
        <w:t>судами окончено рассмотрение 205</w:t>
      </w:r>
      <w:r w:rsidR="008F00AB" w:rsidRPr="00A70078">
        <w:rPr>
          <w:rFonts w:ascii="Times New Roman" w:hAnsi="Times New Roman"/>
          <w:sz w:val="28"/>
          <w:szCs w:val="28"/>
        </w:rPr>
        <w:t> 012 уголовных дел с мерой пресечения в ви</w:t>
      </w:r>
      <w:r w:rsidR="003C39B0" w:rsidRPr="00A70078">
        <w:rPr>
          <w:rFonts w:ascii="Times New Roman" w:hAnsi="Times New Roman"/>
          <w:sz w:val="28"/>
          <w:szCs w:val="28"/>
        </w:rPr>
        <w:t>де заключения под стражу, в 2008</w:t>
      </w:r>
      <w:r w:rsidR="00E319D4" w:rsidRPr="00A70078">
        <w:rPr>
          <w:rFonts w:ascii="Times New Roman" w:hAnsi="Times New Roman"/>
          <w:sz w:val="28"/>
          <w:szCs w:val="28"/>
        </w:rPr>
        <w:t xml:space="preserve"> году – уже 23</w:t>
      </w:r>
      <w:r w:rsidR="008F00AB" w:rsidRPr="00A70078">
        <w:rPr>
          <w:rFonts w:ascii="Times New Roman" w:hAnsi="Times New Roman"/>
          <w:sz w:val="28"/>
          <w:szCs w:val="28"/>
        </w:rPr>
        <w:t xml:space="preserve">2 584 дела. Увеличение таких дел за один год составило примерно 12,5 процентов. </w:t>
      </w:r>
      <w:r w:rsidR="00151123" w:rsidRPr="00A70078">
        <w:rPr>
          <w:rFonts w:ascii="Times New Roman" w:hAnsi="Times New Roman"/>
          <w:sz w:val="28"/>
          <w:szCs w:val="28"/>
        </w:rPr>
        <w:t>Ка</w:t>
      </w:r>
      <w:r w:rsidR="00403996" w:rsidRPr="00A70078">
        <w:rPr>
          <w:rFonts w:ascii="Times New Roman" w:hAnsi="Times New Roman"/>
          <w:sz w:val="28"/>
          <w:szCs w:val="28"/>
        </w:rPr>
        <w:t>к говорит глава ФСИН</w:t>
      </w:r>
      <w:r w:rsidR="0029798A" w:rsidRPr="00A70078">
        <w:rPr>
          <w:rFonts w:ascii="Times New Roman" w:hAnsi="Times New Roman"/>
          <w:sz w:val="28"/>
          <w:szCs w:val="28"/>
        </w:rPr>
        <w:t xml:space="preserve"> Ю.И.</w:t>
      </w:r>
      <w:r w:rsidR="00403996" w:rsidRPr="00A70078">
        <w:rPr>
          <w:rFonts w:ascii="Times New Roman" w:hAnsi="Times New Roman"/>
          <w:sz w:val="28"/>
          <w:szCs w:val="28"/>
        </w:rPr>
        <w:t xml:space="preserve"> Калинин: «У</w:t>
      </w:r>
      <w:r w:rsidR="00151123" w:rsidRPr="00A70078">
        <w:rPr>
          <w:rFonts w:ascii="Times New Roman" w:hAnsi="Times New Roman"/>
          <w:sz w:val="28"/>
          <w:szCs w:val="28"/>
        </w:rPr>
        <w:t xml:space="preserve"> нас излишне часто помещают людей под стражу. В прошлом году, из зала суда было освобождено 65 тысяч человек, около двух тысяч из них – из-за отсутствия состава преступления. То есть</w:t>
      </w:r>
      <w:r w:rsidR="00403996" w:rsidRPr="00A70078">
        <w:rPr>
          <w:rFonts w:ascii="Times New Roman" w:hAnsi="Times New Roman"/>
          <w:sz w:val="28"/>
          <w:szCs w:val="28"/>
        </w:rPr>
        <w:t>,</w:t>
      </w:r>
      <w:r w:rsidR="00F277C7" w:rsidRPr="00A70078">
        <w:rPr>
          <w:rFonts w:ascii="Times New Roman" w:hAnsi="Times New Roman"/>
          <w:sz w:val="28"/>
          <w:szCs w:val="28"/>
        </w:rPr>
        <w:t xml:space="preserve"> они содержались под стражей просто так.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="00D85E1C" w:rsidRPr="00A70078">
        <w:rPr>
          <w:rFonts w:ascii="Times New Roman" w:hAnsi="Times New Roman"/>
          <w:sz w:val="28"/>
          <w:szCs w:val="28"/>
        </w:rPr>
        <w:t>И никто за это не понес ответственности</w:t>
      </w:r>
      <w:r w:rsidR="00151123" w:rsidRPr="00A70078">
        <w:rPr>
          <w:rFonts w:ascii="Times New Roman" w:hAnsi="Times New Roman"/>
          <w:sz w:val="28"/>
          <w:szCs w:val="28"/>
        </w:rPr>
        <w:t>. Что касается остальных, им вынесли наказания, не связанные с лишением свободы. Это значит, что люди не совершали опасных преступлений, стало быть, не представляли для общества никакой угрозы</w:t>
      </w:r>
      <w:r w:rsidR="00403996" w:rsidRPr="00A70078">
        <w:rPr>
          <w:rFonts w:ascii="Times New Roman" w:hAnsi="Times New Roman"/>
          <w:sz w:val="28"/>
          <w:szCs w:val="28"/>
        </w:rPr>
        <w:t>»</w:t>
      </w:r>
      <w:r w:rsidR="00880927" w:rsidRPr="00A7007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80927" w:rsidRPr="00A70078">
        <w:rPr>
          <w:rStyle w:val="a4"/>
          <w:rFonts w:ascii="Times New Roman" w:hAnsi="Times New Roman"/>
          <w:sz w:val="28"/>
          <w:szCs w:val="28"/>
        </w:rPr>
        <w:footnoteReference w:id="1"/>
      </w:r>
      <w:r w:rsidR="00151123" w:rsidRPr="00A70078">
        <w:rPr>
          <w:rFonts w:ascii="Times New Roman" w:hAnsi="Times New Roman"/>
          <w:sz w:val="28"/>
          <w:szCs w:val="28"/>
        </w:rPr>
        <w:t xml:space="preserve">. </w:t>
      </w:r>
    </w:p>
    <w:p w:rsidR="00880927" w:rsidRPr="00A70078" w:rsidRDefault="00880927" w:rsidP="00A70078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A70078">
        <w:rPr>
          <w:sz w:val="28"/>
          <w:szCs w:val="28"/>
        </w:rPr>
        <w:t>Как отмечалось Европейским Судом по правам человека, «недостаточно, чтобы лишение свободы было произведено в соответствии с национальным законом, оно должно также быть необходимым в данных обстоятельствах»</w:t>
      </w:r>
      <w:r w:rsidRPr="00A70078">
        <w:rPr>
          <w:rStyle w:val="a4"/>
          <w:sz w:val="28"/>
          <w:szCs w:val="28"/>
        </w:rPr>
        <w:footnoteReference w:id="2"/>
      </w:r>
      <w:r w:rsidRPr="00A70078">
        <w:rPr>
          <w:sz w:val="28"/>
          <w:szCs w:val="28"/>
        </w:rPr>
        <w:t>. Наличие оснований для ареста должно быть доказано стороной обвинения. Суд в Страсбурге неоднократно подчеркивал важность подкрепления решения о заключении под стражу «объективными доказательствами»</w:t>
      </w:r>
      <w:r w:rsidRPr="00A70078">
        <w:rPr>
          <w:rStyle w:val="a4"/>
          <w:sz w:val="28"/>
          <w:szCs w:val="28"/>
        </w:rPr>
        <w:footnoteReference w:id="3"/>
      </w:r>
      <w:r w:rsidRPr="00A70078">
        <w:rPr>
          <w:sz w:val="28"/>
          <w:szCs w:val="28"/>
        </w:rPr>
        <w:t>.</w:t>
      </w:r>
    </w:p>
    <w:p w:rsidR="00FF6572" w:rsidRPr="00A70078" w:rsidRDefault="00234AD3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В российской судебной практике данная проблема также поднималась: должен ли следователь представлять суду доказательства виновности подозреваемого или обвиняемого для избрания в отношение него меры пресечения в виде заключения под стражу.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Пленум Верховного Суда РФ в своем постановлении от 05.03..2004 №1 «О применении судами норм Уголовно-процессуального кодекса РФ»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запрещает судье во время рассмотрения ходатайства о заключении под стражу входить в обсуждение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вопроса о виновности лица в инкриминируемом ему преступлении.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 xml:space="preserve">Напротив, в п.14 </w:t>
      </w:r>
      <w:r w:rsidR="009232EE" w:rsidRPr="00A70078">
        <w:rPr>
          <w:rFonts w:ascii="Times New Roman" w:hAnsi="Times New Roman"/>
          <w:sz w:val="28"/>
          <w:szCs w:val="28"/>
        </w:rPr>
        <w:t xml:space="preserve">постановления </w:t>
      </w:r>
      <w:r w:rsidRPr="00A70078">
        <w:rPr>
          <w:rFonts w:ascii="Times New Roman" w:hAnsi="Times New Roman"/>
          <w:sz w:val="28"/>
          <w:szCs w:val="28"/>
        </w:rPr>
        <w:t>Пленума Верховного Суда РФ от 10.10.2003 №5 «О применении судами общей юрисдикции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общепризнанных принципов и норм международного права и международных договоров РФ» судье предлагается учесть, что «наличие обоснованности подозрения в том,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что заключенное под стражу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лицо совершило преступление, является необходимым условием для законности ареста.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Из сопоставления названных разъяснений вытекает, что судье предлагается, не предрешая вопроса виновности, выяснить, имеются ли у стороны обвинения доказательства, которые достаточны для серьезного предположения о совершении данным лицом преступления.</w:t>
      </w:r>
    </w:p>
    <w:p w:rsidR="00FF6572" w:rsidRPr="00A70078" w:rsidRDefault="00FF6572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Также, необходимо заметить то, что дознаватель и следователь</w:t>
      </w:r>
      <w:r w:rsidR="003C39B0" w:rsidRPr="00A70078">
        <w:rPr>
          <w:rFonts w:ascii="Times New Roman" w:hAnsi="Times New Roman"/>
          <w:sz w:val="28"/>
          <w:szCs w:val="28"/>
        </w:rPr>
        <w:t>,</w:t>
      </w:r>
      <w:r w:rsidRPr="00A70078">
        <w:rPr>
          <w:rFonts w:ascii="Times New Roman" w:hAnsi="Times New Roman"/>
          <w:sz w:val="28"/>
          <w:szCs w:val="28"/>
        </w:rPr>
        <w:t xml:space="preserve"> возбуждая перед судом ходатайство об избрании меры пресечения</w:t>
      </w:r>
      <w:r w:rsidR="003C39B0" w:rsidRPr="00A70078">
        <w:rPr>
          <w:rFonts w:ascii="Times New Roman" w:hAnsi="Times New Roman"/>
          <w:sz w:val="28"/>
          <w:szCs w:val="28"/>
        </w:rPr>
        <w:t>,</w:t>
      </w:r>
      <w:r w:rsidRPr="00A70078">
        <w:rPr>
          <w:rFonts w:ascii="Times New Roman" w:hAnsi="Times New Roman"/>
          <w:sz w:val="28"/>
          <w:szCs w:val="28"/>
        </w:rPr>
        <w:t xml:space="preserve"> лишь только указывают суду на основания избрания данной меры пресечения указанные в ч.1 ст. 97 УПК РФ, не представляя суду никаких фактических доказательств либо обоснований осуществления обвиняемым (подозреваемым) действий указанных в вышеуказанной статье, тогда как в ч.1 ст.108 говорится: «При избрании меры пресечения в виде заключения под стражу в постановлении судьи должны быть указаны конкретные, фактические обстоятельства, на основании которых судья принял такое решение», а не возможные домыслы, предположения следователя или дознавателя, не подкрепленны</w:t>
      </w:r>
      <w:r w:rsidR="00340645" w:rsidRPr="00A70078">
        <w:rPr>
          <w:rFonts w:ascii="Times New Roman" w:hAnsi="Times New Roman"/>
          <w:sz w:val="28"/>
          <w:szCs w:val="28"/>
        </w:rPr>
        <w:t xml:space="preserve">е фактическими доказательствами, в связи с чем становится актуальным вопрос: « А откуда должен взять судья </w:t>
      </w:r>
      <w:r w:rsidR="00A70078" w:rsidRPr="00A70078">
        <w:rPr>
          <w:rFonts w:ascii="Times New Roman" w:hAnsi="Times New Roman"/>
          <w:sz w:val="28"/>
          <w:szCs w:val="28"/>
        </w:rPr>
        <w:t>доказательства,</w:t>
      </w:r>
      <w:r w:rsidR="00340645" w:rsidRPr="00A70078">
        <w:rPr>
          <w:rFonts w:ascii="Times New Roman" w:hAnsi="Times New Roman"/>
          <w:sz w:val="28"/>
          <w:szCs w:val="28"/>
        </w:rPr>
        <w:t xml:space="preserve"> на основании которых он принимает постановление об избрании меры пресечения, если дознаватель и следователь возбуждая перед судом ходатайство об избрании таковой,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="00340645" w:rsidRPr="00A70078">
        <w:rPr>
          <w:rFonts w:ascii="Times New Roman" w:hAnsi="Times New Roman"/>
          <w:sz w:val="28"/>
          <w:szCs w:val="28"/>
        </w:rPr>
        <w:t>на практике никаких фактических доказательств необходимости избрания меры пресечения не указывают, а лишь ссылаются на возможность наступления последствий указанных в ч.1 ст. 97 УПК РФ».</w:t>
      </w:r>
    </w:p>
    <w:p w:rsidR="00FF6572" w:rsidRPr="00A70078" w:rsidRDefault="00FF6572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Пункт 2 ч.1 ст.97 указывает в качестве одного из оснований избрания меры пресече</w:t>
      </w:r>
      <w:r w:rsidR="00527745" w:rsidRPr="00A70078">
        <w:rPr>
          <w:rFonts w:ascii="Times New Roman" w:hAnsi="Times New Roman"/>
          <w:sz w:val="28"/>
          <w:szCs w:val="28"/>
        </w:rPr>
        <w:t>ния</w:t>
      </w:r>
      <w:r w:rsidRPr="00A70078">
        <w:rPr>
          <w:rFonts w:ascii="Times New Roman" w:hAnsi="Times New Roman"/>
          <w:sz w:val="28"/>
          <w:szCs w:val="28"/>
        </w:rPr>
        <w:t xml:space="preserve"> то, что обвиняемый может продолжать заниматься преступной деятельностью. Опасность совершения обвиняемым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других, новых преступлений справедливо оспаривается, как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основание для избрания меры пресечения. Ограничение личной свободы обвиняемого «несоизмеримо с вероятным злом совершения им новых преступлений, уже потому, что последние могут не наступить». Вывод о возможности совершения других преступлений противоречит презумпции невиновности, которая предполагает невиновность даже в прошлых преступлениях, не говоря уже о будущих</w:t>
      </w:r>
      <w:r w:rsidRPr="00A70078">
        <w:rPr>
          <w:rStyle w:val="a4"/>
          <w:rFonts w:ascii="Times New Roman" w:hAnsi="Times New Roman"/>
          <w:sz w:val="28"/>
          <w:szCs w:val="28"/>
        </w:rPr>
        <w:footnoteReference w:id="4"/>
      </w:r>
      <w:r w:rsidRPr="00A70078">
        <w:rPr>
          <w:rFonts w:ascii="Times New Roman" w:hAnsi="Times New Roman"/>
          <w:sz w:val="28"/>
          <w:szCs w:val="28"/>
        </w:rPr>
        <w:t xml:space="preserve">. </w:t>
      </w:r>
    </w:p>
    <w:p w:rsidR="00FF6572" w:rsidRPr="00A70078" w:rsidRDefault="00FF6572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 xml:space="preserve">И последнее </w:t>
      </w:r>
      <w:r w:rsidR="00A70078" w:rsidRPr="00A70078">
        <w:rPr>
          <w:rFonts w:ascii="Times New Roman" w:hAnsi="Times New Roman"/>
          <w:sz w:val="28"/>
          <w:szCs w:val="28"/>
        </w:rPr>
        <w:t>замечание,</w:t>
      </w:r>
      <w:r w:rsidRPr="00A70078">
        <w:rPr>
          <w:rFonts w:ascii="Times New Roman" w:hAnsi="Times New Roman"/>
          <w:sz w:val="28"/>
          <w:szCs w:val="28"/>
        </w:rPr>
        <w:t xml:space="preserve"> на которое хотелось бы обратить внимание. По мнению большинства правоприменителей существенным недостатком процесса избрания любой меры пресечения является отсутствие возможности у суда знакомиться со всеми материалами уголовного дела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при рассмотрении ходатайства об избрании меры пресечения. Отсутствие законодательного закрепления данного положения лишает суд возможности всесторонне и объективно оценить все имеющиеся доказательства по делу, которые говорили бы о реальной необходимости избрания в отношения обвиняемого (подозреваемого) той или иной меры пресечения.</w:t>
      </w:r>
    </w:p>
    <w:p w:rsidR="002D0C02" w:rsidRPr="00A70078" w:rsidRDefault="00C00862" w:rsidP="00A70078">
      <w:pPr>
        <w:pStyle w:val="Iauiue"/>
        <w:spacing w:line="360" w:lineRule="auto"/>
        <w:ind w:firstLine="709"/>
        <w:jc w:val="both"/>
        <w:rPr>
          <w:sz w:val="28"/>
          <w:szCs w:val="28"/>
        </w:rPr>
      </w:pPr>
      <w:r w:rsidRPr="00A70078">
        <w:rPr>
          <w:sz w:val="28"/>
          <w:szCs w:val="28"/>
        </w:rPr>
        <w:t>В связи с вышеизложенным хотелось бы вынести на обсуждение предложения по инновациям в области обеспечения законности при избрании меры пресечения в виде заключения под стражу.</w:t>
      </w:r>
    </w:p>
    <w:p w:rsidR="00E319D4" w:rsidRPr="00A70078" w:rsidRDefault="00C00862" w:rsidP="00A70078">
      <w:pPr>
        <w:pStyle w:val="Iauiu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8">
        <w:rPr>
          <w:sz w:val="28"/>
          <w:szCs w:val="28"/>
        </w:rPr>
        <w:t>Обязать дознавателя и следователя в ходатайстве об избрании данной меры пресечения, посредствам уголовно-процессуального закона, представлять суду фактические доказательства наступления последствий указанных в ч.1 ст.</w:t>
      </w:r>
      <w:r w:rsidR="00726659" w:rsidRPr="00A70078">
        <w:rPr>
          <w:sz w:val="28"/>
          <w:szCs w:val="28"/>
        </w:rPr>
        <w:t>97 УПК РФ при не избрании таковой.</w:t>
      </w:r>
    </w:p>
    <w:p w:rsidR="00726659" w:rsidRPr="00A70078" w:rsidRDefault="00726659" w:rsidP="00A70078">
      <w:pPr>
        <w:pStyle w:val="Iauiu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0078">
        <w:rPr>
          <w:sz w:val="28"/>
          <w:szCs w:val="28"/>
        </w:rPr>
        <w:t>Обеспечить суд возможностью знакомиться со всеми материалами уголовного дела при рассмотрении ходатайства об избрании меры пресечения в виде заключения под стражу</w:t>
      </w:r>
    </w:p>
    <w:p w:rsidR="008A50B9" w:rsidRPr="00A70078" w:rsidRDefault="00AD2123" w:rsidP="00A70078">
      <w:pPr>
        <w:pStyle w:val="Iauiue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70078">
        <w:rPr>
          <w:sz w:val="28"/>
          <w:szCs w:val="28"/>
        </w:rPr>
        <w:t>Скорректировать, дополнить</w:t>
      </w:r>
      <w:r w:rsidR="00A70078">
        <w:rPr>
          <w:sz w:val="28"/>
          <w:szCs w:val="28"/>
        </w:rPr>
        <w:t xml:space="preserve"> </w:t>
      </w:r>
      <w:r w:rsidR="00726659" w:rsidRPr="00A70078">
        <w:rPr>
          <w:sz w:val="28"/>
          <w:szCs w:val="28"/>
        </w:rPr>
        <w:t>словесную мотивировку оснований в ч.1 ст.97</w:t>
      </w:r>
      <w:r w:rsidRPr="00A70078">
        <w:rPr>
          <w:sz w:val="28"/>
          <w:szCs w:val="28"/>
        </w:rPr>
        <w:t xml:space="preserve"> УПК</w:t>
      </w:r>
      <w:r w:rsidR="00726659" w:rsidRPr="00A70078">
        <w:rPr>
          <w:sz w:val="28"/>
          <w:szCs w:val="28"/>
        </w:rPr>
        <w:t xml:space="preserve"> таким образом, чтобы</w:t>
      </w:r>
      <w:r w:rsidRPr="00A70078">
        <w:rPr>
          <w:sz w:val="28"/>
          <w:szCs w:val="28"/>
        </w:rPr>
        <w:t xml:space="preserve"> окончательно исключить возможность у суда увязывания при применении меры пресечения в виде заключения под стражу с предрешением вопроса о его виновности и причастности к совершению преступления.</w:t>
      </w:r>
      <w:r w:rsidR="00A70078">
        <w:rPr>
          <w:sz w:val="28"/>
          <w:szCs w:val="28"/>
        </w:rPr>
        <w:t xml:space="preserve"> </w:t>
      </w:r>
    </w:p>
    <w:p w:rsidR="00340645" w:rsidRPr="00E17272" w:rsidRDefault="00A70078" w:rsidP="00E1727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szCs w:val="24"/>
        </w:rPr>
        <w:br w:type="page"/>
      </w:r>
      <w:r w:rsidR="00340645" w:rsidRPr="00E17272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A70078" w:rsidRPr="00A70078" w:rsidRDefault="00A70078" w:rsidP="00A7007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A70078" w:rsidRDefault="00340645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Уголовный процесс: учебник /А.В.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Смирнов, К.Б.</w:t>
      </w:r>
      <w:r w:rsid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Калиновский; - 4 изд., перераб. и</w:t>
      </w:r>
      <w:r w:rsidR="009232EE" w:rsidRPr="00A70078">
        <w:rPr>
          <w:rFonts w:ascii="Times New Roman" w:hAnsi="Times New Roman"/>
          <w:sz w:val="28"/>
          <w:szCs w:val="28"/>
        </w:rPr>
        <w:t xml:space="preserve"> доп. – М.:Кнорус,2008.</w:t>
      </w:r>
    </w:p>
    <w:p w:rsidR="00A70078" w:rsidRDefault="00340645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Лев Левинсон «Злоупотребление процессуальными нормами при отправлении уголовного правосудия»</w:t>
      </w:r>
    </w:p>
    <w:p w:rsidR="00A70078" w:rsidRDefault="00340645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Постановление по жалобе «Лабита прот</w:t>
      </w:r>
      <w:r w:rsidR="009232EE" w:rsidRPr="00A70078">
        <w:rPr>
          <w:rFonts w:ascii="Times New Roman" w:hAnsi="Times New Roman"/>
          <w:sz w:val="28"/>
          <w:szCs w:val="28"/>
        </w:rPr>
        <w:t>ив Италии» от 6 апреля 2000г.</w:t>
      </w:r>
      <w:r w:rsidRPr="00A70078">
        <w:rPr>
          <w:rFonts w:ascii="Times New Roman" w:hAnsi="Times New Roman"/>
          <w:sz w:val="28"/>
          <w:szCs w:val="28"/>
        </w:rPr>
        <w:t>, п. 158</w:t>
      </w:r>
    </w:p>
    <w:p w:rsidR="00A70078" w:rsidRDefault="00340645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Постановление по жалобе «Витольд Литва прот</w:t>
      </w:r>
      <w:r w:rsidR="009232EE" w:rsidRPr="00A70078">
        <w:rPr>
          <w:rFonts w:ascii="Times New Roman" w:hAnsi="Times New Roman"/>
          <w:sz w:val="28"/>
          <w:szCs w:val="28"/>
        </w:rPr>
        <w:t xml:space="preserve">ив Польши» от 4 апреля 2000г. </w:t>
      </w:r>
    </w:p>
    <w:p w:rsidR="00A70078" w:rsidRDefault="009232EE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0078">
        <w:rPr>
          <w:rFonts w:ascii="Times New Roman" w:hAnsi="Times New Roman"/>
          <w:sz w:val="28"/>
          <w:szCs w:val="28"/>
        </w:rPr>
        <w:t>Постановление Пленума Верховного Суда РФ от 05.03..2004 №1 «О применении судами норм Уголовно-процессуального кодекса РФ</w:t>
      </w:r>
    </w:p>
    <w:p w:rsidR="008F00AB" w:rsidRPr="00A70078" w:rsidRDefault="009232EE" w:rsidP="00A70078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4"/>
        </w:rPr>
      </w:pPr>
      <w:r w:rsidRPr="00A70078"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10.10.2003 №5 «О применении судами общей юрисдикции</w:t>
      </w:r>
      <w:r w:rsidR="00A70078" w:rsidRPr="00A70078">
        <w:rPr>
          <w:rFonts w:ascii="Times New Roman" w:hAnsi="Times New Roman"/>
          <w:sz w:val="28"/>
          <w:szCs w:val="28"/>
        </w:rPr>
        <w:t xml:space="preserve"> </w:t>
      </w:r>
      <w:r w:rsidRPr="00A70078">
        <w:rPr>
          <w:rFonts w:ascii="Times New Roman" w:hAnsi="Times New Roman"/>
          <w:sz w:val="28"/>
          <w:szCs w:val="28"/>
        </w:rPr>
        <w:t>общепризнанных принципов и норм международного права и международных договоров РФ»</w:t>
      </w:r>
      <w:bookmarkStart w:id="0" w:name="_GoBack"/>
      <w:bookmarkEnd w:id="0"/>
    </w:p>
    <w:sectPr w:rsidR="008F00AB" w:rsidRPr="00A70078" w:rsidSect="00A70078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C2" w:rsidRDefault="007D3AC2" w:rsidP="00151123">
      <w:pPr>
        <w:spacing w:after="0" w:line="240" w:lineRule="auto"/>
      </w:pPr>
      <w:r>
        <w:separator/>
      </w:r>
    </w:p>
  </w:endnote>
  <w:endnote w:type="continuationSeparator" w:id="0">
    <w:p w:rsidR="007D3AC2" w:rsidRDefault="007D3AC2" w:rsidP="00151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C2" w:rsidRDefault="007D3AC2" w:rsidP="00151123">
      <w:pPr>
        <w:spacing w:after="0" w:line="240" w:lineRule="auto"/>
      </w:pPr>
      <w:r>
        <w:separator/>
      </w:r>
    </w:p>
  </w:footnote>
  <w:footnote w:type="continuationSeparator" w:id="0">
    <w:p w:rsidR="007D3AC2" w:rsidRDefault="007D3AC2" w:rsidP="00151123">
      <w:pPr>
        <w:spacing w:after="0" w:line="240" w:lineRule="auto"/>
      </w:pPr>
      <w:r>
        <w:continuationSeparator/>
      </w:r>
    </w:p>
  </w:footnote>
  <w:footnote w:id="1">
    <w:p w:rsidR="007D3AC2" w:rsidRDefault="00880927" w:rsidP="00880927">
      <w:pPr>
        <w:pStyle w:val="a3"/>
      </w:pPr>
      <w:r w:rsidRPr="009232EE">
        <w:rPr>
          <w:rStyle w:val="a4"/>
          <w:rFonts w:ascii="Times New Roman" w:hAnsi="Times New Roman"/>
          <w:sz w:val="20"/>
          <w:szCs w:val="20"/>
        </w:rPr>
        <w:footnoteRef/>
      </w:r>
      <w:r w:rsidRPr="009232EE">
        <w:rPr>
          <w:sz w:val="20"/>
          <w:szCs w:val="20"/>
        </w:rPr>
        <w:t xml:space="preserve"> </w:t>
      </w:r>
      <w:r w:rsidR="00340645" w:rsidRPr="009232EE">
        <w:rPr>
          <w:sz w:val="20"/>
          <w:szCs w:val="20"/>
        </w:rPr>
        <w:t>[</w:t>
      </w:r>
      <w:r w:rsidRPr="009232EE">
        <w:rPr>
          <w:sz w:val="20"/>
          <w:szCs w:val="20"/>
        </w:rPr>
        <w:t>Лев Левинсон,  «Злоупотребление процессуальными нормами при отправлении уголовного правосудия».</w:t>
      </w:r>
      <w:r w:rsidR="00340645" w:rsidRPr="009232EE">
        <w:rPr>
          <w:sz w:val="20"/>
          <w:szCs w:val="20"/>
        </w:rPr>
        <w:t>]</w:t>
      </w:r>
    </w:p>
  </w:footnote>
  <w:footnote w:id="2">
    <w:p w:rsidR="007D3AC2" w:rsidRDefault="00880927" w:rsidP="00880927">
      <w:pPr>
        <w:pStyle w:val="a5"/>
      </w:pPr>
      <w:r>
        <w:rPr>
          <w:rStyle w:val="a4"/>
        </w:rPr>
        <w:footnoteRef/>
      </w:r>
      <w:r>
        <w:t xml:space="preserve"> </w:t>
      </w:r>
      <w:r w:rsidR="00340645" w:rsidRPr="00340645">
        <w:t>[</w:t>
      </w:r>
      <w:r>
        <w:t>Постановление по жалобе «Витольд Литва против Польши» от 4 апреля 2000 года.</w:t>
      </w:r>
      <w:r w:rsidR="00340645" w:rsidRPr="00340645">
        <w:t>]</w:t>
      </w:r>
    </w:p>
  </w:footnote>
  <w:footnote w:id="3">
    <w:p w:rsidR="007D3AC2" w:rsidRDefault="00880927" w:rsidP="00880927">
      <w:pPr>
        <w:pStyle w:val="a5"/>
      </w:pPr>
      <w:r>
        <w:rPr>
          <w:rStyle w:val="a4"/>
        </w:rPr>
        <w:footnoteRef/>
      </w:r>
      <w:r>
        <w:t xml:space="preserve"> </w:t>
      </w:r>
      <w:r w:rsidR="00340645" w:rsidRPr="00340645">
        <w:t>[</w:t>
      </w:r>
      <w:r>
        <w:t>Постановление по жалобе «Лабита против Италии» от 6 апреля 2000 года, п. 158.</w:t>
      </w:r>
      <w:r w:rsidR="00340645" w:rsidRPr="00340645">
        <w:t>]</w:t>
      </w:r>
    </w:p>
  </w:footnote>
  <w:footnote w:id="4">
    <w:p w:rsidR="007D3AC2" w:rsidRDefault="00FF6572" w:rsidP="00FF6572">
      <w:pPr>
        <w:pStyle w:val="a5"/>
      </w:pPr>
      <w:r>
        <w:rPr>
          <w:rStyle w:val="a4"/>
        </w:rPr>
        <w:footnoteRef/>
      </w:r>
      <w:r>
        <w:t xml:space="preserve"> </w:t>
      </w:r>
      <w:r w:rsidR="00340645" w:rsidRPr="00340645">
        <w:t>[</w:t>
      </w:r>
      <w:r w:rsidRPr="0029798A">
        <w:t>Уголовный процесс: учебник /А.В.Смирнов, К.Б.Калиновский; - 4 изд., перераб и</w:t>
      </w:r>
      <w:r>
        <w:t xml:space="preserve"> доп. – М.:Кнорус,2008 – 268</w:t>
      </w:r>
      <w:r w:rsidR="00340645" w:rsidRPr="00340645"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0B91"/>
    <w:multiLevelType w:val="hybridMultilevel"/>
    <w:tmpl w:val="2E5CE5C2"/>
    <w:lvl w:ilvl="0" w:tplc="D63EAF3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57AD3DDC"/>
    <w:multiLevelType w:val="hybridMultilevel"/>
    <w:tmpl w:val="FBBC15F4"/>
    <w:lvl w:ilvl="0" w:tplc="4B0C71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7AE516E"/>
    <w:multiLevelType w:val="hybridMultilevel"/>
    <w:tmpl w:val="491A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F8701C"/>
    <w:multiLevelType w:val="hybridMultilevel"/>
    <w:tmpl w:val="78C6E902"/>
    <w:lvl w:ilvl="0" w:tplc="3BB01B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993"/>
    <w:rsid w:val="000A151C"/>
    <w:rsid w:val="000B4664"/>
    <w:rsid w:val="001000CC"/>
    <w:rsid w:val="00151123"/>
    <w:rsid w:val="001547E5"/>
    <w:rsid w:val="0017117D"/>
    <w:rsid w:val="00175775"/>
    <w:rsid w:val="0021184D"/>
    <w:rsid w:val="00211D30"/>
    <w:rsid w:val="00234AD3"/>
    <w:rsid w:val="0027404A"/>
    <w:rsid w:val="0029798A"/>
    <w:rsid w:val="00297D34"/>
    <w:rsid w:val="002A0D84"/>
    <w:rsid w:val="002A5471"/>
    <w:rsid w:val="002D0C02"/>
    <w:rsid w:val="00326ACE"/>
    <w:rsid w:val="0033376E"/>
    <w:rsid w:val="00340645"/>
    <w:rsid w:val="003C39B0"/>
    <w:rsid w:val="00403996"/>
    <w:rsid w:val="00415133"/>
    <w:rsid w:val="00480FEE"/>
    <w:rsid w:val="004E708F"/>
    <w:rsid w:val="00507C23"/>
    <w:rsid w:val="00527745"/>
    <w:rsid w:val="00531CB6"/>
    <w:rsid w:val="005B137D"/>
    <w:rsid w:val="005B68CC"/>
    <w:rsid w:val="00647A8A"/>
    <w:rsid w:val="007077CB"/>
    <w:rsid w:val="007129C6"/>
    <w:rsid w:val="00716221"/>
    <w:rsid w:val="007240C5"/>
    <w:rsid w:val="00726659"/>
    <w:rsid w:val="007A7761"/>
    <w:rsid w:val="007C0145"/>
    <w:rsid w:val="007C2A77"/>
    <w:rsid w:val="007D3AC2"/>
    <w:rsid w:val="007F52BC"/>
    <w:rsid w:val="00845F7B"/>
    <w:rsid w:val="00880927"/>
    <w:rsid w:val="008A50B9"/>
    <w:rsid w:val="008E04BB"/>
    <w:rsid w:val="008F00AB"/>
    <w:rsid w:val="008F6A0B"/>
    <w:rsid w:val="008F791E"/>
    <w:rsid w:val="009232EE"/>
    <w:rsid w:val="00963895"/>
    <w:rsid w:val="009F1CA9"/>
    <w:rsid w:val="00A15A69"/>
    <w:rsid w:val="00A54993"/>
    <w:rsid w:val="00A66B12"/>
    <w:rsid w:val="00A70078"/>
    <w:rsid w:val="00A93352"/>
    <w:rsid w:val="00AC43F6"/>
    <w:rsid w:val="00AD2123"/>
    <w:rsid w:val="00AF11CD"/>
    <w:rsid w:val="00BE260C"/>
    <w:rsid w:val="00C00862"/>
    <w:rsid w:val="00C00FFC"/>
    <w:rsid w:val="00C0226B"/>
    <w:rsid w:val="00C652E0"/>
    <w:rsid w:val="00CF78B7"/>
    <w:rsid w:val="00D07EEF"/>
    <w:rsid w:val="00D351D1"/>
    <w:rsid w:val="00D85E1C"/>
    <w:rsid w:val="00DA7942"/>
    <w:rsid w:val="00DA7FA6"/>
    <w:rsid w:val="00E17272"/>
    <w:rsid w:val="00E319D4"/>
    <w:rsid w:val="00E70928"/>
    <w:rsid w:val="00EA7C38"/>
    <w:rsid w:val="00F106C7"/>
    <w:rsid w:val="00F277C7"/>
    <w:rsid w:val="00FD2CD6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D6B9E-637F-4070-A320-5A14E10C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47E5"/>
    <w:rPr>
      <w:sz w:val="22"/>
      <w:szCs w:val="22"/>
    </w:rPr>
  </w:style>
  <w:style w:type="paragraph" w:customStyle="1" w:styleId="Iauiue">
    <w:name w:val="Iau?iue"/>
    <w:uiPriority w:val="99"/>
    <w:rsid w:val="00151123"/>
    <w:rPr>
      <w:rFonts w:ascii="Times New Roman" w:hAnsi="Times New Roman"/>
    </w:rPr>
  </w:style>
  <w:style w:type="character" w:styleId="a4">
    <w:name w:val="footnote reference"/>
    <w:uiPriority w:val="99"/>
    <w:semiHidden/>
    <w:rsid w:val="00151123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15112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5112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E3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законности избрания меры пресечения в виде заключения под стражу</vt:lpstr>
    </vt:vector>
  </TitlesOfParts>
  <Company>Центр управления полетами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законности избрания меры пресечения в виде заключения под стражу</dc:title>
  <dc:subject/>
  <dc:creator>Заур Рожавский</dc:creator>
  <cp:keywords/>
  <dc:description/>
  <cp:lastModifiedBy>admin</cp:lastModifiedBy>
  <cp:revision>2</cp:revision>
  <dcterms:created xsi:type="dcterms:W3CDTF">2014-03-05T22:41:00Z</dcterms:created>
  <dcterms:modified xsi:type="dcterms:W3CDTF">2014-03-05T22:41:00Z</dcterms:modified>
</cp:coreProperties>
</file>