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284"/>
        <w:gridCol w:w="565"/>
        <w:gridCol w:w="1078"/>
        <w:gridCol w:w="1642"/>
        <w:gridCol w:w="3278"/>
        <w:gridCol w:w="7"/>
      </w:tblGrid>
      <w:tr w:rsidR="00102178">
        <w:trPr>
          <w:trHeight w:hRule="exact" w:val="1700"/>
        </w:trPr>
        <w:tc>
          <w:tcPr>
            <w:tcW w:w="9854" w:type="dxa"/>
            <w:gridSpan w:val="6"/>
            <w:vAlign w:val="center"/>
          </w:tcPr>
          <w:p w:rsidR="00102178" w:rsidRDefault="00102178">
            <w:pPr>
              <w:spacing w:line="360" w:lineRule="auto"/>
              <w:jc w:val="center"/>
              <w:rPr>
                <w:color w:val="000080"/>
                <w:sz w:val="32"/>
                <w:u w:val="single"/>
              </w:rPr>
            </w:pPr>
            <w:r>
              <w:rPr>
                <w:color w:val="000080"/>
                <w:sz w:val="32"/>
                <w:u w:val="single"/>
              </w:rPr>
              <w:t>МУЗ Городская больница №2</w:t>
            </w:r>
          </w:p>
          <w:p w:rsidR="00102178" w:rsidRDefault="00102178">
            <w:pPr>
              <w:spacing w:line="360" w:lineRule="auto"/>
              <w:jc w:val="center"/>
              <w:rPr>
                <w:color w:val="000080"/>
                <w:sz w:val="28"/>
              </w:rPr>
            </w:pPr>
            <w:r>
              <w:rPr>
                <w:color w:val="000080"/>
                <w:sz w:val="28"/>
              </w:rPr>
              <w:t>Кафедра усовершенствования врачей</w:t>
            </w:r>
          </w:p>
          <w:p w:rsidR="00102178" w:rsidRDefault="00102178">
            <w:pPr>
              <w:spacing w:line="360" w:lineRule="auto"/>
              <w:jc w:val="center"/>
              <w:rPr>
                <w:color w:val="000080"/>
              </w:rPr>
            </w:pPr>
          </w:p>
        </w:tc>
      </w:tr>
      <w:tr w:rsidR="00102178">
        <w:trPr>
          <w:cantSplit/>
          <w:trHeight w:hRule="exact" w:val="1840"/>
        </w:trPr>
        <w:tc>
          <w:tcPr>
            <w:tcW w:w="3284" w:type="dxa"/>
            <w:vAlign w:val="center"/>
          </w:tcPr>
          <w:p w:rsidR="00102178" w:rsidRDefault="00102178">
            <w:pPr>
              <w:jc w:val="center"/>
            </w:pPr>
          </w:p>
        </w:tc>
        <w:tc>
          <w:tcPr>
            <w:tcW w:w="3285" w:type="dxa"/>
            <w:gridSpan w:val="3"/>
            <w:vAlign w:val="center"/>
          </w:tcPr>
          <w:p w:rsidR="00102178" w:rsidRDefault="00102178">
            <w:pPr>
              <w:jc w:val="center"/>
            </w:pPr>
          </w:p>
        </w:tc>
        <w:tc>
          <w:tcPr>
            <w:tcW w:w="3285" w:type="dxa"/>
            <w:gridSpan w:val="2"/>
            <w:vAlign w:val="center"/>
          </w:tcPr>
          <w:p w:rsidR="00102178" w:rsidRDefault="00102178">
            <w:pPr>
              <w:ind w:firstLine="944"/>
              <w:rPr>
                <w:color w:val="000080"/>
              </w:rPr>
            </w:pPr>
            <w:r>
              <w:rPr>
                <w:color w:val="000080"/>
              </w:rPr>
              <w:t>Кафедра усовершенствования врачей</w:t>
            </w:r>
          </w:p>
        </w:tc>
      </w:tr>
      <w:tr w:rsidR="00102178">
        <w:trPr>
          <w:trHeight w:hRule="exact" w:val="2000"/>
        </w:trPr>
        <w:tc>
          <w:tcPr>
            <w:tcW w:w="9854" w:type="dxa"/>
            <w:gridSpan w:val="6"/>
            <w:vAlign w:val="center"/>
          </w:tcPr>
          <w:p w:rsidR="00102178" w:rsidRDefault="00102178">
            <w:pPr>
              <w:pStyle w:val="1"/>
            </w:pPr>
            <w:r>
              <w:t>РЕФЕРАТ</w:t>
            </w:r>
          </w:p>
        </w:tc>
      </w:tr>
      <w:tr w:rsidR="00102178">
        <w:trPr>
          <w:gridAfter w:val="1"/>
          <w:wAfter w:w="7" w:type="dxa"/>
          <w:cantSplit/>
          <w:trHeight w:hRule="exact" w:val="3700"/>
        </w:trPr>
        <w:tc>
          <w:tcPr>
            <w:tcW w:w="3849" w:type="dxa"/>
            <w:gridSpan w:val="2"/>
            <w:vAlign w:val="center"/>
          </w:tcPr>
          <w:p w:rsidR="00102178" w:rsidRDefault="00102178">
            <w:pPr>
              <w:jc w:val="center"/>
            </w:pPr>
          </w:p>
        </w:tc>
        <w:tc>
          <w:tcPr>
            <w:tcW w:w="5998" w:type="dxa"/>
            <w:gridSpan w:val="3"/>
            <w:vAlign w:val="center"/>
          </w:tcPr>
          <w:p w:rsidR="00102178" w:rsidRDefault="00102178">
            <w:pPr>
              <w:spacing w:line="360" w:lineRule="auto"/>
              <w:rPr>
                <w:i/>
                <w:color w:val="000080"/>
                <w:u w:val="single"/>
              </w:rPr>
            </w:pPr>
            <w:r>
              <w:rPr>
                <w:color w:val="000080"/>
              </w:rPr>
              <w:t xml:space="preserve">ДИСЦИПЛИНА: </w:t>
            </w:r>
            <w:r>
              <w:rPr>
                <w:i/>
                <w:color w:val="000080"/>
                <w:u w:val="single"/>
              </w:rPr>
              <w:t>Вопросы педиатрии</w:t>
            </w:r>
          </w:p>
          <w:p w:rsidR="00102178" w:rsidRDefault="00102178">
            <w:pPr>
              <w:spacing w:line="360" w:lineRule="auto"/>
              <w:rPr>
                <w:i/>
                <w:color w:val="000080"/>
                <w:u w:val="single"/>
              </w:rPr>
            </w:pPr>
            <w:r>
              <w:rPr>
                <w:color w:val="000080"/>
              </w:rPr>
              <w:t xml:space="preserve">ТЕМА: </w:t>
            </w:r>
            <w:r>
              <w:rPr>
                <w:i/>
                <w:color w:val="000080"/>
                <w:u w:val="single"/>
              </w:rPr>
              <w:t>Хронические гастродуодениты и язвенная болезнь у детей</w:t>
            </w:r>
          </w:p>
          <w:p w:rsidR="00102178" w:rsidRDefault="00102178">
            <w:pPr>
              <w:spacing w:line="360" w:lineRule="auto"/>
              <w:rPr>
                <w:i/>
                <w:u w:val="single"/>
              </w:rPr>
            </w:pPr>
            <w:r>
              <w:rPr>
                <w:color w:val="000080"/>
              </w:rPr>
              <w:t xml:space="preserve">ИСПОЛНИТЕЛЬ: </w:t>
            </w:r>
          </w:p>
        </w:tc>
      </w:tr>
      <w:tr w:rsidR="00102178">
        <w:trPr>
          <w:cantSplit/>
          <w:trHeight w:hRule="exact" w:val="2700"/>
        </w:trPr>
        <w:tc>
          <w:tcPr>
            <w:tcW w:w="4927" w:type="dxa"/>
            <w:gridSpan w:val="3"/>
            <w:vAlign w:val="center"/>
          </w:tcPr>
          <w:p w:rsidR="00102178" w:rsidRDefault="00102178">
            <w:pPr>
              <w:jc w:val="center"/>
            </w:pPr>
          </w:p>
        </w:tc>
        <w:tc>
          <w:tcPr>
            <w:tcW w:w="4927" w:type="dxa"/>
            <w:gridSpan w:val="3"/>
            <w:vAlign w:val="center"/>
          </w:tcPr>
          <w:p w:rsidR="00102178" w:rsidRDefault="00102178">
            <w:pPr>
              <w:jc w:val="center"/>
            </w:pPr>
          </w:p>
        </w:tc>
      </w:tr>
      <w:tr w:rsidR="00102178">
        <w:trPr>
          <w:trHeight w:hRule="exact" w:val="1200"/>
        </w:trPr>
        <w:tc>
          <w:tcPr>
            <w:tcW w:w="9854" w:type="dxa"/>
            <w:gridSpan w:val="6"/>
            <w:vAlign w:val="center"/>
          </w:tcPr>
          <w:p w:rsidR="00102178" w:rsidRDefault="00102178">
            <w:pPr>
              <w:jc w:val="center"/>
            </w:pPr>
          </w:p>
        </w:tc>
      </w:tr>
      <w:tr w:rsidR="00102178">
        <w:trPr>
          <w:trHeight w:hRule="exact" w:val="1200"/>
        </w:trPr>
        <w:tc>
          <w:tcPr>
            <w:tcW w:w="9854" w:type="dxa"/>
            <w:gridSpan w:val="6"/>
            <w:vAlign w:val="center"/>
          </w:tcPr>
          <w:p w:rsidR="00102178" w:rsidRDefault="00102178">
            <w:pPr>
              <w:spacing w:line="360" w:lineRule="auto"/>
              <w:jc w:val="center"/>
              <w:rPr>
                <w:b/>
                <w:spacing w:val="60"/>
                <w:sz w:val="28"/>
              </w:rPr>
            </w:pPr>
            <w:r>
              <w:rPr>
                <w:b/>
                <w:spacing w:val="60"/>
                <w:sz w:val="28"/>
              </w:rPr>
              <w:t>г. Братск</w:t>
            </w:r>
          </w:p>
          <w:p w:rsidR="00102178" w:rsidRDefault="00102178">
            <w:pPr>
              <w:spacing w:line="360" w:lineRule="auto"/>
              <w:jc w:val="center"/>
              <w:rPr>
                <w:b/>
                <w:spacing w:val="60"/>
                <w:sz w:val="28"/>
              </w:rPr>
            </w:pPr>
            <w:r>
              <w:rPr>
                <w:b/>
                <w:spacing w:val="60"/>
                <w:sz w:val="28"/>
              </w:rPr>
              <w:t>1999г.</w:t>
            </w:r>
          </w:p>
        </w:tc>
      </w:tr>
    </w:tbl>
    <w:p w:rsidR="00102178" w:rsidRDefault="00102178">
      <w:r>
        <w:rPr>
          <w:rStyle w:val="HTML"/>
          <w:vanish w:val="0"/>
        </w:rPr>
        <w:br w:type="page"/>
      </w:r>
      <w:r>
        <w:rPr>
          <w:rStyle w:val="HTML"/>
          <w:vanish w:val="0"/>
        </w:rPr>
        <w:br w:type="page"/>
      </w:r>
      <w:r>
        <w:rPr>
          <w:rStyle w:val="HTML"/>
        </w:rPr>
        <w:t>&lt;!DOCTYPE HTML PUBLIC "-//IETF//DTD HTML//EN"&gt;</w:t>
      </w:r>
    </w:p>
    <w:p w:rsidR="00102178" w:rsidRDefault="00102178">
      <w:pPr>
        <w:jc w:val="center"/>
        <w:rPr>
          <w:rStyle w:val="HTML"/>
        </w:rPr>
      </w:pPr>
      <w:r>
        <w:rPr>
          <w:rStyle w:val="HTML"/>
        </w:rPr>
        <w:t>&lt;!--webbot bot="ImageMap" startspan</w:t>
      </w:r>
    </w:p>
    <w:p w:rsidR="00102178" w:rsidRDefault="00102178">
      <w:pPr>
        <w:rPr>
          <w:rStyle w:val="HTML"/>
        </w:rPr>
      </w:pPr>
      <w:r>
        <w:rPr>
          <w:rStyle w:val="HTML"/>
        </w:rPr>
        <w:t>rectangle=" (5,3) (478, 97)  http://www.rmj.net/index.htm##_top"</w:t>
      </w:r>
    </w:p>
    <w:p w:rsidR="00102178" w:rsidRDefault="00102178">
      <w:pPr>
        <w:rPr>
          <w:rStyle w:val="HTML"/>
        </w:rPr>
      </w:pPr>
      <w:r>
        <w:rPr>
          <w:rStyle w:val="HTML"/>
        </w:rPr>
        <w:t>src="http://www.rmj.net/7_04/rmj2.gif" border="0" width="480"</w:t>
      </w:r>
    </w:p>
    <w:p w:rsidR="00102178" w:rsidRDefault="00102178">
      <w:pPr>
        <w:rPr>
          <w:rStyle w:val="HTML"/>
        </w:rPr>
      </w:pPr>
      <w:r>
        <w:rPr>
          <w:rStyle w:val="HTML"/>
        </w:rPr>
        <w:t>height="98" --&gt;&lt;MAP NAME="FrontPageMap0"&gt;&lt;AREA SHAPE="RECT" COORDS="5, 3, 478, 97" HREF="http://www.rmj.net/index.htm" TARGET="_top"&gt;&lt;/MAP&gt;</w:t>
      </w:r>
      <w:r>
        <w:fldChar w:fldCharType="begin"/>
      </w:r>
      <w:r>
        <w:instrText>PRIVATE</w:instrText>
      </w:r>
      <w:r>
        <w:fldChar w:fldCharType="end"/>
      </w:r>
      <w:r w:rsidR="001B27AB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in;height:72.75pt" fillcolor="window"/>
        </w:pict>
      </w:r>
      <w:r>
        <w:rPr>
          <w:rStyle w:val="HTML"/>
        </w:rPr>
        <w:t>&lt;!--webbot bot="ImageMap" i-checksum="32981"</w:t>
      </w:r>
    </w:p>
    <w:p w:rsidR="00102178" w:rsidRDefault="00102178">
      <w:r>
        <w:rPr>
          <w:rStyle w:val="HTML"/>
        </w:rPr>
        <w:t>endspan --&gt;</w:t>
      </w:r>
    </w:p>
    <w:p w:rsidR="00102178" w:rsidRDefault="001B27AB">
      <w:pPr>
        <w:jc w:val="center"/>
      </w:pPr>
      <w:r>
        <w:rPr>
          <w:noProof/>
        </w:rPr>
        <w:pict>
          <v:shape id="_x0000_i1026" type="#_x0000_t75" style="width:225pt;height:44.25pt" fillcolor="window"/>
        </w:pict>
      </w:r>
    </w:p>
    <w:p w:rsidR="00102178" w:rsidRDefault="00102178">
      <w:pPr>
        <w:jc w:val="center"/>
      </w:pPr>
      <w:r>
        <w:rPr>
          <w:b/>
          <w:sz w:val="28"/>
        </w:rPr>
        <w:t>Хронические гастродуодениты и язвенная болезнь у детей</w:t>
      </w:r>
      <w:r>
        <w:rPr>
          <w:b/>
          <w:sz w:val="28"/>
        </w:rPr>
        <w:br/>
      </w:r>
      <w:r>
        <w:t>CHRONIC GASTRODUODENITIS AND PEPTIC ULCER IN CHILDREN</w:t>
      </w:r>
    </w:p>
    <w:p w:rsidR="00102178" w:rsidRDefault="00102178">
      <w:r>
        <w:rPr>
          <w:i/>
        </w:rPr>
        <w:t>Проф. А.И. Волков</w:t>
      </w:r>
      <w:r>
        <w:rPr>
          <w:i/>
        </w:rPr>
        <w:br/>
        <w:t>Нижегородский НИИ детской гастроэнтерологии Минздрава РФ</w:t>
      </w:r>
      <w:r>
        <w:rPr>
          <w:i/>
        </w:rPr>
        <w:br/>
        <w:t>A.I. Volkov</w:t>
      </w:r>
      <w:r>
        <w:rPr>
          <w:i/>
        </w:rPr>
        <w:br/>
        <w:t>Nizhni Novgorod Research Institute of Pediatric Gastroenterology, Ministry of Health of the Russian Federation</w:t>
      </w:r>
    </w:p>
    <w:p w:rsidR="00102178" w:rsidRDefault="00102178">
      <w:r>
        <w:rPr>
          <w:b/>
          <w:sz w:val="36"/>
        </w:rPr>
        <w:t>А</w:t>
      </w:r>
      <w:r>
        <w:t xml:space="preserve">ктуальность проблемы хронических гастродуоденитов и язвенной болезни обусловлена значительной распространенностью у детей заболеваний органов пищеварения, среди которых ведущее место занимает гастродуоденальная патология. </w:t>
      </w:r>
      <w:r>
        <w:br/>
        <w:t xml:space="preserve">   Анализ показателей распространенности болезней пищеварительной системы у детей в Российской Федерации показывает, что за последние 20 лет отмечается значительный рост гастроэнтерологической патологии у детей и имеет место неконтролируемое увеличение частоты заболеваний желудка и двенадцатиперстной кишки. Так, по данным эпидемиологических исследований, проведенных в Нижегородском регионе в 70-е годы [1], распространенность неинфекционных гастроэнтерологических заболеваний у детей дошкольного и школьного возраста составила соответственно 61,8 и 81,5%o. Аналогичные исследования в 90-е годы [2] выявили увеличение этих показателей - соответственно 398,1 и 365,2%o. </w:t>
      </w:r>
      <w:r>
        <w:br/>
        <w:t xml:space="preserve">   Изучение заболеваемости в регионах Российской Федерации за 1996-1997 гг. показало, что данные обращаемости и специальных эпидемиологических исследований существенно расходятся: в Башкортостане соответственно 191,9 и 428,0%o. Ленинградской области - 101,9 и 487,7%o, Курской области - 152,7 и 467,7%o. Очень низкие показатели гастроэнтерологической заболеваемости детей (менее 50%) отмечены в Калининградской, Орловской, Волгоградской, Амурской и других областях, что не отражает истинную распространенность болезней пищеварительной системы у детей в этих регионах. </w:t>
      </w:r>
      <w:r>
        <w:br/>
        <w:t xml:space="preserve">   Вышеизложенное имеет прямое отношение к проблеме хронических гастродуоденитов и язвенной болезни у детей и свидетельствует о несвоевременной их диагностике, поскольку установлено, что в структуре патологии пищеварительной системы заболевания желудка и двенадцатиперстной кишки составляют 50-60% [1-3]. </w:t>
      </w:r>
      <w:r>
        <w:br/>
      </w:r>
      <w:bookmarkStart w:id="0" w:name="T1"/>
      <w:bookmarkEnd w:id="0"/>
    </w:p>
    <w:p w:rsidR="00102178" w:rsidRDefault="00102178"/>
    <w:p w:rsidR="00102178" w:rsidRDefault="00102178"/>
    <w:p w:rsidR="00102178" w:rsidRDefault="00102178"/>
    <w:p w:rsidR="00102178" w:rsidRDefault="00102178"/>
    <w:p w:rsidR="00102178" w:rsidRDefault="00102178">
      <w:pPr>
        <w:pStyle w:val="2"/>
      </w:pPr>
      <w:r>
        <w:t>Таблица 1. Схема Шея</w:t>
      </w:r>
    </w:p>
    <w:tbl>
      <w:tblPr>
        <w:tblW w:w="0" w:type="auto"/>
        <w:tblInd w:w="-2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810"/>
        <w:gridCol w:w="3810"/>
      </w:tblGrid>
      <w:tr w:rsidR="00102178">
        <w:tc>
          <w:tcPr>
            <w:tcW w:w="381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102178" w:rsidRDefault="00102178">
            <w:r>
              <w:fldChar w:fldCharType="begin"/>
            </w:r>
            <w:r>
              <w:instrText>PRIVATE</w:instrText>
            </w:r>
            <w:r>
              <w:fldChar w:fldCharType="end"/>
            </w:r>
            <w:r>
              <w:t>Факторы агрессии</w:t>
            </w:r>
          </w:p>
        </w:tc>
        <w:tc>
          <w:tcPr>
            <w:tcW w:w="381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102178" w:rsidRDefault="00102178">
            <w:r>
              <w:t>Факторы защиты</w:t>
            </w:r>
          </w:p>
        </w:tc>
      </w:tr>
      <w:tr w:rsidR="00102178">
        <w:tc>
          <w:tcPr>
            <w:tcW w:w="381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102178" w:rsidRDefault="00102178">
            <w:r>
              <w:t>Гиперпродукция HCL</w:t>
            </w:r>
          </w:p>
        </w:tc>
        <w:tc>
          <w:tcPr>
            <w:tcW w:w="381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102178" w:rsidRDefault="00102178">
            <w:r>
              <w:t xml:space="preserve">Слизистный барьер: </w:t>
            </w:r>
          </w:p>
        </w:tc>
      </w:tr>
      <w:tr w:rsidR="00102178">
        <w:tc>
          <w:tcPr>
            <w:tcW w:w="381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102178" w:rsidRDefault="00102178">
            <w:r>
              <w:t>- ваготония</w:t>
            </w:r>
            <w:r>
              <w:br/>
              <w:t>- повышенная возбудимость обкладочных клеток</w:t>
            </w:r>
          </w:p>
        </w:tc>
        <w:tc>
          <w:tcPr>
            <w:tcW w:w="381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102178" w:rsidRDefault="00102178">
            <w:r>
              <w:t xml:space="preserve">- муцин, сиаловые кислоты; </w:t>
            </w:r>
            <w:r>
              <w:br/>
              <w:t>- бикарбонаты</w:t>
            </w:r>
            <w:r>
              <w:br/>
              <w:t>- обратная диффузия ионов Н</w:t>
            </w:r>
            <w:r>
              <w:rPr>
                <w:vertAlign w:val="superscript"/>
              </w:rPr>
              <w:t>+</w:t>
            </w:r>
          </w:p>
        </w:tc>
      </w:tr>
      <w:tr w:rsidR="00102178">
        <w:tc>
          <w:tcPr>
            <w:tcW w:w="381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102178" w:rsidRDefault="00102178">
            <w:r>
              <w:t> </w:t>
            </w:r>
          </w:p>
        </w:tc>
        <w:tc>
          <w:tcPr>
            <w:tcW w:w="381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102178" w:rsidRDefault="00102178">
            <w:r>
              <w:t>Регенерация</w:t>
            </w:r>
          </w:p>
        </w:tc>
      </w:tr>
      <w:tr w:rsidR="00102178">
        <w:tc>
          <w:tcPr>
            <w:tcW w:w="381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102178" w:rsidRDefault="00102178">
            <w:r>
              <w:t>Нарушение кровоснабжения слизистой оболочки</w:t>
            </w:r>
          </w:p>
        </w:tc>
        <w:tc>
          <w:tcPr>
            <w:tcW w:w="381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102178" w:rsidRDefault="00102178">
            <w:r>
              <w:t>Достаточное кровоснабжение</w:t>
            </w:r>
          </w:p>
        </w:tc>
      </w:tr>
      <w:tr w:rsidR="00102178">
        <w:tc>
          <w:tcPr>
            <w:tcW w:w="381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102178" w:rsidRDefault="00102178">
            <w:r>
              <w:t>Нарушение антродуоденального кислотного тромоза</w:t>
            </w:r>
          </w:p>
        </w:tc>
        <w:tc>
          <w:tcPr>
            <w:tcW w:w="381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102178" w:rsidRDefault="00102178">
            <w:r>
              <w:t>Антродуоденитный кислотный тормоз</w:t>
            </w:r>
          </w:p>
        </w:tc>
      </w:tr>
      <w:tr w:rsidR="00102178">
        <w:tc>
          <w:tcPr>
            <w:tcW w:w="381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102178" w:rsidRDefault="00102178">
            <w:r>
              <w:t>Желчная кислота и лизолецитин</w:t>
            </w:r>
          </w:p>
        </w:tc>
        <w:tc>
          <w:tcPr>
            <w:tcW w:w="381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102178" w:rsidRDefault="00102178">
            <w:r>
              <w:t> </w:t>
            </w:r>
          </w:p>
        </w:tc>
      </w:tr>
    </w:tbl>
    <w:p w:rsidR="00102178" w:rsidRDefault="00102178">
      <w:r>
        <w:t xml:space="preserve">   Поздняя диагностика хронических гастродуоденитов и язвенной болезни у детей (63%) во многом объясняется малоинформативным началом болезни, частым вовлечением в патологический процесс других органов пищеварительной системы, недостаточным знакомством врачей с клиническими проявлениями заболевания и сложностью инструментального обследования ребенка. </w:t>
      </w:r>
      <w:r>
        <w:br/>
      </w:r>
      <w:bookmarkStart w:id="1" w:name="T2"/>
      <w:bookmarkEnd w:id="1"/>
      <w:r>
        <w:rPr>
          <w:b/>
        </w:rPr>
        <w:t>Таблица 2. Классификация гастритов и гастродуоденитов у детей</w:t>
      </w:r>
    </w:p>
    <w:tbl>
      <w:tblPr>
        <w:tblW w:w="0" w:type="auto"/>
        <w:tblInd w:w="-2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704"/>
        <w:gridCol w:w="1704"/>
        <w:gridCol w:w="1704"/>
        <w:gridCol w:w="1704"/>
        <w:gridCol w:w="1704"/>
      </w:tblGrid>
      <w:tr w:rsidR="00102178">
        <w:tc>
          <w:tcPr>
            <w:tcW w:w="170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102178" w:rsidRDefault="00102178">
            <w:pPr>
              <w:jc w:val="center"/>
            </w:pPr>
            <w:r>
              <w:fldChar w:fldCharType="begin"/>
            </w:r>
            <w:r>
              <w:instrText>PRIVATE</w:instrText>
            </w:r>
            <w:r>
              <w:fldChar w:fldCharType="end"/>
            </w:r>
            <w:r>
              <w:rPr>
                <w:sz w:val="20"/>
              </w:rPr>
              <w:t>Этиология</w:t>
            </w:r>
          </w:p>
        </w:tc>
        <w:tc>
          <w:tcPr>
            <w:tcW w:w="170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102178" w:rsidRDefault="00102178">
            <w:pPr>
              <w:jc w:val="center"/>
            </w:pPr>
            <w:r>
              <w:rPr>
                <w:sz w:val="20"/>
              </w:rPr>
              <w:t>Локализация</w:t>
            </w:r>
          </w:p>
        </w:tc>
        <w:tc>
          <w:tcPr>
            <w:tcW w:w="170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102178" w:rsidRDefault="00102178">
            <w:pPr>
              <w:jc w:val="center"/>
            </w:pPr>
            <w:r>
              <w:rPr>
                <w:sz w:val="20"/>
              </w:rPr>
              <w:t>Течение заболевания</w:t>
            </w:r>
          </w:p>
        </w:tc>
        <w:tc>
          <w:tcPr>
            <w:tcW w:w="170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102178" w:rsidRDefault="00102178">
            <w:pPr>
              <w:jc w:val="center"/>
            </w:pPr>
            <w:r>
              <w:rPr>
                <w:sz w:val="20"/>
              </w:rPr>
              <w:t>Фаза (стадия)</w:t>
            </w:r>
          </w:p>
        </w:tc>
        <w:tc>
          <w:tcPr>
            <w:tcW w:w="170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102178" w:rsidRDefault="00102178">
            <w:pPr>
              <w:jc w:val="center"/>
            </w:pPr>
            <w:r>
              <w:rPr>
                <w:sz w:val="20"/>
              </w:rPr>
              <w:t>Функциональное заболеваниясостояние желудка</w:t>
            </w:r>
          </w:p>
        </w:tc>
      </w:tr>
      <w:tr w:rsidR="00102178">
        <w:tc>
          <w:tcPr>
            <w:tcW w:w="170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102178" w:rsidRDefault="00102178">
            <w:r>
              <w:rPr>
                <w:sz w:val="20"/>
              </w:rPr>
              <w:t>Первичный (экзогенный) гастрит, гастродуоденит</w:t>
            </w:r>
          </w:p>
        </w:tc>
        <w:tc>
          <w:tcPr>
            <w:tcW w:w="170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102178" w:rsidRDefault="00102178">
            <w:r>
              <w:rPr>
                <w:sz w:val="20"/>
              </w:rPr>
              <w:t>Очаговый гастрит: фундальный антральный</w:t>
            </w:r>
          </w:p>
        </w:tc>
        <w:tc>
          <w:tcPr>
            <w:tcW w:w="170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102178" w:rsidRDefault="00102178">
            <w:r>
              <w:rPr>
                <w:sz w:val="20"/>
              </w:rPr>
              <w:t xml:space="preserve">Латентное </w:t>
            </w:r>
          </w:p>
        </w:tc>
        <w:tc>
          <w:tcPr>
            <w:tcW w:w="170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102178" w:rsidRDefault="00102178">
            <w:r>
              <w:rPr>
                <w:sz w:val="20"/>
              </w:rPr>
              <w:t xml:space="preserve">Обострение </w:t>
            </w:r>
            <w:r>
              <w:rPr>
                <w:sz w:val="20"/>
              </w:rPr>
              <w:br/>
              <w:t>Неполная клиническая ремиссия</w:t>
            </w:r>
          </w:p>
        </w:tc>
        <w:tc>
          <w:tcPr>
            <w:tcW w:w="170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102178" w:rsidRDefault="00102178">
            <w:r>
              <w:rPr>
                <w:sz w:val="20"/>
              </w:rPr>
              <w:t xml:space="preserve">Кислотность желудочного сока и моторика: повышены; </w:t>
            </w:r>
            <w:r>
              <w:rPr>
                <w:sz w:val="20"/>
              </w:rPr>
              <w:br/>
              <w:t xml:space="preserve">понижены; </w:t>
            </w:r>
            <w:r>
              <w:rPr>
                <w:sz w:val="20"/>
              </w:rPr>
              <w:br/>
              <w:t>в норме</w:t>
            </w:r>
          </w:p>
        </w:tc>
      </w:tr>
      <w:tr w:rsidR="00102178">
        <w:tc>
          <w:tcPr>
            <w:tcW w:w="170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102178" w:rsidRDefault="00102178">
            <w:r>
              <w:rPr>
                <w:sz w:val="20"/>
              </w:rPr>
              <w:t>Вторичный (эндогенный) гастрит, гастродуоденит</w:t>
            </w:r>
          </w:p>
        </w:tc>
        <w:tc>
          <w:tcPr>
            <w:tcW w:w="170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102178" w:rsidRDefault="00102178">
            <w:r>
              <w:rPr>
                <w:sz w:val="20"/>
              </w:rPr>
              <w:t>Распространенный гастрит Гастродуоденит</w:t>
            </w:r>
          </w:p>
        </w:tc>
        <w:tc>
          <w:tcPr>
            <w:tcW w:w="170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102178" w:rsidRDefault="00102178">
            <w:r>
              <w:rPr>
                <w:sz w:val="20"/>
              </w:rPr>
              <w:t>Монотонное</w:t>
            </w:r>
            <w:r>
              <w:rPr>
                <w:sz w:val="20"/>
              </w:rPr>
              <w:br/>
              <w:t>Рецидивирующее</w:t>
            </w:r>
          </w:p>
        </w:tc>
        <w:tc>
          <w:tcPr>
            <w:tcW w:w="170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102178" w:rsidRDefault="00102178">
            <w:r>
              <w:rPr>
                <w:sz w:val="20"/>
              </w:rPr>
              <w:t xml:space="preserve">Клиническая ремиссия </w:t>
            </w:r>
            <w:r>
              <w:rPr>
                <w:sz w:val="20"/>
              </w:rPr>
              <w:br/>
              <w:t>Клинико-эндоскопическая ремиссия</w:t>
            </w:r>
          </w:p>
        </w:tc>
        <w:tc>
          <w:tcPr>
            <w:tcW w:w="170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102178" w:rsidRDefault="00102178">
            <w:r>
              <w:t> </w:t>
            </w:r>
          </w:p>
        </w:tc>
      </w:tr>
    </w:tbl>
    <w:p w:rsidR="00102178" w:rsidRDefault="00102178">
      <w:r>
        <w:t xml:space="preserve">   Хронические заболевания желудка и двенадцатиперстной кишки часто начинаются в дошкольном и школьном возрасте; рецидивирующее течение болезни приводит к выраженным анатомическим изменениям органа и в дальнейшем к потере трудоспособности и инвалидизации взрослого населения. </w:t>
      </w:r>
      <w:r>
        <w:br/>
        <w:t xml:space="preserve">   Наблюдения в детской гастроэнтерологической клинике свидетельствуют, что в последние 10 лет у детей регистрируется увеличение частоты тяжелых форм гастритов и гастродуоденитов, приводящих к развитию язвенной болезни [4], множественных эрозий [5, 6] и субатрофии, атрофии гастродуоденальной слизистой оболочки [4, 7]. </w:t>
      </w:r>
      <w:r>
        <w:br/>
      </w:r>
      <w:bookmarkStart w:id="2" w:name="T3"/>
      <w:bookmarkEnd w:id="2"/>
    </w:p>
    <w:p w:rsidR="00102178" w:rsidRDefault="00102178"/>
    <w:p w:rsidR="00102178" w:rsidRDefault="00102178"/>
    <w:p w:rsidR="00102178" w:rsidRDefault="00102178">
      <w:pPr>
        <w:pStyle w:val="af5"/>
      </w:pPr>
      <w:r>
        <w:t>Таблица 3. Морфологическая характеристика слизистой желудка и двенадцатиперстной кишки</w:t>
      </w:r>
    </w:p>
    <w:tbl>
      <w:tblPr>
        <w:tblW w:w="0" w:type="auto"/>
        <w:tblInd w:w="-2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60"/>
        <w:gridCol w:w="4260"/>
      </w:tblGrid>
      <w:tr w:rsidR="00102178">
        <w:tc>
          <w:tcPr>
            <w:tcW w:w="426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102178" w:rsidRDefault="00102178">
            <w:pPr>
              <w:jc w:val="center"/>
            </w:pPr>
            <w:r>
              <w:fldChar w:fldCharType="begin"/>
            </w:r>
            <w:r>
              <w:instrText>PRIVATE</w:instrText>
            </w:r>
            <w:r>
              <w:fldChar w:fldCharType="end"/>
            </w:r>
            <w:r>
              <w:rPr>
                <w:b/>
              </w:rPr>
              <w:t>Эндоскопическая</w:t>
            </w:r>
          </w:p>
        </w:tc>
        <w:tc>
          <w:tcPr>
            <w:tcW w:w="426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102178" w:rsidRDefault="00102178">
            <w:pPr>
              <w:jc w:val="center"/>
            </w:pPr>
            <w:r>
              <w:rPr>
                <w:b/>
              </w:rPr>
              <w:t>Гистологическая</w:t>
            </w:r>
          </w:p>
        </w:tc>
      </w:tr>
      <w:tr w:rsidR="00102178">
        <w:tc>
          <w:tcPr>
            <w:tcW w:w="426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102178" w:rsidRDefault="00102178">
            <w:r>
              <w:t>Поверхностный гастрит (гастродуоденит)</w:t>
            </w:r>
          </w:p>
        </w:tc>
        <w:tc>
          <w:tcPr>
            <w:tcW w:w="426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102178" w:rsidRDefault="00102178">
            <w:r>
              <w:t>Поверхностный гастрит (гастродуоденит)</w:t>
            </w:r>
          </w:p>
        </w:tc>
      </w:tr>
      <w:tr w:rsidR="00102178">
        <w:tc>
          <w:tcPr>
            <w:tcW w:w="426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102178" w:rsidRDefault="00102178">
            <w:r>
              <w:t>"Гипертрофический гастрит" (гастродуоденит)</w:t>
            </w:r>
          </w:p>
        </w:tc>
        <w:tc>
          <w:tcPr>
            <w:tcW w:w="426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102178" w:rsidRDefault="00102178">
            <w:r>
              <w:t>Диффузный гастрит (гастродуоденит)</w:t>
            </w:r>
          </w:p>
        </w:tc>
      </w:tr>
      <w:tr w:rsidR="00102178">
        <w:tc>
          <w:tcPr>
            <w:tcW w:w="426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102178" w:rsidRDefault="00102178">
            <w:r>
              <w:t>Эрозивный гастрит (гастродуоденит)</w:t>
            </w:r>
          </w:p>
        </w:tc>
        <w:tc>
          <w:tcPr>
            <w:tcW w:w="426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102178" w:rsidRDefault="00102178">
            <w:r>
              <w:t>без атрофии желез</w:t>
            </w:r>
          </w:p>
        </w:tc>
      </w:tr>
      <w:tr w:rsidR="00102178">
        <w:tc>
          <w:tcPr>
            <w:tcW w:w="426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102178" w:rsidRDefault="00102178">
            <w:r>
              <w:t>Геморрагический гастрит (гастродуоденит)</w:t>
            </w:r>
          </w:p>
        </w:tc>
        <w:tc>
          <w:tcPr>
            <w:tcW w:w="426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102178" w:rsidRDefault="00102178">
            <w:r>
              <w:t>с атрофией желез</w:t>
            </w:r>
          </w:p>
        </w:tc>
      </w:tr>
      <w:tr w:rsidR="00102178">
        <w:tc>
          <w:tcPr>
            <w:tcW w:w="426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102178" w:rsidRDefault="00102178">
            <w:r>
              <w:t>Субатрофический (атрофический) гастрит (гастродуоденит)</w:t>
            </w:r>
          </w:p>
        </w:tc>
        <w:tc>
          <w:tcPr>
            <w:tcW w:w="426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102178" w:rsidRDefault="00102178">
            <w:r>
              <w:t xml:space="preserve">гигантский гипертрофический </w:t>
            </w:r>
          </w:p>
        </w:tc>
      </w:tr>
      <w:tr w:rsidR="00102178">
        <w:tc>
          <w:tcPr>
            <w:tcW w:w="426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102178" w:rsidRDefault="00102178">
            <w:r>
              <w:t>Смешанный гастрит (гастродуоденит)</w:t>
            </w:r>
          </w:p>
        </w:tc>
        <w:tc>
          <w:tcPr>
            <w:tcW w:w="426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102178" w:rsidRDefault="00102178">
            <w:r>
              <w:t>(болезнь Менетрие)</w:t>
            </w:r>
          </w:p>
        </w:tc>
      </w:tr>
    </w:tbl>
    <w:p w:rsidR="00102178" w:rsidRDefault="00102178">
      <w:pPr>
        <w:sectPr w:rsidR="00102178">
          <w:pgSz w:w="11906" w:h="16838" w:code="9"/>
          <w:pgMar w:top="1134" w:right="567" w:bottom="1134" w:left="1134" w:header="284" w:footer="0" w:gutter="0"/>
          <w:cols w:space="720"/>
          <w:noEndnote/>
        </w:sectPr>
      </w:pPr>
      <w:r>
        <w:t xml:space="preserve">   Язвенная болезнь у детей на современном этапе также характеризуется неблагоприятным течением с формированием множественных и хронических язв [8, 9], не поддающихся консервативной терапии и требующих хирургического вмешательства [10]. </w:t>
      </w:r>
      <w:r>
        <w:br/>
        <w:t xml:space="preserve">   Хронический гастродуоденит и язвенная болезнь - многофакторные и гетерогенные заболевания, обусловленные нарушением основных регулирующих систем организма (нервной, эндокринной и иммунной), дисбалансом между местными факторами "агрессии" и "защиты", нарушением регенерации и повреждением гастродуоденальной слизистой оболочки. В конечном итоге нозологическая форма гастродуоденальной патологии и определяется нарушением регенерации, особенностями морфофункциональных нарушений слизистой оболочки. </w:t>
      </w:r>
      <w:r>
        <w:br/>
      </w:r>
      <w:bookmarkStart w:id="3" w:name="T4"/>
      <w:bookmarkEnd w:id="3"/>
    </w:p>
    <w:p w:rsidR="00102178" w:rsidRDefault="00102178">
      <w:pPr>
        <w:pStyle w:val="3"/>
      </w:pPr>
      <w:r>
        <w:t>Таблица 4. Классификация язвенной болезни</w:t>
      </w:r>
    </w:p>
    <w:tbl>
      <w:tblPr>
        <w:tblW w:w="0" w:type="auto"/>
        <w:tblInd w:w="-2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851"/>
        <w:gridCol w:w="1559"/>
        <w:gridCol w:w="9"/>
        <w:gridCol w:w="1125"/>
        <w:gridCol w:w="8"/>
        <w:gridCol w:w="1126"/>
        <w:gridCol w:w="17"/>
        <w:gridCol w:w="1255"/>
        <w:gridCol w:w="23"/>
        <w:gridCol w:w="1115"/>
        <w:gridCol w:w="26"/>
        <w:gridCol w:w="1250"/>
        <w:gridCol w:w="36"/>
        <w:gridCol w:w="956"/>
        <w:gridCol w:w="1190"/>
      </w:tblGrid>
      <w:tr w:rsidR="00102178">
        <w:trPr>
          <w:gridAfter w:val="3"/>
          <w:wAfter w:w="2182" w:type="dxa"/>
          <w:cantSplit/>
          <w:trHeight w:val="1471"/>
        </w:trPr>
        <w:tc>
          <w:tcPr>
            <w:tcW w:w="85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textDirection w:val="btLr"/>
            <w:vAlign w:val="center"/>
          </w:tcPr>
          <w:p w:rsidR="00102178" w:rsidRDefault="00102178">
            <w:pPr>
              <w:ind w:left="113" w:right="113"/>
              <w:jc w:val="center"/>
            </w:pPr>
            <w:r>
              <w:rPr>
                <w:b/>
                <w:sz w:val="20"/>
              </w:rPr>
              <w:t>Стадия</w:t>
            </w:r>
          </w:p>
        </w:tc>
        <w:tc>
          <w:tcPr>
            <w:tcW w:w="155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02178" w:rsidRDefault="00102178">
            <w:pPr>
              <w:jc w:val="center"/>
            </w:pPr>
            <w:r>
              <w:rPr>
                <w:b/>
                <w:sz w:val="20"/>
              </w:rPr>
              <w:t>Эндоскопическая характеристика стадий болезни</w:t>
            </w:r>
          </w:p>
        </w:tc>
        <w:tc>
          <w:tcPr>
            <w:tcW w:w="1134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textDirection w:val="btLr"/>
            <w:vAlign w:val="center"/>
          </w:tcPr>
          <w:p w:rsidR="00102178" w:rsidRDefault="00102178">
            <w:pPr>
              <w:ind w:left="113" w:right="113"/>
              <w:jc w:val="center"/>
            </w:pPr>
            <w:r>
              <w:rPr>
                <w:b/>
                <w:sz w:val="20"/>
              </w:rPr>
              <w:t>Фаза</w:t>
            </w:r>
          </w:p>
        </w:tc>
        <w:tc>
          <w:tcPr>
            <w:tcW w:w="1134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textDirection w:val="btLr"/>
            <w:vAlign w:val="center"/>
          </w:tcPr>
          <w:p w:rsidR="00102178" w:rsidRDefault="00102178">
            <w:pPr>
              <w:ind w:left="113" w:right="113"/>
              <w:jc w:val="center"/>
            </w:pPr>
            <w:r>
              <w:rPr>
                <w:b/>
                <w:sz w:val="20"/>
              </w:rPr>
              <w:t>Локализация</w:t>
            </w:r>
          </w:p>
        </w:tc>
        <w:tc>
          <w:tcPr>
            <w:tcW w:w="1272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textDirection w:val="btLr"/>
            <w:vAlign w:val="center"/>
          </w:tcPr>
          <w:p w:rsidR="00102178" w:rsidRDefault="00102178">
            <w:pPr>
              <w:ind w:left="113" w:right="113"/>
              <w:jc w:val="center"/>
            </w:pPr>
            <w:r>
              <w:rPr>
                <w:b/>
                <w:sz w:val="20"/>
              </w:rPr>
              <w:t>Форма</w:t>
            </w:r>
          </w:p>
        </w:tc>
        <w:tc>
          <w:tcPr>
            <w:tcW w:w="1138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textDirection w:val="btLr"/>
            <w:vAlign w:val="center"/>
          </w:tcPr>
          <w:p w:rsidR="00102178" w:rsidRDefault="00102178">
            <w:pPr>
              <w:ind w:left="113" w:right="113"/>
              <w:jc w:val="center"/>
            </w:pPr>
            <w:r>
              <w:rPr>
                <w:b/>
                <w:sz w:val="20"/>
              </w:rPr>
              <w:t>Течение</w:t>
            </w:r>
          </w:p>
        </w:tc>
        <w:tc>
          <w:tcPr>
            <w:tcW w:w="1276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02178" w:rsidRDefault="00102178">
            <w:pPr>
              <w:jc w:val="center"/>
            </w:pPr>
            <w:r>
              <w:rPr>
                <w:b/>
                <w:sz w:val="20"/>
              </w:rPr>
              <w:t>Функциональная характеристика</w:t>
            </w:r>
          </w:p>
        </w:tc>
      </w:tr>
      <w:tr w:rsidR="00102178">
        <w:trPr>
          <w:gridAfter w:val="2"/>
          <w:wAfter w:w="2146" w:type="dxa"/>
          <w:cantSplit/>
          <w:trHeight w:val="915"/>
        </w:trPr>
        <w:tc>
          <w:tcPr>
            <w:tcW w:w="85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102178" w:rsidRDefault="00102178">
            <w:r>
              <w:rPr>
                <w:sz w:val="20"/>
              </w:rPr>
              <w:t>1</w:t>
            </w:r>
          </w:p>
        </w:tc>
        <w:tc>
          <w:tcPr>
            <w:tcW w:w="1568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102178" w:rsidRDefault="00102178">
            <w:r>
              <w:rPr>
                <w:sz w:val="20"/>
              </w:rPr>
              <w:t>"Свежая язва"</w:t>
            </w:r>
          </w:p>
        </w:tc>
        <w:tc>
          <w:tcPr>
            <w:tcW w:w="1133" w:type="dxa"/>
            <w:gridSpan w:val="2"/>
            <w:vMerge w:val="restar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textDirection w:val="btLr"/>
          </w:tcPr>
          <w:p w:rsidR="00102178" w:rsidRDefault="00102178">
            <w:pPr>
              <w:ind w:left="113" w:right="113"/>
            </w:pPr>
            <w:r>
              <w:rPr>
                <w:sz w:val="20"/>
              </w:rPr>
              <w:t>Обострение</w:t>
            </w:r>
            <w:r>
              <w:rPr>
                <w:sz w:val="20"/>
              </w:rPr>
              <w:br/>
              <w:t xml:space="preserve">Неполная клиническая ремиссия </w:t>
            </w:r>
            <w:r>
              <w:rPr>
                <w:sz w:val="20"/>
              </w:rPr>
              <w:br/>
              <w:t>Клиническая ремиссия Клинико-эндоскопическая ремиссия</w:t>
            </w:r>
          </w:p>
        </w:tc>
        <w:tc>
          <w:tcPr>
            <w:tcW w:w="1143" w:type="dxa"/>
            <w:gridSpan w:val="2"/>
            <w:vMerge w:val="restar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textDirection w:val="btLr"/>
          </w:tcPr>
          <w:p w:rsidR="00102178" w:rsidRDefault="00102178">
            <w:pPr>
              <w:ind w:left="113" w:right="113"/>
            </w:pPr>
            <w:r>
              <w:rPr>
                <w:b/>
                <w:sz w:val="20"/>
              </w:rPr>
              <w:t>В желудке:</w:t>
            </w:r>
            <w:r>
              <w:rPr>
                <w:sz w:val="20"/>
              </w:rPr>
              <w:t xml:space="preserve"> Субкардинальный отдел малая кривизна препилорические отделы </w:t>
            </w:r>
            <w:r>
              <w:rPr>
                <w:sz w:val="20"/>
              </w:rPr>
              <w:br/>
              <w:t>В двенадцатиперстной кишке: луковица постбульбарный отдел</w:t>
            </w:r>
            <w:r>
              <w:rPr>
                <w:sz w:val="20"/>
              </w:rPr>
              <w:br/>
            </w:r>
            <w:r>
              <w:rPr>
                <w:b/>
                <w:sz w:val="20"/>
              </w:rPr>
              <w:t>Двойная локализация</w:t>
            </w:r>
          </w:p>
        </w:tc>
        <w:tc>
          <w:tcPr>
            <w:tcW w:w="1278" w:type="dxa"/>
            <w:gridSpan w:val="2"/>
            <w:vMerge w:val="restar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textDirection w:val="btLr"/>
          </w:tcPr>
          <w:p w:rsidR="00102178" w:rsidRDefault="00102178">
            <w:pPr>
              <w:ind w:left="113" w:right="113"/>
            </w:pPr>
            <w:r>
              <w:rPr>
                <w:sz w:val="20"/>
              </w:rPr>
              <w:t xml:space="preserve">Не осложненная </w:t>
            </w:r>
            <w:r>
              <w:rPr>
                <w:sz w:val="20"/>
              </w:rPr>
              <w:br/>
              <w:t>Осложненная: Кровотечением пенетрацией перфорацией стенозом привратника перивисцеритом</w:t>
            </w:r>
          </w:p>
        </w:tc>
        <w:tc>
          <w:tcPr>
            <w:tcW w:w="1141" w:type="dxa"/>
            <w:gridSpan w:val="2"/>
            <w:vMerge w:val="restar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textDirection w:val="btLr"/>
          </w:tcPr>
          <w:p w:rsidR="00102178" w:rsidRDefault="00102178">
            <w:pPr>
              <w:ind w:left="113" w:right="113"/>
            </w:pPr>
            <w:r>
              <w:rPr>
                <w:sz w:val="20"/>
              </w:rPr>
              <w:t>Впервые выявленная язва и моторика: рецидивирующее Редко(ремиссии более 3 лет)</w:t>
            </w:r>
            <w:r>
              <w:rPr>
                <w:sz w:val="20"/>
              </w:rPr>
              <w:br/>
              <w:t>Часто рецидивирующее (ремиссии менее 3 лет)</w:t>
            </w:r>
            <w:r>
              <w:rPr>
                <w:sz w:val="20"/>
              </w:rPr>
              <w:br/>
              <w:t>Непрерывно рецидивирующее (ремиссии менее 1 года)</w:t>
            </w:r>
          </w:p>
        </w:tc>
        <w:tc>
          <w:tcPr>
            <w:tcW w:w="1286" w:type="dxa"/>
            <w:gridSpan w:val="2"/>
            <w:vMerge w:val="restar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textDirection w:val="btLr"/>
          </w:tcPr>
          <w:p w:rsidR="00102178" w:rsidRDefault="00102178">
            <w:pPr>
              <w:ind w:left="113" w:right="113"/>
            </w:pPr>
            <w:r>
              <w:rPr>
                <w:sz w:val="20"/>
              </w:rPr>
              <w:t>Кислотность Желудочного содержимого повышены понижены в норме</w:t>
            </w:r>
          </w:p>
        </w:tc>
      </w:tr>
      <w:tr w:rsidR="00102178">
        <w:trPr>
          <w:gridAfter w:val="2"/>
          <w:wAfter w:w="2146" w:type="dxa"/>
          <w:cantSplit/>
          <w:trHeight w:val="1410"/>
        </w:trPr>
        <w:tc>
          <w:tcPr>
            <w:tcW w:w="85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102178" w:rsidRDefault="00102178">
            <w:r>
              <w:rPr>
                <w:sz w:val="20"/>
              </w:rPr>
              <w:t>2</w:t>
            </w:r>
          </w:p>
        </w:tc>
        <w:tc>
          <w:tcPr>
            <w:tcW w:w="1568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102178" w:rsidRDefault="00102178">
            <w:r>
              <w:rPr>
                <w:sz w:val="20"/>
              </w:rPr>
              <w:t>Начало эпителизации язвенного дефекта</w:t>
            </w:r>
          </w:p>
        </w:tc>
        <w:tc>
          <w:tcPr>
            <w:tcW w:w="1133" w:type="dxa"/>
            <w:gridSpan w:val="2"/>
            <w:vMerge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02178" w:rsidRDefault="00102178"/>
        </w:tc>
        <w:tc>
          <w:tcPr>
            <w:tcW w:w="1143" w:type="dxa"/>
            <w:gridSpan w:val="2"/>
            <w:vMerge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02178" w:rsidRDefault="00102178"/>
        </w:tc>
        <w:tc>
          <w:tcPr>
            <w:tcW w:w="1278" w:type="dxa"/>
            <w:gridSpan w:val="2"/>
            <w:vMerge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02178" w:rsidRDefault="00102178"/>
        </w:tc>
        <w:tc>
          <w:tcPr>
            <w:tcW w:w="1141" w:type="dxa"/>
            <w:gridSpan w:val="2"/>
            <w:vMerge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02178" w:rsidRDefault="00102178"/>
        </w:tc>
        <w:tc>
          <w:tcPr>
            <w:tcW w:w="1286" w:type="dxa"/>
            <w:gridSpan w:val="2"/>
            <w:vMerge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02178" w:rsidRDefault="00102178"/>
        </w:tc>
      </w:tr>
      <w:tr w:rsidR="00102178">
        <w:trPr>
          <w:gridAfter w:val="2"/>
          <w:wAfter w:w="2146" w:type="dxa"/>
          <w:cantSplit/>
        </w:trPr>
        <w:tc>
          <w:tcPr>
            <w:tcW w:w="851" w:type="dxa"/>
            <w:vMerge w:val="restar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102178" w:rsidRDefault="00102178">
            <w:r>
              <w:rPr>
                <w:sz w:val="20"/>
              </w:rPr>
              <w:t>3</w:t>
            </w:r>
          </w:p>
        </w:tc>
        <w:tc>
          <w:tcPr>
            <w:tcW w:w="1568" w:type="dxa"/>
            <w:gridSpan w:val="2"/>
            <w:vMerge w:val="restar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102178" w:rsidRDefault="00102178">
            <w:r>
              <w:rPr>
                <w:sz w:val="20"/>
              </w:rPr>
              <w:t>Рубцующаяся язва при сохранившемся дуодените</w:t>
            </w:r>
          </w:p>
        </w:tc>
        <w:tc>
          <w:tcPr>
            <w:tcW w:w="1133" w:type="dxa"/>
            <w:gridSpan w:val="2"/>
            <w:vMerge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02178" w:rsidRDefault="00102178"/>
        </w:tc>
        <w:tc>
          <w:tcPr>
            <w:tcW w:w="1143" w:type="dxa"/>
            <w:gridSpan w:val="2"/>
            <w:vMerge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02178" w:rsidRDefault="00102178"/>
        </w:tc>
        <w:tc>
          <w:tcPr>
            <w:tcW w:w="1278" w:type="dxa"/>
            <w:gridSpan w:val="2"/>
            <w:vMerge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02178" w:rsidRDefault="00102178"/>
        </w:tc>
        <w:tc>
          <w:tcPr>
            <w:tcW w:w="1141" w:type="dxa"/>
            <w:gridSpan w:val="2"/>
            <w:vMerge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02178" w:rsidRDefault="00102178"/>
        </w:tc>
        <w:tc>
          <w:tcPr>
            <w:tcW w:w="1286" w:type="dxa"/>
            <w:gridSpan w:val="2"/>
            <w:vMerge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02178" w:rsidRDefault="00102178"/>
        </w:tc>
      </w:tr>
      <w:tr w:rsidR="00102178">
        <w:trPr>
          <w:cantSplit/>
          <w:trHeight w:val="2340"/>
        </w:trPr>
        <w:tc>
          <w:tcPr>
            <w:tcW w:w="851" w:type="dxa"/>
            <w:vMerge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02178" w:rsidRDefault="00102178"/>
        </w:tc>
        <w:tc>
          <w:tcPr>
            <w:tcW w:w="1568" w:type="dxa"/>
            <w:gridSpan w:val="2"/>
            <w:vMerge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02178" w:rsidRDefault="00102178"/>
        </w:tc>
        <w:tc>
          <w:tcPr>
            <w:tcW w:w="1133" w:type="dxa"/>
            <w:gridSpan w:val="2"/>
            <w:vMerge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02178" w:rsidRDefault="00102178"/>
        </w:tc>
        <w:tc>
          <w:tcPr>
            <w:tcW w:w="1143" w:type="dxa"/>
            <w:gridSpan w:val="2"/>
            <w:vMerge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02178" w:rsidRDefault="00102178"/>
        </w:tc>
        <w:tc>
          <w:tcPr>
            <w:tcW w:w="1278" w:type="dxa"/>
            <w:gridSpan w:val="2"/>
            <w:vMerge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02178" w:rsidRDefault="00102178"/>
        </w:tc>
        <w:tc>
          <w:tcPr>
            <w:tcW w:w="1141" w:type="dxa"/>
            <w:gridSpan w:val="2"/>
            <w:vMerge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02178" w:rsidRDefault="00102178"/>
        </w:tc>
        <w:tc>
          <w:tcPr>
            <w:tcW w:w="1286" w:type="dxa"/>
            <w:gridSpan w:val="2"/>
            <w:vMerge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02178" w:rsidRDefault="00102178"/>
        </w:tc>
        <w:tc>
          <w:tcPr>
            <w:tcW w:w="95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102178" w:rsidRDefault="00102178">
            <w:r>
              <w:rPr>
                <w:sz w:val="20"/>
              </w:rPr>
              <w:t>4</w:t>
            </w:r>
          </w:p>
        </w:tc>
        <w:tc>
          <w:tcPr>
            <w:tcW w:w="119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textDirection w:val="btLr"/>
          </w:tcPr>
          <w:p w:rsidR="00102178" w:rsidRDefault="00102178">
            <w:pPr>
              <w:ind w:left="113" w:right="113"/>
            </w:pPr>
            <w:r>
              <w:rPr>
                <w:sz w:val="20"/>
              </w:rPr>
              <w:t>Полное заживление (рубцовая деформация)</w:t>
            </w:r>
          </w:p>
        </w:tc>
      </w:tr>
    </w:tbl>
    <w:p w:rsidR="00102178" w:rsidRDefault="00102178">
      <w:r>
        <w:t xml:space="preserve">   Хронический гастродуоденит характеризуется воспалительным процессом, субатрофическими, атрофическими и (или) эрозивными изменениями гастродуоденальной слизистой. Язвенная болезнь - хронически протекающее заболевание, при котором образуются язвы в желудке или двенадцатиперстной кишке и которое может прогрессировать и приводить к развитию осложнений. </w:t>
      </w:r>
    </w:p>
    <w:p w:rsidR="00102178" w:rsidRDefault="00102178">
      <w:pPr>
        <w:jc w:val="center"/>
        <w:outlineLvl w:val="0"/>
      </w:pPr>
      <w:r>
        <w:rPr>
          <w:b/>
        </w:rPr>
        <w:t>Этиология и патогенез</w:t>
      </w:r>
    </w:p>
    <w:p w:rsidR="00102178" w:rsidRDefault="00102178">
      <w:r>
        <w:t xml:space="preserve">   Хронические гастродуодениты и язвенная болезнь чаще развиваются у детей, имеющих наследственную предрасположенность к заболеванию, со сниженными из-за перенесенных ранее соматических и инфекционных болезней компенсаторно-приспособительными возможностями организма. </w:t>
      </w:r>
      <w:r>
        <w:br/>
        <w:t xml:space="preserve">   Исследования А.А. Баранова и О.В. Грининой [3] показали, что у детей, родившихся от матерей с патологией беременности и при патологических родах, находившихся на искусственном вскармливании и имеющих отягощенный аллергический анамнез, риск развития заболевания системы пищеварения значительно возрастает. </w:t>
      </w:r>
      <w:r>
        <w:br/>
        <w:t xml:space="preserve">   Одним из решающих факторов в возникновении хронического гастродуоденита и язвенной болезни является </w:t>
      </w:r>
      <w:r>
        <w:rPr>
          <w:b/>
        </w:rPr>
        <w:t>наследственно-конституционный</w:t>
      </w:r>
      <w:r>
        <w:t xml:space="preserve">. Наследственная предрасположенность более выражена и чаще реализуется у больных язвенной болезнью, при этом она регистрируется у 20-60% детей и отмечается чаще по отцовской линии. Наряду с тщательным сбором анамнеза и выявлением заболевания у родственников ребенка необходимо определение генетических маркеров предрасположенности к язвенной болезни, таких как отсутствие третьей фракции щелочной фосфатазы, высокие показатели ацетилхолина и холинеэстеразы в сыворотке крови, гиперпродукция соляной кислоты, обусловленная увеличением числа париетальных клеток, повышение уровня пепсиногена I дефицит мукополипротеидов и др. </w:t>
      </w:r>
      <w:r>
        <w:br/>
        <w:t xml:space="preserve">   Реализация наследственной предрасположенности может быть обусловлена недостатком сиаловых и сульфатированных муцинов, обеспечивающих защиту слизистой оболочки, и гиперпродуцией G-клеток в гастродуоденальной слизистой оболочке, сопровождающейся непрерывным кислото- и ферментообразованием [11]. </w:t>
      </w:r>
      <w:r>
        <w:br/>
        <w:t>  </w:t>
      </w:r>
    </w:p>
    <w:p w:rsidR="00102178" w:rsidRDefault="00102178">
      <w:r>
        <w:t xml:space="preserve"> Причины, вызывающие хронические заболевания желудка и двенадцатиперстной кишки, могут быть условно разделены на экзогенные, эндогенные и инфекционные. </w:t>
      </w:r>
      <w:r>
        <w:br/>
        <w:t>   </w:t>
      </w:r>
      <w:r>
        <w:rPr>
          <w:b/>
          <w:i/>
        </w:rPr>
        <w:t>К экзогенным факторам относятся: пищевые отравления и перенесенные кишечные инфекции, длительные нарушения режима и качества питания (редкие или частые приемы пищи, неравномерные интервалы между ними), употребление продуктов, механически и химически раздражающих гастродуоденальную слизистую оболочку, еда всухомятку, плохое разжевывание пищи.</w:t>
      </w:r>
      <w:r>
        <w:t xml:space="preserve"> </w:t>
      </w:r>
      <w:r>
        <w:br/>
        <w:t xml:space="preserve">   Важное значение придается недостатку в пище веществ, необходимых для физиологической регенерации и восстановления "железистого аппарата" слизистой оболочки, - железа, витаминов, микроэлементов, белка. </w:t>
      </w:r>
      <w:r>
        <w:br/>
        <w:t xml:space="preserve">   Следует учитывать, что длительный или беспорядочный прием медикаментов (салицилатов, аспирина, сульфаниламидных препаратов, антибиотиков и др.) приводит к выраженным структурным изменениям гастродуоденальной слизистой. </w:t>
      </w:r>
      <w:r>
        <w:br/>
        <w:t xml:space="preserve">   Нервно-психические перегрузки вызывают нарушения механизмов межсистемных отношений в организме детей и развитие болезни. </w:t>
      </w:r>
      <w:r>
        <w:br/>
        <w:t>   </w:t>
      </w:r>
      <w:r>
        <w:rPr>
          <w:b/>
          <w:i/>
        </w:rPr>
        <w:t>Среди эндогенных факторов наибольшее значение придается нервно-рефлекторным воздействиям на желудок и двенадцатиперстную кишку со стороны других пораженных органов пищеварения, желчного пузыря и печени, поджелудочной железы, кишечника.</w:t>
      </w:r>
      <w:r>
        <w:t xml:space="preserve"> </w:t>
      </w:r>
      <w:r>
        <w:br/>
        <w:t xml:space="preserve">   Патологическое влияние реализуется через нервную и эндокринную системы (по принципу обратной связи), рефлекторно, вызывая нарушения регуляции гастродуоденальной системы, дисбаланс нейропептидов АПУД-системы и дискоординации секреторной, двигательной функций желудка и двенадцатиперстной кишки. Возникающее нарушение равновесия факторов "агрессии" и "защиты" в гастродуоденальной системе приводит к развитию неспецифического воспалительного процесса, нарушению регенерации слизистой оболочки и появлению дистрофических, эрозивно-язвенных изменений. </w:t>
      </w:r>
      <w:r>
        <w:br/>
        <w:t xml:space="preserve">   Причиной поражения слизистой оболочки желудка и двенадцатиперстной кишки являются заболевания сердечно-сосудистой системы, почек, болезни крови, протекающие с анемией, заболевания эндокринной системы (сахарный диабет, надпочечниковая недостаточность и др.). </w:t>
      </w:r>
      <w:r>
        <w:br/>
        <w:t xml:space="preserve">   Врачи-педиатры уделяют недостаточно внимания своевременному и полному лечению хронических очагов инфекции, глистной инвазии, лямблиоза и дисбактериоза кишечника. </w:t>
      </w:r>
      <w:r>
        <w:br/>
        <w:t xml:space="preserve">   После обнаружения у больных хроническим гастритом в слизистой оболочке микроорганизма Helicobacter pylori (HP) B. Marshall и J. Warren (1983) начался новый этап в развитии представлений об этиологии и патогенезе и методах лечения заболеваний желудка и двенадцатиперстной кишки. Однако до настоящего времени роль и значимость НР в развитии этой патологии окончательно не выяснены. Концепцию о ведущей, доминирующей роли НР в развитии поражений слизистой оболочки желудка и двенадцатиперстной кишки И.Л. Блинков [12] считает одним из устойчивых медицинских мифов. Автор подчеркивает сапрофитическую роль микроорганизма, указывая на вред НР-концепции. В то же время ведущая роль в этиологии и патогенезе заболеваний желудка и двенадцатиперстной кишки НР подчеркивается в ряде работ [13-15], при этом авторы рассматривают, в частности, "дуоденальную язву" как проявление инфекционной болезни. В многочисленных работах как терапевтов, так и педиатров приводятся противоречивые данные о роли НР в развитии гастродуоденитов и язвенной болезни, о результатах лечения с включением антибактериальных препаратов. Это вполне объяснимо, поскольку в настоящее время исследования микроорганизма выявили существование более 40 эпидемиологически не связанных штаммов НР, имеющих разную патогенность и чувствительность к антибактериальным средствам. Кроме того, авторы используют разные методы выявления НР и лечения. </w:t>
      </w:r>
      <w:r>
        <w:br/>
        <w:t>   </w:t>
      </w:r>
      <w:r>
        <w:rPr>
          <w:b/>
          <w:i/>
        </w:rPr>
        <w:t>В настоящее время установлено, что обсемененность слизистой оболочки желудка НР способствует развитию хронического гастродуоденита и язвенной болезни.</w:t>
      </w:r>
      <w:r>
        <w:t xml:space="preserve"> Геликобактерная инфекция и ее роль в формировании гастродуоденальной патологии у детей вызывают интерес у многих исследователей. Это обусловлено тем, что до сих пор не выяснены и не уточнены многие механизмы гастрито- и ульцерогенеза и их связь с НР-инфекцией [7, 16]. </w:t>
      </w:r>
      <w:r>
        <w:br/>
        <w:t xml:space="preserve">   На протяжении многих десятилетий при обнаружении новых факторов и открытии закономерностей в патогенезе болезней желудка и двенадцатиперстной кишки возникали новые гипотезы и теории, которые в настоящее время хорошо известны: кортико-висцеральная, нейроэндокринная, воспалительная, рефлюксная, инфекционная и др. Однако ни одна из этих теорий не может в полной мере объяснить этиологию и патогенез хронических заболеваний желудка и двенадцатиперстной кишки. Особенность современного периода состоит в усилении повреждающего действия на организм агентов внешней среды (психологических нагрузок, экологического неблагополучия и др.), в нарушении реакции защитных систем и снижении устойчивости организма ребенка к факторам риска для здоровья. </w:t>
      </w:r>
      <w:r>
        <w:br/>
        <w:t xml:space="preserve">   Многие ученые [16-18] рассматривают заболевание как срыв компенсаторно-приспособительных механизмов организма при антигенной перегрузке и с позиции нарушения биологического ритма различных физиологических процессов в организме. </w:t>
      </w:r>
      <w:r>
        <w:br/>
        <w:t xml:space="preserve">   В настоящее время нет единой теории патогенеза хронических гастродуоденитов и язвенной болезни. </w:t>
      </w:r>
      <w:r>
        <w:br/>
        <w:t>   </w:t>
      </w:r>
    </w:p>
    <w:tbl>
      <w:tblPr>
        <w:tblW w:w="0" w:type="auto"/>
        <w:tblInd w:w="-2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616"/>
      </w:tblGrid>
      <w:tr w:rsidR="00102178">
        <w:tc>
          <w:tcPr>
            <w:tcW w:w="561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FFFFFF" w:fill="C0C0C0"/>
          </w:tcPr>
          <w:p w:rsidR="00102178" w:rsidRDefault="00102178">
            <w:r>
              <w:fldChar w:fldCharType="begin"/>
            </w:r>
            <w:r>
              <w:instrText>PRIVATE</w:instrText>
            </w:r>
            <w:r>
              <w:fldChar w:fldCharType="end"/>
            </w:r>
            <w:r>
              <w:t xml:space="preserve">   Основные звенья патогенеза могут быть сгруппированы следующим образом: </w:t>
            </w:r>
            <w:r>
              <w:br/>
              <w:t xml:space="preserve">   • расстройство нервных и гормональных механизмов регуляции деятельности желудка и двенадцатиперстной кишки; </w:t>
            </w:r>
            <w:r>
              <w:br/>
              <w:t xml:space="preserve">   • местные нарушения равновесия факторов агрессии и защиты в гастродуоденальной системе; </w:t>
            </w:r>
            <w:r>
              <w:br/>
              <w:t xml:space="preserve">   • разбалансированность нейропептидов в АПУД-системе; </w:t>
            </w:r>
            <w:r>
              <w:br/>
              <w:t>   • нарушение регенерации гастродуоденальной слизистой оболочки.</w:t>
            </w:r>
          </w:p>
        </w:tc>
      </w:tr>
    </w:tbl>
    <w:p w:rsidR="00102178" w:rsidRDefault="00102178">
      <w:r>
        <w:t xml:space="preserve">   Следует подчеркнуть условность выделения этих звеньев патогенеза, поскольку в детском организме все системы, обеспечивающие реализацию компенсаторно-приспособительных механизмов, взаимосвязаны и взаимообусловлены. </w:t>
      </w:r>
      <w:r>
        <w:br/>
        <w:t>   Ведущее значение в развитии хронических гастродуоденитов и язвенной болезни придается нарушению соотношения факторов агрессии (усиление) и факторов защиты (ослабление) гастродуоденальной слизистой оболочки (</w:t>
      </w:r>
      <w:r w:rsidRPr="005F2E5E">
        <w:t>табл. 1</w:t>
      </w:r>
      <w:r>
        <w:t xml:space="preserve">). </w:t>
      </w:r>
      <w:r>
        <w:br/>
      </w:r>
      <w:r>
        <w:rPr>
          <w:b/>
          <w:i/>
        </w:rPr>
        <w:t xml:space="preserve">   К факторам агрессии относятся гиперпродукция соляной кислоты и ферментов за счет повышения тонуса парасимпатической нервной системы, повышенной возбудимости обкладочных и главных клеток. </w:t>
      </w:r>
      <w:r>
        <w:t>Повышенная концентрация ионов водорода (H</w:t>
      </w:r>
      <w:r>
        <w:rPr>
          <w:vertAlign w:val="superscript"/>
        </w:rPr>
        <w:t>+</w:t>
      </w:r>
      <w:r>
        <w:t>) и их обратная диффузия приводят к нарушению кровоснабжения слизистой, возникновению стазов и кровоизлияний. При этом проникновение активных ионов водорода через нарушенный слизистый барьер вызывает разбалансированность нейропептидов АПУД-системы с активацией гастрина, гистамина и дальнейшее увеличение агрессивности желудочного сока. Одним из важных факторов развития патологического процесса является нарушение "антродуоденального кислотного тормоза", приводящее к значительному закислению двенадцатиперстной кишки и возникновению рефлюксов ее содержимого в желудок. Попадание желчи, панкреатических ферментов, лизолицетина в просвет желудка значительно повышает агрессивность желудочного сока, активирует гастрин-гистаминовую систему. Длительное воздействие агрессивного желудочного сока на гастродуоденальную слизистую оболочку приводит к нарушению регенерации и дисрегенераторным процессам, обусловливающим различный характер поражения слизистой оболочки желудка и двенадцатиперстной кишки (эрозии, язвы, атрофию, метаплазию и др.).</w:t>
      </w:r>
      <w:r>
        <w:br/>
        <w:t>   </w:t>
      </w:r>
      <w:r>
        <w:rPr>
          <w:b/>
          <w:i/>
        </w:rPr>
        <w:t>К факторам защиты относятся слизистый барьер гастродуоденальной слизистой оболочки, выделение мукопротеидов, предохраняющих слизистую от антигенов.</w:t>
      </w:r>
      <w:r>
        <w:t xml:space="preserve"> Сохранение слизистой оболочки от повреждения обеспечивается также достаточным ее кровообращением, сохранением "антродуоденального кислотного тормоза" и физиологической регенерацией слизистой. Местная иммунологическая защита - это прежде всего секреторный иммуноглобулин класса А (s IgA), специфически связывающие белковые антигены, лизосомальные протеолитические ферменты энтероцитов, медиаторный иммунитет. </w:t>
      </w:r>
      <w:r>
        <w:br/>
        <w:t xml:space="preserve">   Неспецифическим фактором защиты является лизоцим, устойчивый к действию протеолитических ферментов. Обволакивая пищу, лизоцим пищеварительных секретов защищает слизистые оболочки от антигенного раздражителя. </w:t>
      </w:r>
      <w:r>
        <w:br/>
        <w:t>   </w:t>
      </w:r>
    </w:p>
    <w:p w:rsidR="00102178" w:rsidRDefault="00102178">
      <w:r>
        <w:t xml:space="preserve">Необходимо выделить особенности патогенеза хронических гастродуоденитов и язвенной болезни, ассоциированных с НР. </w:t>
      </w:r>
      <w:r>
        <w:br/>
        <w:t>   Вирулентные штаммы НР обладают свойством повреждать эпителий слизистой оболочки желудка; за счет липосахарида наружной мембраны НР и благодаря жгутикам они проникают через слой слизистой оболочки. Нарушение целостности слизистой оболочки вызывает обратную диффузию ионов Н</w:t>
      </w:r>
      <w:r>
        <w:rPr>
          <w:vertAlign w:val="superscript"/>
        </w:rPr>
        <w:t>+</w:t>
      </w:r>
      <w:r>
        <w:t xml:space="preserve">, что приводит к развитию воспаления, появлению дефектов на поверхности эпителия, повреждению эпителия сосудов, нарушению микроциркуляции и изъязвлениям. Энзим уреаза, вырабатываемый НР, активирует моноциты, лейкоциты, что приводит к выделению цитокинов и продукции свободных радикалов, повреждающих эпителий. Высокая протеолитическая активность продуктов жизнедеятельности НР является фактором агрессии. </w:t>
      </w:r>
      <w:r>
        <w:br/>
        <w:t xml:space="preserve">   Представленные выше этиологические факторы и звенья патогенеза хронических гастродуоденитов и язвенной болезни необходимо учитывать врачу-педиатру, поскольку выделение значимых причин болезни и механизмов развития патологического процесса с учетом индивидуальных особенностей нарушения регулирующих систем детского организма позволяет проводить эффективную терапию. </w:t>
      </w:r>
    </w:p>
    <w:p w:rsidR="00102178" w:rsidRDefault="00102178">
      <w:pPr>
        <w:jc w:val="center"/>
        <w:outlineLvl w:val="0"/>
      </w:pPr>
      <w:r>
        <w:rPr>
          <w:b/>
        </w:rPr>
        <w:t>Клинические проявления</w:t>
      </w:r>
    </w:p>
    <w:p w:rsidR="00102178" w:rsidRDefault="00102178">
      <w:r>
        <w:t xml:space="preserve">   Клинические проявления хронических гастродуоденитов и язвенной болезни разнообразны и зависят от степени структурных изменений слизистой, их локализации, стадии патологического процесса, функционального состояния желудка и нарушения обменных процессов в организме. </w:t>
      </w:r>
      <w:r>
        <w:br/>
        <w:t xml:space="preserve">   Общими признаками болезни являются слабость, вялость, нарушенный сон, часто головные боли. Ребенок раздражителен, плаксив. Объективно - бледность кожных покровов, проявления витаминной недостаточности. Мышечный тонус может быть снижен. Выраженность этих симптомов зависит от степени нарушения обменных процессов в организме. </w:t>
      </w:r>
    </w:p>
    <w:p w:rsidR="00102178" w:rsidRDefault="00102178">
      <w:pPr>
        <w:jc w:val="center"/>
        <w:outlineLvl w:val="0"/>
      </w:pPr>
      <w:r>
        <w:rPr>
          <w:b/>
        </w:rPr>
        <w:t>Гастродуодениты</w:t>
      </w:r>
    </w:p>
    <w:p w:rsidR="00102178" w:rsidRDefault="00102178">
      <w:r>
        <w:t>   В практической гастроэнтерологии используется до настоящего времени классификация хронических гастродуоденитов (</w:t>
      </w:r>
      <w:r w:rsidRPr="005F2E5E">
        <w:t>табл. 2</w:t>
      </w:r>
      <w:r>
        <w:t>), предложенная группой ведущих педиатрических клиник [5]. Несомненно, предложенная классификация требует пересмотра и обсуждения, однако большинство практических врачей отмечают ее простоту и удобство для выделения нозологической формы. В педиатрической литературе представлены многочисленные, часто противоречивые описания клинических проявлений отдельных нозологических форм, поэтому целесообразно сгруппировать клинические симптомокомплексы, проявления обострения заболевания с учетом топографических отделов желудка и двенадцатиперстной кишки в зависимости от степени выраженности и характера поражения гастродуоденальной слизистой оболочки (</w:t>
      </w:r>
      <w:r w:rsidRPr="005F2E5E">
        <w:t>табл. 3</w:t>
      </w:r>
      <w:r>
        <w:t xml:space="preserve">) и секреторно-моторных нарушений желудка и двенадцатиперстной кишки. </w:t>
      </w:r>
      <w:r>
        <w:br/>
        <w:t>   </w:t>
      </w:r>
      <w:r>
        <w:rPr>
          <w:b/>
        </w:rPr>
        <w:t>Целесообразно выделить три варианта клинических проявлений хронических гастродуоденитов.</w:t>
      </w:r>
      <w:r>
        <w:t xml:space="preserve"> </w:t>
      </w:r>
      <w:r>
        <w:br/>
        <w:t xml:space="preserve">   1. У большинства детей с хроническим гастродуоденитом с экзогенными факторами </w:t>
      </w:r>
      <w:r>
        <w:rPr>
          <w:b/>
          <w:i/>
        </w:rPr>
        <w:t>более выраженные изменения определяются в слизистой оболочке антрального отдела желудка и двенадцатиперстной кишки</w:t>
      </w:r>
      <w:r>
        <w:t xml:space="preserve"> в виде воспаления, субатрофии и (или) гиперплазии слизистой, эрозивных поражений. Нозологически они могут определяться как гастродуоденит, антральный гастрит, дуоденит, эрозивный антральный гастрит или дуоденит. Особенностью этого варианта течения болезни являются сохраненная или повышенная функция кислото- и ферментообразования, дискоординация секреторной и двигательной функций желудка и двенадцатиперстной кишки. </w:t>
      </w:r>
      <w:r>
        <w:br/>
        <w:t xml:space="preserve">   У больных отмечаются раздражительность, головные боли. Аппетит часто сохранен. Диспепсические расстройства (изжога, отрыжка кислым) связаны, как правило, с кардиальной недостаточностью пищевода. Иногда у детей отмечается повышенная жажда. Язык часто обложен белым налетом. Боли в животе интенсивны, локализуются в эпигастрии и пиродуоденальной зоне, возникают не только после еды, но и натощак. Нередко боли прекращаются после приема пищи. Больные этой группы склонны к запорам. </w:t>
      </w:r>
      <w:r>
        <w:br/>
        <w:t xml:space="preserve">   2. При большой длительности заболевания и преобладании эндогенных, токсических факторов риска в </w:t>
      </w:r>
      <w:r>
        <w:rPr>
          <w:b/>
          <w:i/>
        </w:rPr>
        <w:t>патологический процесс вовлекается фундальный отдел желудка</w:t>
      </w:r>
      <w:r>
        <w:t xml:space="preserve">, при этом наряду с воспалительными, атрофическими, субатрофическими изменениями, очаговой атрофией часто определяются множественные эрозии средней трети слизистой оболочки желудка. Нозологической формой у этого контингента детей может быть фундальный гастрит, гастродуоденит с поражением железистого аппарата желудка, эрозивными изменениями. Особенностями этого варианта болезни являются снижение кислото- и ферментообразования, атония пищеварительного органа. </w:t>
      </w:r>
      <w:r>
        <w:br/>
        <w:t xml:space="preserve">   У больных отмечаются слабость, вялость, быстрая утомляемость, диспепсические проявления - чувство тяжести, распирания в эпигастрии после приема пищи, тошнота, иногда отрыжка воздухом. Боли в животе малоинтенсивные, тупые, возникают после приема пищи. У детей регистрируются метеоризм, наклонность стула к послаблению. Пальпаторно определяется болезненность в верхней и средней трети пространства между мечевидным отростком и пупком. </w:t>
      </w:r>
      <w:r>
        <w:br/>
        <w:t xml:space="preserve">   3. Наличие у ребенка наследственно обусловленных </w:t>
      </w:r>
      <w:r>
        <w:rPr>
          <w:b/>
          <w:i/>
        </w:rPr>
        <w:t>морфофункциональных изменений слизистой оболочки желудка и двенадцатиперстной кишки, способных трансформироваться в язвенную болезнь</w:t>
      </w:r>
      <w:r>
        <w:t xml:space="preserve">, рассматривается как предъязвенное состояние. У детей определяется гиперплазия фундальных желез слизистой оболочки желудка с увеличением количества главных, обкладочных клеток [11]. Нозологическая форма может быть определена как гастрит, гастродуоденит, дуоденит с высоким непрерывным кислото и ферментообразованием и выраженными воспалительными, гиперпластическими, эрозивными изменениями в слизистой оболочке желудка и двенадцатиперстной кишки. </w:t>
      </w:r>
      <w:r>
        <w:br/>
        <w:t xml:space="preserve">   Клинические проявления сходны с таковыми язвенной болезни двенадцатиперстной кишки. Ведущий симптом - тощаковые боли: до еды и через 2-3 ч после приема пищи. Боли интенсивные, приступообразные, колющие, режущие, локализуются в пилородуоденальной зоне, левом подреберье. Характерна отрыжка кислым. Сезонность болевого синдрома (весна, осень) отмечается у 1/3 - 1/2 больных. Стул у этих больных со склонностью к закреплению или имеют место запоры. </w:t>
      </w:r>
      <w:r>
        <w:br/>
        <w:t xml:space="preserve">   При пальпации живота четко выявляется болезненность в пилородуоденальной зоне, симптом Менделя положителен (болезненность при перкуссии). </w:t>
      </w:r>
    </w:p>
    <w:p w:rsidR="00102178" w:rsidRDefault="00102178">
      <w:pPr>
        <w:jc w:val="center"/>
        <w:outlineLvl w:val="0"/>
      </w:pPr>
      <w:r>
        <w:rPr>
          <w:b/>
        </w:rPr>
        <w:t>Язвенная болезнь</w:t>
      </w:r>
    </w:p>
    <w:p w:rsidR="00102178" w:rsidRDefault="00102178">
      <w:r>
        <w:t xml:space="preserve">   Рассматривая клинические проявления язвенной болезни, необходимо подчеркнуть "омоложение" заболевания; в настоящее время язвенная болезнь может быть диагностирована у детей с 5-6-летнего возраста. </w:t>
      </w:r>
      <w:r>
        <w:br/>
        <w:t xml:space="preserve">   Язвенные поражения в основном (85%) локализуются на передней или задней стенке луковицы двенадцатиперстной кишки, у 15% больных отмечаются постбульбарные (внелуковичные) язвы. Язвенная болезнь двенадцатиперстной кишки встречается в 6-7 раз чаще, чем язвенная болезнь желудка. В </w:t>
      </w:r>
      <w:r w:rsidRPr="005F2E5E">
        <w:t>табл. 4</w:t>
      </w:r>
      <w:r>
        <w:t xml:space="preserve"> представлена рабочая классификация язвенной болезни у детей, широко используемая в клинической практике. У детей проявления язвенной болезни разнообразные и зависят от стадии и локализации дефекта. </w:t>
      </w:r>
      <w:r>
        <w:br/>
        <w:t xml:space="preserve">   Для язвы двенадцатиперстной кишки характерны голодные боли (натощак или спустя 1,5-2 ч после еды). У подавляющего большинства детей отмечаются ночные боли. Боли по характеру приступообразные, режущие, колющие, иррадиируют в спину, правое плечо, лопатку. Локализация болей определяется местонахождением язвы: боли чаще возникают в эпигастральной области и справа от средней линии. Пальпация живота затруднительна, отмечается болезненность в пилородуоденальной зоне. Рвота у больных возникает чаще на высоте болевого синдрома. Диспепсические проявления (изжога, отрыжка кислым) при язвенной болезни свидетельствуют о недостаточности кардии. Аппетит у детей чаще всего сохранен, иногда даже усилен. Язык обложен белым налетом, влажный. Запоры характерны для больных с обострением заболевания. Отмечается сезонность болевого и дипепсического синдромов (весна, осень). </w:t>
      </w:r>
      <w:r>
        <w:br/>
        <w:t xml:space="preserve">   Внелуковичные, или постбульбарные, язвы характеризуются более тяжелым и осложненным течением болезни. Боли упорные, особенно сильные ночью (дети от них просыпаются). </w:t>
      </w:r>
      <w:r>
        <w:br/>
        <w:t xml:space="preserve">   Клиническая характеристика язвы желудка имеет ряд особенностей и определяется локализацией язвы (в кардиальном или антральном отделе желудка). </w:t>
      </w:r>
      <w:r>
        <w:br/>
        <w:t xml:space="preserve">   При локализации язвы в кардиальном отделе желудка характерны ранние боли в животе, возникающие непосредственно после приема пищи. Болевой синдром сопровождается тошнотой, отрыжкой воздухом. Боли локализуются под мечевидным отростком. Язвы в антральном отделе желудка сопровождаются приступами сильных болей в животе, не связанных с приемом пищи, иррадиирующих в спину, за грудину. Сезонность обострения заболевания менее типична, чем при язвенной болезни двенадцатиперстной кишки. </w:t>
      </w:r>
      <w:r>
        <w:br/>
        <w:t>   </w:t>
      </w:r>
    </w:p>
    <w:p w:rsidR="00102178" w:rsidRDefault="00102178">
      <w:pPr>
        <w:ind w:firstLine="2694"/>
      </w:pPr>
      <w:r>
        <w:rPr>
          <w:b/>
        </w:rPr>
        <w:t>Осложнения язвенной болезни:</w:t>
      </w:r>
      <w:r>
        <w:t xml:space="preserve"> </w:t>
      </w:r>
      <w:r>
        <w:br/>
        <w:t xml:space="preserve">   • кровотечение, сопровождающееся рвотой с примесью крови, меленой, слабостью, головокружением; одним из первых признаков является тахикардия; </w:t>
      </w:r>
      <w:r>
        <w:br/>
        <w:t xml:space="preserve">   • пенетрация, характеризующаяся упорным болевым синдромом, резкими болями, иррадиирующими в спину, рвотой, не приносящей облегчения, и упорной изжогой; </w:t>
      </w:r>
      <w:r>
        <w:br/>
        <w:t xml:space="preserve">   • перфорация, возникающая остро и сопровождающаяся резкой болью в эпигастральной области, напряжением передней брюшной стенки и симптомами раздражения брюшины. Перистальтика ослаблена или отсутствует. </w:t>
      </w:r>
      <w:r>
        <w:br/>
        <w:t>   Ввиду высокой инфицированности детского населения НР, достигающей 58-72% к 13-15 годам жизни [12], а также с учетом описанных выше этиопатогенетических механизмов заболеваний, ассоциированных с НР, возникает важный для практического здравоохранения вопрос - каковы клинико-морфофункциональные особенности хронических гастродуоденитов и язвенной болезни, ассоциированных с НР.</w:t>
      </w:r>
      <w:r>
        <w:br/>
        <w:t xml:space="preserve">   К сожалению, приходится признать, что большинство авторов, посвятивших свои работы этой проблеме в педиатрии [18-20], не выявили специфических симптомов гастродуоденальной патологии, ассоциированной с НР. Лишь в отдельных работах [7, 21] инфицированность НР связывается с более частыми рецидивирующими болями в животе, рвотой и геморрагическим синдромом (носовое кровотечение, кровоточивость десен, кровоизлияния в слизистую оболочку желудка). Отмечаемые при эндоскопии изменения слизистой оболочки желудка в виде "булыжной мостовой", "нодулярный гастрит" [15] вряд ли могут быть отнесены к маркерам инфицированности слизистой оболочки желудка НР. </w:t>
      </w:r>
    </w:p>
    <w:p w:rsidR="00102178" w:rsidRDefault="00102178">
      <w:pPr>
        <w:jc w:val="center"/>
        <w:outlineLvl w:val="0"/>
      </w:pPr>
      <w:r>
        <w:rPr>
          <w:b/>
        </w:rPr>
        <w:t>Диагностика</w:t>
      </w:r>
    </w:p>
    <w:p w:rsidR="00102178" w:rsidRDefault="00102178">
      <w:r>
        <w:t xml:space="preserve">   Наблюдения в гастроэнтерологической клинике свидетельствуют, что тщательное изучение анамнеза, анализ факторов риска, оценка клинических проявлений болезни, осмотр ребенка и пальпаторное исследование органов брюшной полости позволяют в 70-80% случаев своевременно распознать заболевание желудка и двенадцатиперстной кишки. Затруднения в диагностике на ранних этапах развития болезни часто связаны с вовлечением в патологический процесс других органов пищеварения (поджелудочная железа, гепатобилиарная система, кишечник), что обусловливает "смазанность" клинических проявлений хронических гастродуоденитов и язвенной болезни у детей. </w:t>
      </w:r>
      <w:r>
        <w:br/>
        <w:t>   </w:t>
      </w:r>
      <w:r>
        <w:rPr>
          <w:b/>
          <w:i/>
        </w:rPr>
        <w:t xml:space="preserve">Дополнительные методы исследования желудка и двенадцатиперстной кишки могут быть разделены на три группы. </w:t>
      </w:r>
      <w:r>
        <w:rPr>
          <w:b/>
          <w:i/>
        </w:rPr>
        <w:br/>
        <w:t xml:space="preserve">   1. Методы, основанные на изучении морфологических особенностей желудка и двенадцатиперстной кишки (рентгенологические исследования, гастродуоденофиброскопия, гистологическое, гистохимическое изучение биоптатов гастродуоденальной слизистой). </w:t>
      </w:r>
      <w:r>
        <w:rPr>
          <w:b/>
          <w:i/>
        </w:rPr>
        <w:br/>
        <w:t xml:space="preserve">   2. Методы изучения функционального состояния гастродуоденальной системы (фракционное желудочное зондирование, рН-метрия, радиотелеметрия, электрочастография, манометрия и др.). </w:t>
      </w:r>
      <w:r>
        <w:rPr>
          <w:b/>
          <w:i/>
        </w:rPr>
        <w:br/>
        <w:t>   3. Методы выявления НP.</w:t>
      </w:r>
      <w:r>
        <w:t xml:space="preserve"> </w:t>
      </w:r>
      <w:r>
        <w:br/>
        <w:t xml:space="preserve">   Опыт использования современных инструментальных методов диагностики при хронических гастродуоденитах и язвенной болезни с определением показаний, подготовки и техники проведения исследования, оценки полученных результатов обобщен ведущими учеными страны, работающими в области детской гастроэнтерологии в "Справочнике по детской гастроэнтерологии" [9], и в монографии "Заболевания органов пищеварения у детей" (М., 1996) под редакцией акад. РАМН А.А. Баранова. </w:t>
      </w:r>
      <w:r>
        <w:br/>
        <w:t>   </w:t>
      </w:r>
      <w:r>
        <w:rPr>
          <w:b/>
        </w:rPr>
        <w:t>Рентгенологическими признаками</w:t>
      </w:r>
      <w:r>
        <w:t xml:space="preserve"> хронического гастродуоденита являются изменения рельефа слизистой, преимущественно в пилороантральном отделе желудка и (или) в двенадцатиперстной кишке (складки перестроены, утолщены, отечны или сглажены). </w:t>
      </w:r>
      <w:r>
        <w:br/>
        <w:t xml:space="preserve">   Указанные изменения сопровождаются нарушением секреторной и двигательной функции желудка, антиперистальтикой, наличием рефлюксов. </w:t>
      </w:r>
      <w:r>
        <w:br/>
        <w:t xml:space="preserve">   Для язвенной болезни характерны прямые и косвенные признаки. К прямым симптомам относятся "ниша" с воспалительным валом, конвергенция складок, рубцовая деформация. </w:t>
      </w:r>
      <w:r>
        <w:br/>
        <w:t xml:space="preserve">   Следует подчеркнуть, что отсутствие симптома "ниша" не исключает наличия язвенной болезни, если у больного определяется стойкий локальный отек слизистой в сочетании с пальпаторной болезненностью этой зоны. </w:t>
      </w:r>
      <w:r>
        <w:br/>
        <w:t xml:space="preserve">   В медицинской практике широко используются </w:t>
      </w:r>
      <w:r>
        <w:rPr>
          <w:b/>
        </w:rPr>
        <w:t>эндоскопические методы</w:t>
      </w:r>
      <w:r>
        <w:t xml:space="preserve"> исследования, позволяющие более точно выявить патологические изменения в различных топографических зонах гастродуоденальной слизистой оболочки. </w:t>
      </w:r>
      <w:r>
        <w:br/>
        <w:t xml:space="preserve">   Воспалительный процесс характеризуется гиперемированной сочной, рыхлой и очень ранимой слизистой, геморрагиями, часто рельеф слизистой напоминает вид булыжной мостовой. </w:t>
      </w:r>
      <w:r>
        <w:br/>
        <w:t xml:space="preserve">   При субатрофии (атрофии) слизистой рельеф сглажен и видны истощения участков тусклого серовато-белого цвета с усиленным сосудистым рисунком. </w:t>
      </w:r>
      <w:r>
        <w:br/>
        <w:t xml:space="preserve">   Эрозивная форма гастродуоденита определяется множественными плоскими или конусовидными эрозиями диаметром 0,3-0,5 мм с покрытым серым налетом дном. </w:t>
      </w:r>
      <w:r>
        <w:br/>
        <w:t xml:space="preserve">   Язвенная болезнь характеризуется дефектами округлой или овальной формы с ровными четкими краями размером от 5 до 10-15 мм. Дно дефекта выполнено плотным поражением фибрина гразно-серого цвета. </w:t>
      </w:r>
      <w:r>
        <w:br/>
        <w:t>   </w:t>
      </w:r>
      <w:r>
        <w:rPr>
          <w:b/>
        </w:rPr>
        <w:t>Гистологическое и гистохимическое изучение биоптатов</w:t>
      </w:r>
      <w:r>
        <w:t xml:space="preserve"> слизистой оболочки из различных отделов позволяет не только определить глубину и характер поражения оболочки в различных топографических зонах, но и уточнить степень активности процесса, наличие НP. Оценку биоптата слизистой следует проводить с учетом Сиднейской классификации (1990) по визуально-аналоговой схеме анализа по М. Dixou и соавт. (1996). </w:t>
      </w:r>
      <w:r>
        <w:br/>
        <w:t xml:space="preserve">   Из методов изучения функционального состояния гастродуоденальной системы в педиатрической практике по-прежнему ведущим является </w:t>
      </w:r>
      <w:r>
        <w:rPr>
          <w:b/>
        </w:rPr>
        <w:t>исследование кислотообразующей функции</w:t>
      </w:r>
      <w:r>
        <w:t xml:space="preserve"> желудка путем титрования полученного с помощью зонда содержимого желудка до и после введения раздражителя и внутрижелудочной рН-метрии. </w:t>
      </w:r>
      <w:r>
        <w:br/>
        <w:t xml:space="preserve">   В клинической практике при оценке результатов исследования желудочного секрета методом фракционного зондирования необходимо особое внимание обратить на два варианта полученных результатов. При обнаружении высоких показателей кислото и ферментообразования в тощаковой и базальных порциях надо прежде всего думать о синдроме "раздраженного желудка", характерном для предъязвенных состояний и язвенной болезни. Второй вариант - ахлоргидрия, регистрируемая как после введения раздражителя средней силы (капустный отвар, мясной бульон и др.), так и после введения парентеральных стимуляторов (гистамин - 0,08 мг/кг или пентагастрин - 6 мг на 1 кг массы тела) - свидетельствует о поражении железистого аппарата фундального отдела желудка. </w:t>
      </w:r>
      <w:r>
        <w:br/>
        <w:t xml:space="preserve">   Другой метод исследования кислотообразующей функции желудка - внутрижелезистая рН-метрия концентрации ионов водорода в отделах желудка и двенадцатиперстной кишки. </w:t>
      </w:r>
      <w:r>
        <w:br/>
        <w:t xml:space="preserve">   Этот метод позволяет выявить недостаточность кардии, желудочно-пищеводный и дуоденогастральный рефлюкс, оценить интенсивность кислотообразования, степень ощелачивания в антральном отделе желудка и закисления в двенадцатиперстной кишке. </w:t>
      </w:r>
      <w:r>
        <w:br/>
        <w:t xml:space="preserve">   Следует подчеркнуть, что методы исследования желудочной секреции, полученной титрационным способом, и рН-метрию нельзя противопоставлять, поскольку изучаемые показатели дополняют друг друга и дают более полное представление о функциональном состоянии желудка и двенадцатиперстной кишки. </w:t>
      </w:r>
      <w:r>
        <w:br/>
        <w:t>   </w:t>
      </w:r>
      <w:r>
        <w:rPr>
          <w:b/>
        </w:rPr>
        <w:t>Диагностика НР-инфекции у детей</w:t>
      </w:r>
      <w:r>
        <w:t xml:space="preserve"> представляет определенные сложности. </w:t>
      </w:r>
      <w:r>
        <w:br/>
        <w:t xml:space="preserve">   По рекомендации Российской группы по изучению НР (1997-1998 гг.) выделяются следующие методы диагностики: </w:t>
      </w:r>
      <w:r>
        <w:br/>
        <w:t xml:space="preserve">   • бактериологический - посев биоптата слизистой оболочки желудка на дифференциально-диагностическую среду; </w:t>
      </w:r>
      <w:r>
        <w:br/>
        <w:t xml:space="preserve">   • морфологический - окраска бактерий в гистологических препаратах слизистой оболочки; </w:t>
      </w:r>
      <w:r>
        <w:br/>
        <w:t xml:space="preserve">   • дыхательный - определение в выдыхаемом больным воздузе изотопов </w:t>
      </w:r>
      <w:r>
        <w:rPr>
          <w:vertAlign w:val="superscript"/>
        </w:rPr>
        <w:t>12</w:t>
      </w:r>
      <w:r>
        <w:t xml:space="preserve">С или </w:t>
      </w:r>
      <w:r>
        <w:rPr>
          <w:vertAlign w:val="superscript"/>
        </w:rPr>
        <w:t>13</w:t>
      </w:r>
      <w:r>
        <w:t xml:space="preserve">С; </w:t>
      </w:r>
      <w:r>
        <w:br/>
        <w:t xml:space="preserve">   • уреазный - определение уреазной активности в биоптатах слизистой оболочки. </w:t>
      </w:r>
    </w:p>
    <w:p w:rsidR="00102178" w:rsidRDefault="00102178">
      <w:pPr>
        <w:pStyle w:val="4"/>
      </w:pPr>
      <w:r>
        <w:t>Лечение</w:t>
      </w:r>
    </w:p>
    <w:p w:rsidR="00102178" w:rsidRDefault="00102178">
      <w:r>
        <w:t xml:space="preserve">   Лечение хронических гастродуоденитов и язвенной болезни должно быть комплексным, включать физический и психический покой в период обострения, лечебное питание, медикаментозную терапию и физиолечение. </w:t>
      </w:r>
      <w:r>
        <w:br/>
        <w:t xml:space="preserve">   При обострении заболевания назначается постельный режим на 3-5 дней, по мере стихания болевого и диспепсического синдромов режим расширяется. </w:t>
      </w:r>
      <w:r>
        <w:rPr>
          <w:b/>
        </w:rPr>
        <w:t>Диета</w:t>
      </w:r>
      <w:r>
        <w:t xml:space="preserve"> строится с учетом формы болезни и кислотности желудочного сока. При хронических гастродуоденитах с повышенной кислотностью и язвенной болезни используются столы №1а, №1б (Институт питания РАМН). Хронические гастродуодениты с секреторной недостаточностью нуждаются в диете, в состав которой входят сокогонные вещества. Этому контингенту детей назначается стол №2. Указанные диеты рекомендуются и после выписки ребенка из стационара в течение 3-6-12 мес. </w:t>
      </w:r>
      <w:r>
        <w:br/>
        <w:t xml:space="preserve">   В дальнейшем диета расширяется, но исключаются копчености, консервы, баранина и свинина. </w:t>
      </w:r>
      <w:r>
        <w:br/>
        <w:t>   </w:t>
      </w:r>
      <w:r>
        <w:rPr>
          <w:b/>
        </w:rPr>
        <w:t>Медикаментозная терапия</w:t>
      </w:r>
      <w:r>
        <w:t xml:space="preserve"> назначается с учетом нозологической формы и состояния секреторной функции желудка. </w:t>
      </w:r>
      <w:r>
        <w:br/>
        <w:t xml:space="preserve">   Больным хроническим гастродуоденитом с повышенной кислотностью и язвенной болезнью назначают антациды для блокирования кислотно-пептического фактора. </w:t>
      </w:r>
      <w:r>
        <w:br/>
        <w:t xml:space="preserve">   В педиатрии используются невсасывающиеся антациды, содержащие Аl/Mg. Альмагель, альмагель А - комбинированные препараты гидроокиси алюминия, окиси магния-назначаются по 1 мерной ложке 3-4 раза в день. Фосфалюгель наряду с блокадой кислотно-пептического фактора повышает защитный слизистый барьер, обладает большой буферной емкостью; назначается по 1-2 пакетика 3-4 раза в день. Гастрофарм помимо нейтрализации кислоты стимулирует репаративные процессы в гастродуоденальной слизистой оболочке и назначается по 1/2-1 таблетке 3-4 раза в день. Маалокс - невсасывающийся антацидный препарат, содержащий гидроокись алюминия и магния, - применяется как адсорбирующее, обволакивающее и антацидное средство по 10-15 мл суспензии 3-4 раза в день. Гастал - буферный антацид, содержащий алюминий, - назначается по 1 таблетке 3 раза в день. </w:t>
      </w:r>
      <w:r>
        <w:br/>
        <w:t xml:space="preserve">   Практика показывает, что антациды целесообразно назначать (комбинируя препараты) 4-5 раз в день и обязательно на ночь. </w:t>
      </w:r>
      <w:r>
        <w:br/>
        <w:t xml:space="preserve">   Широко используется в детской клинике сукральфат, оказывающий противокислотное, противовоспалительное и спазмолитическое действие в дозе 1/2-1 таблетка 3-4 раза в день натощак. </w:t>
      </w:r>
      <w:r>
        <w:br/>
        <w:t>   </w:t>
      </w:r>
      <w:r>
        <w:rPr>
          <w:b/>
        </w:rPr>
        <w:t>Коллидная соль висмута</w:t>
      </w:r>
      <w:r>
        <w:t xml:space="preserve"> образует на поверхности язв и эрозий защитную пленку, которая предохраняет их от действия агрессивного желудочного сока. Препарат увеличивает синтез простагландина Е2, стимулирующего образование слизи и секрецию бикарбонатов. Назначается по 1 таблетке 3 раза в день и перед сном. </w:t>
      </w:r>
      <w:r>
        <w:br/>
        <w:t>   </w:t>
      </w:r>
      <w:r>
        <w:rPr>
          <w:b/>
        </w:rPr>
        <w:t>Периферический м-холиноблокатор</w:t>
      </w:r>
      <w:r>
        <w:t xml:space="preserve"> метацин назначается по 1/2-1 таблетке 3 раза в день перед едой и обязательно перед сном, его следует принимать до исчезновения спонтанных болей.</w:t>
      </w:r>
      <w:r>
        <w:br/>
        <w:t xml:space="preserve">   М-холиноблокатор пирензепин, подавляя продукцию гастрина и увеличивая протекторные свойства желудочной слизи, назначается по 0,25 г 3-4 раза в день, курс 3-4 нед. Одновременно с м-холиноблокаторами при выраженном болевом синдроме назначаются </w:t>
      </w:r>
      <w:r>
        <w:rPr>
          <w:b/>
        </w:rPr>
        <w:t>спазмолитики</w:t>
      </w:r>
      <w:r>
        <w:t xml:space="preserve">. </w:t>
      </w:r>
      <w:r>
        <w:br/>
        <w:t xml:space="preserve">   Патогенетически обосновано назначение больным с синдромом "раздраженного желудка" </w:t>
      </w:r>
      <w:r>
        <w:rPr>
          <w:b/>
        </w:rPr>
        <w:t>блокаторов Н</w:t>
      </w:r>
      <w:r>
        <w:rPr>
          <w:b/>
          <w:vertAlign w:val="subscript"/>
        </w:rPr>
        <w:t>2</w:t>
      </w:r>
      <w:r>
        <w:rPr>
          <w:b/>
        </w:rPr>
        <w:t>-рецепторы гистамина</w:t>
      </w:r>
      <w:r>
        <w:t xml:space="preserve">, снижающих секрето- и кислотообразование, особенно в ночное время. </w:t>
      </w:r>
      <w:r>
        <w:br/>
        <w:t xml:space="preserve">   Представителем первого поколения этих препаратов является циметидин, который назначают в дозе 15-20 мг на 1 кг массы тела в сутки. </w:t>
      </w:r>
      <w:r>
        <w:br/>
        <w:t xml:space="preserve">   Препаратами второго и третьего поколения являются ранитидин, применяемый в дозе 4-5 мг на 1 кг массы тела в течение 3-4 нед, фамотидин, назначаемый по 20 мг 2 раза в сутки в течение 4-6 нед, и роксатидин, принимаемый по 75 мг 2 раза в день. </w:t>
      </w:r>
      <w:r>
        <w:br/>
        <w:t xml:space="preserve">   Эффективен в лечении язвенной болезни </w:t>
      </w:r>
      <w:r>
        <w:rPr>
          <w:b/>
        </w:rPr>
        <w:t>ингибитор протонного насоса</w:t>
      </w:r>
      <w:r>
        <w:t xml:space="preserve"> омепразол, назначаемый по 10-20 мг 1 раз в день, курс лечения 2 нед. </w:t>
      </w:r>
      <w:r>
        <w:br/>
        <w:t xml:space="preserve">   Цитопротекторным свойством обладают </w:t>
      </w:r>
      <w:r>
        <w:rPr>
          <w:b/>
        </w:rPr>
        <w:t>простагландины</w:t>
      </w:r>
      <w:r>
        <w:t xml:space="preserve"> (мизопростол). </w:t>
      </w:r>
      <w:r>
        <w:br/>
        <w:t xml:space="preserve">   Для устранения расстройства регулирующих функций ЦНС и снятия эмоциональной напряженности показаны седативные средства и транквилизаторы - курс 2-3 нед. </w:t>
      </w:r>
      <w:r>
        <w:br/>
        <w:t xml:space="preserve">   Несмотря на большое количество работ, посвященных лечению гастродуоденальной патологии, ассоциированной с НP, до настоящего времени у педиатров-гастроэнтерологов нет четкого представления о целесообразности выбора двойной, тройной или квадротерапии и антибактериальных средств, которые можно было бы оценить как "золотой стандарт". </w:t>
      </w:r>
      <w:r>
        <w:br/>
        <w:t xml:space="preserve">   В настоящее время в качестве </w:t>
      </w:r>
      <w:r>
        <w:rPr>
          <w:b/>
        </w:rPr>
        <w:t>антигеликобактерных средств</w:t>
      </w:r>
      <w:r>
        <w:t xml:space="preserve"> во всем мире используются следующие основные группы препаратов: </w:t>
      </w:r>
      <w:r>
        <w:br/>
        <w:t xml:space="preserve">   • антибиотики (тетрациклин, амоксициллин, оксациллин, кларитромицин и др.); </w:t>
      </w:r>
      <w:r>
        <w:br/>
        <w:t xml:space="preserve">   • препараты висмута; </w:t>
      </w:r>
      <w:r>
        <w:br/>
        <w:t xml:space="preserve">   • антипротозойные средства (метронидазол, тинидазол, нитазол); </w:t>
      </w:r>
      <w:r>
        <w:br/>
        <w:t>   • блокаторы Н</w:t>
      </w:r>
      <w:r>
        <w:rPr>
          <w:vertAlign w:val="subscript"/>
        </w:rPr>
        <w:t>2</w:t>
      </w:r>
      <w:r>
        <w:t xml:space="preserve">-рецепторов гистамина (ранитидин, фамотидин и др.); </w:t>
      </w:r>
      <w:r>
        <w:br/>
        <w:t>   • блокаторы протонного насоса (Н</w:t>
      </w:r>
      <w:r>
        <w:rPr>
          <w:vertAlign w:val="superscript"/>
        </w:rPr>
        <w:t>+</w:t>
      </w:r>
      <w:r>
        <w:t xml:space="preserve"> К</w:t>
      </w:r>
      <w:r>
        <w:rPr>
          <w:vertAlign w:val="superscript"/>
        </w:rPr>
        <w:t>+</w:t>
      </w:r>
      <w:r>
        <w:t xml:space="preserve">-АТФазы): омепразол, лансопразол. </w:t>
      </w:r>
      <w:r>
        <w:br/>
        <w:t xml:space="preserve">   Учитывая противоречивость данных об эффективности различных схем лечения НР у больных хроническим гастродуоденитом и язвенной болезнью по регионам РФ, следует поддержать инициативу Российской группы по изучению НP и, в частности, ответственного секретаря проф. П.Л. Щербакова, представившего на рассмотрение детской секции Российской гастроэнтерологической ассоциации во время IY Российской гастроэнтерологической недели (ноябрь 1998) проект рекомендуемых схем лечения заболеваний, ассоциированных с НP-инфекцией. Широкое обсуждение предложенных рекомендаций, определение оптимальных вариантов будут способствовать повышению эффективности лечения этой патологии у детей. </w:t>
      </w:r>
      <w:r>
        <w:br/>
        <w:t xml:space="preserve">   Принципиально иным должен быть </w:t>
      </w:r>
      <w:r>
        <w:rPr>
          <w:b/>
        </w:rPr>
        <w:t>подход к лечению хронических гастродуоденитов, протекающих с секреторной недостаточностью</w:t>
      </w:r>
      <w:r>
        <w:t xml:space="preserve"> за счет поражения слизистой оболочки фундального отдела желудка и подтвержденных данными гистологических и гистохимических исследований слизистой оболочки. </w:t>
      </w:r>
      <w:r>
        <w:br/>
        <w:t xml:space="preserve">   Этому контингенту больных необходимо назначение заместительной терапии - бетацид, ацидин-пепсин по 1/2-1 таблетке 3-4 раза в день во время еды. Курс лечения 2-3 нед. </w:t>
      </w:r>
      <w:r>
        <w:br/>
        <w:t>   Для стимуляции и восстановления регенерации слизистой оболочки показано назначение белковых гидролизатов. Хорошие результаты получены при назначении курсов пентоксила по 0,05-0,1 г 3 раза в день в течение 2-4 нед и метилурацила по 0,3-0,5 г 3 раза в день в течение 3-4 нед. обязательным в комплексе лечения этого контингента больных является назначение витаминов группы В (В</w:t>
      </w:r>
      <w:r>
        <w:rPr>
          <w:vertAlign w:val="subscript"/>
        </w:rPr>
        <w:t>1</w:t>
      </w:r>
      <w:r>
        <w:t>, В</w:t>
      </w:r>
      <w:r>
        <w:rPr>
          <w:vertAlign w:val="subscript"/>
        </w:rPr>
        <w:t>12</w:t>
      </w:r>
      <w:r>
        <w:t xml:space="preserve">), С, витамина U в виде солей метионинсульфония по 0,05 г 3 раза в день в течение 3-4 нед. При вовлечении в патологический процесс желчевыводящей системы и поджелудочной железы показано назначение ферментов. Для оптимизации кислотно-пептического фактора наряду с диетой широко используется назначение минеральных вод (славяновская, ессентуки 17, арзни, миргородская и др.). Минеральную воду принимают за 20-30 мин до еды 3-4 раза в день. Курс лечения составляет 4-6 нед. Показаны также настои полыни, шалфея, подорожника, рябины, календулы. </w:t>
      </w:r>
      <w:r>
        <w:br/>
        <w:t xml:space="preserve">   В педиатрической литературе представлено недостаточно наблюдений за отдаленными результатами лечения этих больных, в то же время с учетом увеличения в последние годы числа детей, имеющих субатрофические (атрофические) изменения слизистой фундального отдела желудка, этой форме болезни необходимо уделять большое внимание. </w:t>
      </w:r>
      <w:r>
        <w:br/>
        <w:t xml:space="preserve">   Физиотерапевтическое лечение включают электрофорезы, озокеритовые или парафиновые аппликации, индуктотерапию, гидротерапию. </w:t>
      </w:r>
      <w:r>
        <w:br/>
        <w:t xml:space="preserve">   Лечебная физкультура обязательна при лечении этой категории больных. </w:t>
      </w:r>
    </w:p>
    <w:p w:rsidR="00102178" w:rsidRDefault="00102178">
      <w:pPr>
        <w:jc w:val="center"/>
        <w:outlineLvl w:val="0"/>
      </w:pPr>
      <w:r>
        <w:rPr>
          <w:b/>
        </w:rPr>
        <w:t>Литература:</w:t>
      </w:r>
    </w:p>
    <w:p w:rsidR="00102178" w:rsidRDefault="00102178">
      <w:r>
        <w:rPr>
          <w:sz w:val="20"/>
        </w:rPr>
        <w:t xml:space="preserve">   1. Баранов А.А. Эпидемиология и организационные принципы течения неинфекционных заболеваний органов пищеварения у детей: Дис. ... д-ра мед. наук - М., 1977. </w:t>
      </w:r>
      <w:r>
        <w:rPr>
          <w:sz w:val="20"/>
        </w:rPr>
        <w:br/>
        <w:t xml:space="preserve">   2. Усанова Е.П. с соавт. Состояние гастроэнтерологической заболеваемости у школьников Нижегородского региона. Материалы 2-го конгресса педиатров России М-Н.Новгород, 1996. </w:t>
      </w:r>
      <w:r>
        <w:rPr>
          <w:sz w:val="20"/>
        </w:rPr>
        <w:br/>
        <w:t xml:space="preserve">   3. Баранов А.А., Гринина О.В. Болезни органов пищеварения у детей: Принципы профилактики и медицинского обслуживания. - Горький. - 1981;160. </w:t>
      </w:r>
      <w:r>
        <w:rPr>
          <w:sz w:val="20"/>
        </w:rPr>
        <w:br/>
        <w:t xml:space="preserve">   4. Волков А.И. Клинико-морфологические варианты прогнозирования течения и лечения хронических гастродуоденитов и язвенной болезни у детей: Дис. ... д-ра мед. наук - М., 1986. </w:t>
      </w:r>
      <w:r>
        <w:rPr>
          <w:sz w:val="20"/>
        </w:rPr>
        <w:br/>
        <w:t xml:space="preserve">   5. Болезни органов пищеварения: Руководство для врачей (под ред. А.В. Мазурина). - М., 1984;655. </w:t>
      </w:r>
      <w:r>
        <w:rPr>
          <w:sz w:val="20"/>
        </w:rPr>
        <w:br/>
        <w:t xml:space="preserve">   6. Запруднов А.М., Мазурин А.М., Филин В.А. ВОМ и Д, - 1983;9:41-7. </w:t>
      </w:r>
      <w:r>
        <w:rPr>
          <w:sz w:val="20"/>
        </w:rPr>
        <w:br/>
        <w:t xml:space="preserve">   7. Суринов В.А. Клиника, диагностика, патогенез и особенности лечения гастродуоденальной патологии, ассоциированной с геликобактериозом у детей: Дис. ... д-ра мед. наук - Пермь, 1998;259. </w:t>
      </w:r>
      <w:r>
        <w:rPr>
          <w:sz w:val="20"/>
        </w:rPr>
        <w:br/>
        <w:t>   8. Закомерный А.Г. Современные клинико-эпидемиологические особенности язвенной болезни в детском возрасте и подходы к этапному лечению больных: Дис. ... д-ра мед. наук - 1992.</w:t>
      </w:r>
      <w:r>
        <w:rPr>
          <w:sz w:val="20"/>
        </w:rPr>
        <w:br/>
        <w:t xml:space="preserve">   9. Справочник по детской гастроэнтерологии (под ред. А.М. Запруднова, А.И. Волкова). М.: Медицина, 1995;384. </w:t>
      </w:r>
      <w:r>
        <w:rPr>
          <w:sz w:val="20"/>
        </w:rPr>
        <w:br/>
        <w:t xml:space="preserve">   10. Парамонов А.А. Органосохраняющие операции при заболеваниях желудка и двенадцатиперстной кишки у детей.: Докт. дисс. Н.Н. -1988. </w:t>
      </w:r>
      <w:r>
        <w:rPr>
          <w:sz w:val="20"/>
        </w:rPr>
        <w:br/>
        <w:t xml:space="preserve">   11. Практические вопросы детской гастроэнтерологии. С. П. (сборник лекций и научных работ) под ред. проф. В.П. Пайкова, С-Петербург, 1996;185. </w:t>
      </w:r>
      <w:r>
        <w:rPr>
          <w:sz w:val="20"/>
        </w:rPr>
        <w:br/>
        <w:t>   12. Блинков И.Л. Проблема Helicobacter pylori - миф и реальность.</w:t>
      </w:r>
      <w:r>
        <w:rPr>
          <w:sz w:val="20"/>
        </w:rPr>
        <w:br/>
        <w:t xml:space="preserve">   Клин. мед.1997;12:71-4. </w:t>
      </w:r>
      <w:r>
        <w:rPr>
          <w:sz w:val="20"/>
        </w:rPr>
        <w:br/>
        <w:t xml:space="preserve">   13. Аруин Л.И. Григорьев П.Я., Исаков В.А., Яковенко Э.П., Хронический гастрит. - Амстердам, 1993;362. </w:t>
      </w:r>
      <w:r>
        <w:rPr>
          <w:sz w:val="20"/>
        </w:rPr>
        <w:br/>
        <w:t xml:space="preserve">   14. Аруин Л.И. Helicobacter pylori в этиологии и патогенезе язвенной болезни. - Материалы VII сессии Российской группы по изучению Helicobacter pylori. - Н.Новгород. - 1998;6-11. </w:t>
      </w:r>
      <w:r>
        <w:rPr>
          <w:sz w:val="20"/>
        </w:rPr>
        <w:br/>
        <w:t>   15. Щербаков П.Л., Филин В.А., Мазурин А.В. и др. Актуальные проблемы пилорического геликобактериоза на современном этапе. Педиатрия. 1997;1:7-12.   </w:t>
      </w:r>
      <w:r>
        <w:rPr>
          <w:sz w:val="20"/>
        </w:rPr>
        <w:br/>
        <w:t>   </w:t>
      </w:r>
      <w:bookmarkStart w:id="4" w:name="_GoBack"/>
      <w:bookmarkEnd w:id="4"/>
    </w:p>
    <w:sectPr w:rsidR="00102178">
      <w:pgSz w:w="11906" w:h="16838" w:code="9"/>
      <w:pgMar w:top="567" w:right="284" w:bottom="851" w:left="1134" w:header="284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mirrorMargins/>
  <w:bordersDoNotSurroundHeader/>
  <w:bordersDoNotSurroundFooter/>
  <w:revisionView w:markup="0"/>
  <w:doNotTrackMoves/>
  <w:doNotTrackFormatting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F2E5E"/>
    <w:rsid w:val="00102178"/>
    <w:rsid w:val="0014397A"/>
    <w:rsid w:val="001B27AB"/>
    <w:rsid w:val="005F2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134C2F6E-D8C4-44CB-9053-28F561383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before="100" w:after="100"/>
    </w:pPr>
    <w:rPr>
      <w:snapToGrid w:val="0"/>
      <w:color w:val="000000"/>
      <w:sz w:val="24"/>
    </w:rPr>
  </w:style>
  <w:style w:type="paragraph" w:styleId="1">
    <w:name w:val="heading 1"/>
    <w:basedOn w:val="a"/>
    <w:next w:val="a"/>
    <w:qFormat/>
    <w:pPr>
      <w:keepNext/>
      <w:widowControl/>
      <w:spacing w:before="0" w:after="0"/>
      <w:jc w:val="center"/>
      <w:outlineLvl w:val="0"/>
    </w:pPr>
    <w:rPr>
      <w:b/>
      <w:snapToGrid/>
      <w:color w:val="800000"/>
      <w:sz w:val="72"/>
    </w:rPr>
  </w:style>
  <w:style w:type="paragraph" w:styleId="2">
    <w:name w:val="heading 2"/>
    <w:basedOn w:val="a"/>
    <w:next w:val="a"/>
    <w:qFormat/>
    <w:pPr>
      <w:keepNext/>
      <w:ind w:firstLine="2268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ind w:firstLine="1276"/>
      <w:outlineLvl w:val="2"/>
    </w:pPr>
    <w:rPr>
      <w:b/>
    </w:rPr>
  </w:style>
  <w:style w:type="paragraph" w:styleId="4">
    <w:name w:val="heading 4"/>
    <w:basedOn w:val="a"/>
    <w:next w:val="a"/>
    <w:qFormat/>
    <w:pPr>
      <w:keepNext/>
      <w:ind w:firstLine="3402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рмин"/>
    <w:basedOn w:val="a"/>
    <w:next w:val="a4"/>
    <w:pPr>
      <w:spacing w:before="0" w:after="0"/>
    </w:pPr>
    <w:rPr>
      <w:color w:val="auto"/>
    </w:rPr>
  </w:style>
  <w:style w:type="paragraph" w:customStyle="1" w:styleId="a4">
    <w:name w:val="Список определений"/>
    <w:basedOn w:val="a"/>
    <w:next w:val="a3"/>
    <w:pPr>
      <w:spacing w:before="0" w:after="0"/>
      <w:ind w:left="360"/>
    </w:pPr>
    <w:rPr>
      <w:color w:val="auto"/>
    </w:rPr>
  </w:style>
  <w:style w:type="character" w:customStyle="1" w:styleId="a5">
    <w:name w:val="Определение"/>
    <w:rPr>
      <w:i/>
    </w:rPr>
  </w:style>
  <w:style w:type="paragraph" w:customStyle="1" w:styleId="H1">
    <w:name w:val="H1"/>
    <w:basedOn w:val="a"/>
    <w:next w:val="a"/>
    <w:pPr>
      <w:keepNext/>
      <w:outlineLvl w:val="1"/>
    </w:pPr>
    <w:rPr>
      <w:b/>
      <w:color w:val="auto"/>
      <w:kern w:val="36"/>
      <w:sz w:val="48"/>
    </w:rPr>
  </w:style>
  <w:style w:type="paragraph" w:customStyle="1" w:styleId="H2">
    <w:name w:val="H2"/>
    <w:basedOn w:val="a"/>
    <w:next w:val="a"/>
    <w:pPr>
      <w:keepNext/>
      <w:outlineLvl w:val="2"/>
    </w:pPr>
    <w:rPr>
      <w:b/>
      <w:color w:val="auto"/>
      <w:sz w:val="36"/>
    </w:rPr>
  </w:style>
  <w:style w:type="paragraph" w:customStyle="1" w:styleId="H3">
    <w:name w:val="H3"/>
    <w:basedOn w:val="a"/>
    <w:next w:val="a"/>
    <w:pPr>
      <w:keepNext/>
      <w:outlineLvl w:val="3"/>
    </w:pPr>
    <w:rPr>
      <w:b/>
      <w:color w:val="auto"/>
      <w:sz w:val="28"/>
    </w:rPr>
  </w:style>
  <w:style w:type="paragraph" w:customStyle="1" w:styleId="H4">
    <w:name w:val="H4"/>
    <w:basedOn w:val="a"/>
    <w:next w:val="a"/>
    <w:pPr>
      <w:keepNext/>
      <w:outlineLvl w:val="4"/>
    </w:pPr>
    <w:rPr>
      <w:b/>
      <w:color w:val="auto"/>
    </w:rPr>
  </w:style>
  <w:style w:type="paragraph" w:customStyle="1" w:styleId="H5">
    <w:name w:val="H5"/>
    <w:basedOn w:val="a"/>
    <w:next w:val="a"/>
    <w:pPr>
      <w:keepNext/>
      <w:outlineLvl w:val="5"/>
    </w:pPr>
    <w:rPr>
      <w:b/>
      <w:color w:val="auto"/>
      <w:sz w:val="20"/>
    </w:rPr>
  </w:style>
  <w:style w:type="paragraph" w:customStyle="1" w:styleId="H6">
    <w:name w:val="H6"/>
    <w:basedOn w:val="a"/>
    <w:next w:val="a"/>
    <w:pPr>
      <w:keepNext/>
      <w:outlineLvl w:val="6"/>
    </w:pPr>
    <w:rPr>
      <w:b/>
      <w:color w:val="auto"/>
      <w:sz w:val="16"/>
    </w:rPr>
  </w:style>
  <w:style w:type="paragraph" w:customStyle="1" w:styleId="a6">
    <w:name w:val="Адреса"/>
    <w:basedOn w:val="a"/>
    <w:next w:val="a"/>
    <w:pPr>
      <w:spacing w:before="0" w:after="0"/>
    </w:pPr>
    <w:rPr>
      <w:i/>
      <w:color w:val="auto"/>
    </w:rPr>
  </w:style>
  <w:style w:type="paragraph" w:customStyle="1" w:styleId="a7">
    <w:name w:val="Цитаты"/>
    <w:basedOn w:val="a"/>
    <w:pPr>
      <w:ind w:left="360" w:right="360"/>
    </w:pPr>
    <w:rPr>
      <w:color w:val="auto"/>
    </w:rPr>
  </w:style>
  <w:style w:type="character" w:customStyle="1" w:styleId="a8">
    <w:name w:val="Узел"/>
    <w:rPr>
      <w:i/>
    </w:rPr>
  </w:style>
  <w:style w:type="character" w:customStyle="1" w:styleId="a9">
    <w:name w:val="Код"/>
    <w:rPr>
      <w:rFonts w:ascii="Courier New" w:hAnsi="Courier New"/>
      <w:sz w:val="20"/>
    </w:rPr>
  </w:style>
  <w:style w:type="character" w:styleId="aa">
    <w:name w:val="Emphasis"/>
    <w:qFormat/>
    <w:rPr>
      <w:i/>
    </w:rPr>
  </w:style>
  <w:style w:type="character" w:styleId="ab">
    <w:name w:val="Hyperlink"/>
    <w:semiHidden/>
    <w:rPr>
      <w:color w:val="0000FF"/>
      <w:u w:val="single"/>
    </w:rPr>
  </w:style>
  <w:style w:type="character" w:styleId="ac">
    <w:name w:val="FollowedHyperlink"/>
    <w:semiHidden/>
    <w:rPr>
      <w:color w:val="808000"/>
      <w:u w:val="single"/>
    </w:rPr>
  </w:style>
  <w:style w:type="character" w:customStyle="1" w:styleId="ad">
    <w:name w:val="Клавиатура"/>
    <w:rPr>
      <w:rFonts w:ascii="Courier New" w:hAnsi="Courier New"/>
      <w:b/>
      <w:sz w:val="20"/>
    </w:rPr>
  </w:style>
  <w:style w:type="paragraph" w:customStyle="1" w:styleId="ae">
    <w:name w:val="Готовый"/>
    <w:basedOn w:val="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color w:val="auto"/>
      <w:sz w:val="20"/>
    </w:rPr>
  </w:style>
  <w:style w:type="paragraph" w:customStyle="1" w:styleId="z-BottomofForm">
    <w:name w:val="z-Bottom of Form"/>
    <w:next w:val="a"/>
    <w:hidden/>
    <w:pPr>
      <w:widowControl w:val="0"/>
      <w:pBdr>
        <w:top w:val="double" w:sz="2" w:space="0" w:color="000000"/>
      </w:pBdr>
      <w:jc w:val="center"/>
    </w:pPr>
    <w:rPr>
      <w:rFonts w:ascii="Arial" w:hAnsi="Arial"/>
      <w:snapToGrid w:val="0"/>
      <w:vanish/>
      <w:sz w:val="16"/>
    </w:rPr>
  </w:style>
  <w:style w:type="paragraph" w:customStyle="1" w:styleId="z-TopofForm">
    <w:name w:val="z-Top of Form"/>
    <w:next w:val="a"/>
    <w:hidden/>
    <w:pPr>
      <w:widowControl w:val="0"/>
      <w:pBdr>
        <w:bottom w:val="double" w:sz="2" w:space="0" w:color="000000"/>
      </w:pBdr>
      <w:jc w:val="center"/>
    </w:pPr>
    <w:rPr>
      <w:rFonts w:ascii="Arial" w:hAnsi="Arial"/>
      <w:snapToGrid w:val="0"/>
      <w:vanish/>
      <w:sz w:val="16"/>
    </w:rPr>
  </w:style>
  <w:style w:type="character" w:customStyle="1" w:styleId="af">
    <w:name w:val="Образец"/>
    <w:rPr>
      <w:rFonts w:ascii="Courier New" w:hAnsi="Courier New"/>
    </w:rPr>
  </w:style>
  <w:style w:type="character" w:styleId="af0">
    <w:name w:val="Strong"/>
    <w:qFormat/>
    <w:rPr>
      <w:b/>
    </w:rPr>
  </w:style>
  <w:style w:type="character" w:customStyle="1" w:styleId="af1">
    <w:name w:val="Печатная машинка"/>
    <w:rPr>
      <w:rFonts w:ascii="Courier New" w:hAnsi="Courier New"/>
      <w:sz w:val="20"/>
    </w:rPr>
  </w:style>
  <w:style w:type="character" w:customStyle="1" w:styleId="af2">
    <w:name w:val="Переменная"/>
    <w:rPr>
      <w:i/>
    </w:rPr>
  </w:style>
  <w:style w:type="character" w:customStyle="1" w:styleId="HTML">
    <w:name w:val="Разметка HTML"/>
    <w:rPr>
      <w:vanish/>
      <w:color w:val="FF0000"/>
    </w:rPr>
  </w:style>
  <w:style w:type="character" w:customStyle="1" w:styleId="af3">
    <w:name w:val="Примечание"/>
    <w:rPr>
      <w:vanish/>
    </w:rPr>
  </w:style>
  <w:style w:type="paragraph" w:styleId="af4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f5">
    <w:name w:val="Body Text Indent"/>
    <w:basedOn w:val="a"/>
    <w:semiHidden/>
    <w:pPr>
      <w:ind w:firstLine="850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6351</Words>
  <Characters>36206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42473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Острик В.М.</dc:creator>
  <cp:keywords/>
  <dc:description/>
  <cp:lastModifiedBy>admin</cp:lastModifiedBy>
  <cp:revision>2</cp:revision>
  <dcterms:created xsi:type="dcterms:W3CDTF">2014-02-07T07:42:00Z</dcterms:created>
  <dcterms:modified xsi:type="dcterms:W3CDTF">2014-02-07T07:42:00Z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scription">
    <vt:lpwstr>Русский Медицинский журнал том 7 № 4 февраль 1999 г.</vt:lpwstr>
  </property>
  <property fmtid="{D5CDD505-2E9C-101B-9397-08002B2CF9AE}" pid="3" name="GENERATOR">
    <vt:lpwstr>Microsoft FrontPage 2.0</vt:lpwstr>
  </property>
  <property fmtid="{D5CDD505-2E9C-101B-9397-08002B2CF9AE}" pid="4" name="UnknownBody_0_1_0">
    <vt:lpwstr>alink="#FF0000"</vt:lpwstr>
  </property>
</Properties>
</file>