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60C" w:rsidRPr="00B82CB0" w:rsidRDefault="00F0460C" w:rsidP="00B82CB0">
      <w:pPr>
        <w:pStyle w:val="a4"/>
        <w:spacing w:before="0" w:beforeAutospacing="0" w:after="0" w:afterAutospacing="0" w:line="360" w:lineRule="auto"/>
        <w:ind w:firstLine="709"/>
        <w:jc w:val="both"/>
        <w:rPr>
          <w:sz w:val="28"/>
          <w:szCs w:val="28"/>
        </w:rPr>
      </w:pPr>
      <w:bookmarkStart w:id="0" w:name="1001999-L-136"/>
      <w:bookmarkEnd w:id="0"/>
      <w:r w:rsidRPr="00B82CB0">
        <w:rPr>
          <w:sz w:val="28"/>
          <w:szCs w:val="28"/>
        </w:rPr>
        <w:t>Существуют понятия об относительном и абсолютном возрасте горных пород.</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i/>
          <w:iCs/>
          <w:sz w:val="28"/>
          <w:szCs w:val="28"/>
        </w:rPr>
        <w:t>Относительный геологический возраст</w:t>
      </w:r>
      <w:r w:rsidRPr="00B82CB0">
        <w:rPr>
          <w:sz w:val="28"/>
          <w:szCs w:val="28"/>
        </w:rPr>
        <w:t xml:space="preserve"> – время какого-либо события относительно другого геологического события. Определяется по остаткам вымерших организмов, содержащихся в горных породах – палеонтологический метод, и по соотношению геологических тел: слоев, линз, потоков между собой – геолого-стратиграфический метод.</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Основой палеонтологического метода служит принцип последовательной смены неповторяющихся в разрезах фаунистических и флористических комплексов, отражающих этапность их исторического развития. Они используют одно из основных положений эволюционного учения – необратимость эволюции: организм не может вернуться, хотя бы частично, к прежнему состоянию, которое было уже осуществлено в ряду его предков. Те или иные виды растений и животных могут существовать на Земле только один раз. Они появляются, максимально возможно расселяются на земной поверхности, а затем вымирают, уступая жизненную арену более приспособленным к изменившейся окружающей среде организмам. Поэтому, каждый комплекс ископаемых организмов, приуроченный к тому или иному слою, отражает определенный этап развития органического мира и является неповторимым. Это и дает возможность использовать остатки ископаемых организмов для определения относительного возраста горных пород, определить какие отложения древнее, а какие – моложе, даже если они друг с другом не контактируют.</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Помимо палеонтологического широко применяются микропалеонтологический, спорово-пыльцевой, диатомовый и другие методы.</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Геолого-стратиграфический метод основан на том положении, что в разрезе нормально залегающих отложений (не перевернутых после накопления) нижележащий слой всегда древнее вышележащего (закон Н. Стено </w:t>
      </w:r>
      <w:smartTag w:uri="urn:schemas-microsoft-com:office:smarttags" w:element="metricconverter">
        <w:smartTagPr>
          <w:attr w:name="ProductID" w:val="1669 г"/>
        </w:smartTagPr>
        <w:r w:rsidRPr="00B82CB0">
          <w:rPr>
            <w:sz w:val="28"/>
            <w:szCs w:val="28"/>
          </w:rPr>
          <w:t>1669 г</w:t>
        </w:r>
      </w:smartTag>
      <w:r w:rsidRPr="00B82CB0">
        <w:rPr>
          <w:sz w:val="28"/>
          <w:szCs w:val="28"/>
        </w:rPr>
        <w:t>.), а прорванные породы – более древние по отношению к прорывающим.</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Определение относительного возраста горных пород позволило все известные отложения земного шара разделить на пять группы: архейскую, протерозойскую, палеозойскую, мезозойскую и кайнозойскую. Время накопления отложений групп названо эрой. Эры разделяются на периоды (табл. 10).</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Архейская эра означает древнейшая, а с учетом последующей протерозойской – времени первичной жизни или возникновения жизни, дожизненная. Палеозойская эра – время древней жизни, мезозойская – средней жизни, кайнозойская – молодой жизни.</w:t>
      </w:r>
    </w:p>
    <w:p w:rsidR="00B82CB0" w:rsidRDefault="00B82CB0" w:rsidP="00B82CB0">
      <w:pPr>
        <w:pStyle w:val="a4"/>
        <w:spacing w:before="0" w:beforeAutospacing="0" w:after="0" w:afterAutospacing="0" w:line="360" w:lineRule="auto"/>
        <w:ind w:firstLine="709"/>
        <w:jc w:val="both"/>
        <w:rPr>
          <w:b/>
          <w:bCs/>
          <w:i/>
          <w:iCs/>
          <w:sz w:val="28"/>
          <w:szCs w:val="28"/>
          <w:lang w:val="en-US"/>
        </w:rPr>
      </w:pP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b/>
          <w:bCs/>
          <w:i/>
          <w:iCs/>
          <w:sz w:val="28"/>
          <w:szCs w:val="28"/>
        </w:rPr>
        <w:t>Таблица 10. Геохронологическая шкала</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55"/>
        <w:gridCol w:w="1831"/>
        <w:gridCol w:w="2790"/>
      </w:tblGrid>
      <w:tr w:rsidR="00F0460C" w:rsidRPr="00B82CB0">
        <w:trPr>
          <w:tblCellSpacing w:w="15" w:type="dxa"/>
          <w:jc w:val="center"/>
        </w:trPr>
        <w:tc>
          <w:tcPr>
            <w:tcW w:w="0" w:type="auto"/>
            <w:vMerge w:val="restart"/>
            <w:tcBorders>
              <w:top w:val="outset" w:sz="6" w:space="0" w:color="auto"/>
              <w:bottom w:val="outset" w:sz="6" w:space="0" w:color="auto"/>
              <w:right w:val="outset" w:sz="6" w:space="0" w:color="auto"/>
            </w:tcBorders>
            <w:vAlign w:val="center"/>
          </w:tcPr>
          <w:p w:rsidR="00F0460C" w:rsidRPr="00B82CB0" w:rsidRDefault="00F0460C" w:rsidP="00B82CB0">
            <w:pPr>
              <w:pStyle w:val="a4"/>
              <w:spacing w:before="0" w:beforeAutospacing="0" w:after="0" w:afterAutospacing="0" w:line="360" w:lineRule="auto"/>
              <w:rPr>
                <w:sz w:val="20"/>
                <w:szCs w:val="20"/>
              </w:rPr>
            </w:pPr>
            <w:r w:rsidRPr="00B82CB0">
              <w:rPr>
                <w:sz w:val="20"/>
                <w:szCs w:val="20"/>
              </w:rPr>
              <w:t>Ф </w:t>
            </w:r>
            <w:r w:rsidRPr="00B82CB0">
              <w:rPr>
                <w:sz w:val="20"/>
                <w:szCs w:val="20"/>
              </w:rPr>
              <w:br/>
              <w:t>а</w:t>
            </w:r>
            <w:r w:rsidRPr="00B82CB0">
              <w:rPr>
                <w:sz w:val="20"/>
                <w:szCs w:val="20"/>
              </w:rPr>
              <w:br/>
              <w:t>н</w:t>
            </w:r>
            <w:r w:rsidRPr="00B82CB0">
              <w:rPr>
                <w:sz w:val="20"/>
                <w:szCs w:val="20"/>
              </w:rPr>
              <w:br/>
              <w:t>е </w:t>
            </w:r>
            <w:r w:rsidRPr="00B82CB0">
              <w:rPr>
                <w:sz w:val="20"/>
                <w:szCs w:val="20"/>
              </w:rPr>
              <w:br/>
              <w:t>р </w:t>
            </w:r>
            <w:r w:rsidRPr="00B82CB0">
              <w:rPr>
                <w:sz w:val="20"/>
                <w:szCs w:val="20"/>
              </w:rPr>
              <w:br/>
              <w:t>о</w:t>
            </w:r>
            <w:r w:rsidRPr="00B82CB0">
              <w:rPr>
                <w:sz w:val="20"/>
                <w:szCs w:val="20"/>
              </w:rPr>
              <w:br/>
              <w:t>з</w:t>
            </w:r>
            <w:r w:rsidRPr="00B82CB0">
              <w:rPr>
                <w:sz w:val="20"/>
                <w:szCs w:val="20"/>
              </w:rPr>
              <w:br/>
              <w:t>о</w:t>
            </w:r>
            <w:r w:rsidRPr="00B82CB0">
              <w:rPr>
                <w:sz w:val="20"/>
                <w:szCs w:val="20"/>
              </w:rPr>
              <w:br/>
              <w:t>й</w:t>
            </w:r>
          </w:p>
        </w:tc>
        <w:tc>
          <w:tcPr>
            <w:tcW w:w="0" w:type="auto"/>
            <w:tcBorders>
              <w:top w:val="outset" w:sz="6" w:space="0" w:color="auto"/>
              <w:left w:val="outset" w:sz="6" w:space="0" w:color="auto"/>
              <w:bottom w:val="outset" w:sz="6" w:space="0" w:color="auto"/>
              <w:right w:val="outset" w:sz="6" w:space="0" w:color="auto"/>
            </w:tcBorders>
            <w:vAlign w:val="center"/>
          </w:tcPr>
          <w:p w:rsidR="00F0460C" w:rsidRPr="00B82CB0" w:rsidRDefault="00F0460C" w:rsidP="00B82CB0">
            <w:pPr>
              <w:spacing w:line="360" w:lineRule="auto"/>
              <w:rPr>
                <w:sz w:val="20"/>
                <w:szCs w:val="20"/>
              </w:rPr>
            </w:pPr>
            <w:r w:rsidRPr="00B82CB0">
              <w:rPr>
                <w:sz w:val="20"/>
                <w:szCs w:val="20"/>
              </w:rPr>
              <w:t>Эры</w:t>
            </w:r>
          </w:p>
        </w:tc>
        <w:tc>
          <w:tcPr>
            <w:tcW w:w="0" w:type="auto"/>
            <w:tcBorders>
              <w:top w:val="outset" w:sz="6" w:space="0" w:color="auto"/>
              <w:left w:val="outset" w:sz="6" w:space="0" w:color="auto"/>
              <w:bottom w:val="outset" w:sz="6" w:space="0" w:color="auto"/>
            </w:tcBorders>
            <w:vAlign w:val="center"/>
          </w:tcPr>
          <w:p w:rsidR="00F0460C" w:rsidRPr="00B82CB0" w:rsidRDefault="00F0460C" w:rsidP="00B82CB0">
            <w:pPr>
              <w:spacing w:line="360" w:lineRule="auto"/>
              <w:rPr>
                <w:sz w:val="20"/>
                <w:szCs w:val="20"/>
              </w:rPr>
            </w:pPr>
            <w:r w:rsidRPr="00B82CB0">
              <w:rPr>
                <w:sz w:val="20"/>
                <w:szCs w:val="20"/>
              </w:rPr>
              <w:t>Периоды</w:t>
            </w:r>
          </w:p>
        </w:tc>
      </w:tr>
      <w:tr w:rsidR="00F0460C" w:rsidRPr="00B82CB0">
        <w:trPr>
          <w:tblCellSpacing w:w="15" w:type="dxa"/>
          <w:jc w:val="center"/>
        </w:trPr>
        <w:tc>
          <w:tcPr>
            <w:tcW w:w="0" w:type="auto"/>
            <w:vMerge/>
            <w:tcBorders>
              <w:top w:val="outset" w:sz="6" w:space="0" w:color="auto"/>
              <w:bottom w:val="outset" w:sz="6" w:space="0" w:color="auto"/>
              <w:right w:val="outset" w:sz="6" w:space="0" w:color="auto"/>
            </w:tcBorders>
            <w:vAlign w:val="center"/>
          </w:tcPr>
          <w:p w:rsidR="00F0460C" w:rsidRPr="00B82CB0" w:rsidRDefault="00F0460C" w:rsidP="00B82CB0">
            <w:pPr>
              <w:spacing w:line="360" w:lineRule="auto"/>
              <w:rPr>
                <w:sz w:val="20"/>
                <w:szCs w:val="20"/>
              </w:rPr>
            </w:pP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F0460C" w:rsidRPr="00B82CB0" w:rsidRDefault="00F0460C" w:rsidP="00B82CB0">
            <w:pPr>
              <w:spacing w:line="360" w:lineRule="auto"/>
              <w:rPr>
                <w:sz w:val="20"/>
                <w:szCs w:val="20"/>
              </w:rPr>
            </w:pPr>
            <w:r w:rsidRPr="00B82CB0">
              <w:rPr>
                <w:sz w:val="20"/>
                <w:szCs w:val="20"/>
              </w:rPr>
              <w:t>Кайнозойская – Kz</w:t>
            </w:r>
          </w:p>
        </w:tc>
        <w:tc>
          <w:tcPr>
            <w:tcW w:w="0" w:type="auto"/>
            <w:tcBorders>
              <w:top w:val="outset" w:sz="6" w:space="0" w:color="auto"/>
              <w:left w:val="outset" w:sz="6" w:space="0" w:color="auto"/>
              <w:bottom w:val="outset" w:sz="6" w:space="0" w:color="auto"/>
            </w:tcBorders>
            <w:vAlign w:val="center"/>
          </w:tcPr>
          <w:p w:rsidR="00F0460C" w:rsidRPr="00B82CB0" w:rsidRDefault="00F0460C" w:rsidP="00B82CB0">
            <w:pPr>
              <w:spacing w:line="360" w:lineRule="auto"/>
              <w:rPr>
                <w:sz w:val="20"/>
                <w:szCs w:val="20"/>
              </w:rPr>
            </w:pPr>
            <w:r w:rsidRPr="00B82CB0">
              <w:rPr>
                <w:sz w:val="20"/>
                <w:szCs w:val="20"/>
              </w:rPr>
              <w:t>Четвертичный – Q</w:t>
            </w:r>
          </w:p>
        </w:tc>
      </w:tr>
      <w:tr w:rsidR="00F0460C" w:rsidRPr="00B82CB0">
        <w:trPr>
          <w:tblCellSpacing w:w="15" w:type="dxa"/>
          <w:jc w:val="center"/>
        </w:trPr>
        <w:tc>
          <w:tcPr>
            <w:tcW w:w="0" w:type="auto"/>
            <w:vMerge/>
            <w:tcBorders>
              <w:top w:val="outset" w:sz="6" w:space="0" w:color="auto"/>
              <w:bottom w:val="outset" w:sz="6" w:space="0" w:color="auto"/>
              <w:right w:val="outset" w:sz="6" w:space="0" w:color="auto"/>
            </w:tcBorders>
            <w:vAlign w:val="center"/>
          </w:tcPr>
          <w:p w:rsidR="00F0460C" w:rsidRPr="00B82CB0" w:rsidRDefault="00F0460C" w:rsidP="00B82CB0">
            <w:pPr>
              <w:spacing w:line="360" w:lineRule="auto"/>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F0460C" w:rsidRPr="00B82CB0" w:rsidRDefault="00F0460C" w:rsidP="00B82CB0">
            <w:pPr>
              <w:spacing w:line="360" w:lineRule="auto"/>
              <w:rPr>
                <w:sz w:val="20"/>
                <w:szCs w:val="20"/>
              </w:rPr>
            </w:pPr>
          </w:p>
        </w:tc>
        <w:tc>
          <w:tcPr>
            <w:tcW w:w="0" w:type="auto"/>
            <w:tcBorders>
              <w:top w:val="outset" w:sz="6" w:space="0" w:color="auto"/>
              <w:left w:val="outset" w:sz="6" w:space="0" w:color="auto"/>
              <w:bottom w:val="outset" w:sz="6" w:space="0" w:color="auto"/>
            </w:tcBorders>
            <w:vAlign w:val="center"/>
          </w:tcPr>
          <w:p w:rsidR="00F0460C" w:rsidRPr="00B82CB0" w:rsidRDefault="00F0460C" w:rsidP="00B82CB0">
            <w:pPr>
              <w:spacing w:line="360" w:lineRule="auto"/>
              <w:rPr>
                <w:sz w:val="20"/>
                <w:szCs w:val="20"/>
              </w:rPr>
            </w:pPr>
            <w:r w:rsidRPr="00B82CB0">
              <w:rPr>
                <w:sz w:val="20"/>
                <w:szCs w:val="20"/>
              </w:rPr>
              <w:t>Неогеновый – N</w:t>
            </w:r>
          </w:p>
        </w:tc>
      </w:tr>
      <w:tr w:rsidR="00F0460C" w:rsidRPr="00B82CB0">
        <w:trPr>
          <w:tblCellSpacing w:w="15" w:type="dxa"/>
          <w:jc w:val="center"/>
        </w:trPr>
        <w:tc>
          <w:tcPr>
            <w:tcW w:w="0" w:type="auto"/>
            <w:vMerge/>
            <w:tcBorders>
              <w:top w:val="outset" w:sz="6" w:space="0" w:color="auto"/>
              <w:bottom w:val="outset" w:sz="6" w:space="0" w:color="auto"/>
              <w:right w:val="outset" w:sz="6" w:space="0" w:color="auto"/>
            </w:tcBorders>
            <w:vAlign w:val="center"/>
          </w:tcPr>
          <w:p w:rsidR="00F0460C" w:rsidRPr="00B82CB0" w:rsidRDefault="00F0460C" w:rsidP="00B82CB0">
            <w:pPr>
              <w:spacing w:line="360" w:lineRule="auto"/>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F0460C" w:rsidRPr="00B82CB0" w:rsidRDefault="00F0460C" w:rsidP="00B82CB0">
            <w:pPr>
              <w:spacing w:line="360" w:lineRule="auto"/>
              <w:rPr>
                <w:sz w:val="20"/>
                <w:szCs w:val="20"/>
              </w:rPr>
            </w:pPr>
          </w:p>
        </w:tc>
        <w:tc>
          <w:tcPr>
            <w:tcW w:w="0" w:type="auto"/>
            <w:tcBorders>
              <w:top w:val="outset" w:sz="6" w:space="0" w:color="auto"/>
              <w:left w:val="outset" w:sz="6" w:space="0" w:color="auto"/>
              <w:bottom w:val="outset" w:sz="6" w:space="0" w:color="auto"/>
            </w:tcBorders>
            <w:vAlign w:val="center"/>
          </w:tcPr>
          <w:p w:rsidR="00F0460C" w:rsidRPr="00B82CB0" w:rsidRDefault="00F0460C" w:rsidP="00B82CB0">
            <w:pPr>
              <w:spacing w:line="360" w:lineRule="auto"/>
              <w:rPr>
                <w:sz w:val="20"/>
                <w:szCs w:val="20"/>
              </w:rPr>
            </w:pPr>
            <w:r w:rsidRPr="00B82CB0">
              <w:rPr>
                <w:sz w:val="20"/>
                <w:szCs w:val="20"/>
              </w:rPr>
              <w:t>Палеогеновый – </w:t>
            </w:r>
            <w:r w:rsidRPr="00B82CB0">
              <w:rPr>
                <w:strike/>
                <w:sz w:val="20"/>
                <w:szCs w:val="20"/>
              </w:rPr>
              <w:t xml:space="preserve"> P </w:t>
            </w:r>
            <w:r w:rsidRPr="00B82CB0">
              <w:rPr>
                <w:sz w:val="20"/>
                <w:szCs w:val="20"/>
              </w:rPr>
              <w:t xml:space="preserve"> </w:t>
            </w:r>
          </w:p>
        </w:tc>
      </w:tr>
      <w:tr w:rsidR="00F0460C" w:rsidRPr="00B82CB0">
        <w:trPr>
          <w:tblCellSpacing w:w="15" w:type="dxa"/>
          <w:jc w:val="center"/>
        </w:trPr>
        <w:tc>
          <w:tcPr>
            <w:tcW w:w="0" w:type="auto"/>
            <w:vMerge/>
            <w:tcBorders>
              <w:top w:val="outset" w:sz="6" w:space="0" w:color="auto"/>
              <w:bottom w:val="outset" w:sz="6" w:space="0" w:color="auto"/>
              <w:right w:val="outset" w:sz="6" w:space="0" w:color="auto"/>
            </w:tcBorders>
            <w:vAlign w:val="center"/>
          </w:tcPr>
          <w:p w:rsidR="00F0460C" w:rsidRPr="00B82CB0" w:rsidRDefault="00F0460C" w:rsidP="00B82CB0">
            <w:pPr>
              <w:spacing w:line="360" w:lineRule="auto"/>
              <w:rPr>
                <w:sz w:val="20"/>
                <w:szCs w:val="20"/>
              </w:rPr>
            </w:pP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F0460C" w:rsidRPr="00B82CB0" w:rsidRDefault="00F0460C" w:rsidP="00B82CB0">
            <w:pPr>
              <w:spacing w:line="360" w:lineRule="auto"/>
              <w:rPr>
                <w:sz w:val="20"/>
                <w:szCs w:val="20"/>
              </w:rPr>
            </w:pPr>
            <w:r w:rsidRPr="00B82CB0">
              <w:rPr>
                <w:sz w:val="20"/>
                <w:szCs w:val="20"/>
              </w:rPr>
              <w:t>Мезозойская – Mz</w:t>
            </w:r>
          </w:p>
        </w:tc>
        <w:tc>
          <w:tcPr>
            <w:tcW w:w="0" w:type="auto"/>
            <w:tcBorders>
              <w:top w:val="outset" w:sz="6" w:space="0" w:color="auto"/>
              <w:left w:val="outset" w:sz="6" w:space="0" w:color="auto"/>
              <w:bottom w:val="outset" w:sz="6" w:space="0" w:color="auto"/>
            </w:tcBorders>
            <w:vAlign w:val="center"/>
          </w:tcPr>
          <w:p w:rsidR="00F0460C" w:rsidRPr="00B82CB0" w:rsidRDefault="00F0460C" w:rsidP="00B82CB0">
            <w:pPr>
              <w:spacing w:line="360" w:lineRule="auto"/>
              <w:rPr>
                <w:sz w:val="20"/>
                <w:szCs w:val="20"/>
              </w:rPr>
            </w:pPr>
            <w:r w:rsidRPr="00B82CB0">
              <w:rPr>
                <w:sz w:val="20"/>
                <w:szCs w:val="20"/>
              </w:rPr>
              <w:t>Меловой – K</w:t>
            </w:r>
          </w:p>
        </w:tc>
      </w:tr>
      <w:tr w:rsidR="00F0460C" w:rsidRPr="00B82CB0">
        <w:trPr>
          <w:tblCellSpacing w:w="15" w:type="dxa"/>
          <w:jc w:val="center"/>
        </w:trPr>
        <w:tc>
          <w:tcPr>
            <w:tcW w:w="0" w:type="auto"/>
            <w:vMerge/>
            <w:tcBorders>
              <w:top w:val="outset" w:sz="6" w:space="0" w:color="auto"/>
              <w:bottom w:val="outset" w:sz="6" w:space="0" w:color="auto"/>
              <w:right w:val="outset" w:sz="6" w:space="0" w:color="auto"/>
            </w:tcBorders>
            <w:vAlign w:val="center"/>
          </w:tcPr>
          <w:p w:rsidR="00F0460C" w:rsidRPr="00B82CB0" w:rsidRDefault="00F0460C" w:rsidP="00B82CB0">
            <w:pPr>
              <w:spacing w:line="360" w:lineRule="auto"/>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F0460C" w:rsidRPr="00B82CB0" w:rsidRDefault="00F0460C" w:rsidP="00B82CB0">
            <w:pPr>
              <w:spacing w:line="360" w:lineRule="auto"/>
              <w:rPr>
                <w:sz w:val="20"/>
                <w:szCs w:val="20"/>
              </w:rPr>
            </w:pPr>
          </w:p>
        </w:tc>
        <w:tc>
          <w:tcPr>
            <w:tcW w:w="0" w:type="auto"/>
            <w:tcBorders>
              <w:top w:val="outset" w:sz="6" w:space="0" w:color="auto"/>
              <w:left w:val="outset" w:sz="6" w:space="0" w:color="auto"/>
              <w:bottom w:val="outset" w:sz="6" w:space="0" w:color="auto"/>
            </w:tcBorders>
            <w:vAlign w:val="center"/>
          </w:tcPr>
          <w:p w:rsidR="00F0460C" w:rsidRPr="00B82CB0" w:rsidRDefault="00F0460C" w:rsidP="00B82CB0">
            <w:pPr>
              <w:spacing w:line="360" w:lineRule="auto"/>
              <w:rPr>
                <w:sz w:val="20"/>
                <w:szCs w:val="20"/>
              </w:rPr>
            </w:pPr>
            <w:r w:rsidRPr="00B82CB0">
              <w:rPr>
                <w:sz w:val="20"/>
                <w:szCs w:val="20"/>
              </w:rPr>
              <w:t>Юрский – I</w:t>
            </w:r>
          </w:p>
        </w:tc>
      </w:tr>
      <w:tr w:rsidR="00F0460C" w:rsidRPr="00B82CB0">
        <w:trPr>
          <w:tblCellSpacing w:w="15" w:type="dxa"/>
          <w:jc w:val="center"/>
        </w:trPr>
        <w:tc>
          <w:tcPr>
            <w:tcW w:w="0" w:type="auto"/>
            <w:vMerge/>
            <w:tcBorders>
              <w:top w:val="outset" w:sz="6" w:space="0" w:color="auto"/>
              <w:bottom w:val="outset" w:sz="6" w:space="0" w:color="auto"/>
              <w:right w:val="outset" w:sz="6" w:space="0" w:color="auto"/>
            </w:tcBorders>
            <w:vAlign w:val="center"/>
          </w:tcPr>
          <w:p w:rsidR="00F0460C" w:rsidRPr="00B82CB0" w:rsidRDefault="00F0460C" w:rsidP="00B82CB0">
            <w:pPr>
              <w:spacing w:line="360" w:lineRule="auto"/>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F0460C" w:rsidRPr="00B82CB0" w:rsidRDefault="00F0460C" w:rsidP="00B82CB0">
            <w:pPr>
              <w:spacing w:line="360" w:lineRule="auto"/>
              <w:rPr>
                <w:sz w:val="20"/>
                <w:szCs w:val="20"/>
              </w:rPr>
            </w:pPr>
          </w:p>
        </w:tc>
        <w:tc>
          <w:tcPr>
            <w:tcW w:w="0" w:type="auto"/>
            <w:tcBorders>
              <w:top w:val="outset" w:sz="6" w:space="0" w:color="auto"/>
              <w:left w:val="outset" w:sz="6" w:space="0" w:color="auto"/>
              <w:bottom w:val="outset" w:sz="6" w:space="0" w:color="auto"/>
            </w:tcBorders>
            <w:vAlign w:val="center"/>
          </w:tcPr>
          <w:p w:rsidR="00F0460C" w:rsidRPr="00B82CB0" w:rsidRDefault="00F0460C" w:rsidP="00B82CB0">
            <w:pPr>
              <w:spacing w:line="360" w:lineRule="auto"/>
              <w:rPr>
                <w:sz w:val="20"/>
                <w:szCs w:val="20"/>
              </w:rPr>
            </w:pPr>
            <w:r w:rsidRPr="00B82CB0">
              <w:rPr>
                <w:sz w:val="20"/>
                <w:szCs w:val="20"/>
              </w:rPr>
              <w:t>Триасовый – T</w:t>
            </w:r>
          </w:p>
        </w:tc>
      </w:tr>
      <w:tr w:rsidR="00F0460C" w:rsidRPr="00B82CB0">
        <w:trPr>
          <w:tblCellSpacing w:w="15" w:type="dxa"/>
          <w:jc w:val="center"/>
        </w:trPr>
        <w:tc>
          <w:tcPr>
            <w:tcW w:w="0" w:type="auto"/>
            <w:vMerge/>
            <w:tcBorders>
              <w:top w:val="outset" w:sz="6" w:space="0" w:color="auto"/>
              <w:bottom w:val="outset" w:sz="6" w:space="0" w:color="auto"/>
              <w:right w:val="outset" w:sz="6" w:space="0" w:color="auto"/>
            </w:tcBorders>
            <w:vAlign w:val="center"/>
          </w:tcPr>
          <w:p w:rsidR="00F0460C" w:rsidRPr="00B82CB0" w:rsidRDefault="00F0460C" w:rsidP="00B82CB0">
            <w:pPr>
              <w:spacing w:line="360" w:lineRule="auto"/>
              <w:rPr>
                <w:sz w:val="20"/>
                <w:szCs w:val="20"/>
              </w:rPr>
            </w:pP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F0460C" w:rsidRPr="00B82CB0" w:rsidRDefault="00F0460C" w:rsidP="00B82CB0">
            <w:pPr>
              <w:spacing w:line="360" w:lineRule="auto"/>
              <w:rPr>
                <w:sz w:val="20"/>
                <w:szCs w:val="20"/>
              </w:rPr>
            </w:pPr>
            <w:r w:rsidRPr="00B82CB0">
              <w:rPr>
                <w:sz w:val="20"/>
                <w:szCs w:val="20"/>
              </w:rPr>
              <w:t>Палеозойская – Pz</w:t>
            </w:r>
          </w:p>
        </w:tc>
        <w:tc>
          <w:tcPr>
            <w:tcW w:w="0" w:type="auto"/>
            <w:tcBorders>
              <w:top w:val="outset" w:sz="6" w:space="0" w:color="auto"/>
              <w:left w:val="outset" w:sz="6" w:space="0" w:color="auto"/>
              <w:bottom w:val="outset" w:sz="6" w:space="0" w:color="auto"/>
            </w:tcBorders>
            <w:vAlign w:val="center"/>
          </w:tcPr>
          <w:p w:rsidR="00F0460C" w:rsidRPr="00B82CB0" w:rsidRDefault="00F0460C" w:rsidP="00B82CB0">
            <w:pPr>
              <w:spacing w:line="360" w:lineRule="auto"/>
              <w:rPr>
                <w:sz w:val="20"/>
                <w:szCs w:val="20"/>
              </w:rPr>
            </w:pPr>
            <w:r w:rsidRPr="00B82CB0">
              <w:rPr>
                <w:sz w:val="20"/>
                <w:szCs w:val="20"/>
              </w:rPr>
              <w:t>Пермский – P</w:t>
            </w:r>
          </w:p>
        </w:tc>
      </w:tr>
      <w:tr w:rsidR="00F0460C" w:rsidRPr="00B82CB0">
        <w:trPr>
          <w:tblCellSpacing w:w="15" w:type="dxa"/>
          <w:jc w:val="center"/>
        </w:trPr>
        <w:tc>
          <w:tcPr>
            <w:tcW w:w="0" w:type="auto"/>
            <w:vMerge/>
            <w:tcBorders>
              <w:top w:val="outset" w:sz="6" w:space="0" w:color="auto"/>
              <w:bottom w:val="outset" w:sz="6" w:space="0" w:color="auto"/>
              <w:right w:val="outset" w:sz="6" w:space="0" w:color="auto"/>
            </w:tcBorders>
            <w:vAlign w:val="center"/>
          </w:tcPr>
          <w:p w:rsidR="00F0460C" w:rsidRPr="00B82CB0" w:rsidRDefault="00F0460C" w:rsidP="00B82CB0">
            <w:pPr>
              <w:spacing w:line="360" w:lineRule="auto"/>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F0460C" w:rsidRPr="00B82CB0" w:rsidRDefault="00F0460C" w:rsidP="00B82CB0">
            <w:pPr>
              <w:spacing w:line="360" w:lineRule="auto"/>
              <w:rPr>
                <w:sz w:val="20"/>
                <w:szCs w:val="20"/>
              </w:rPr>
            </w:pPr>
          </w:p>
        </w:tc>
        <w:tc>
          <w:tcPr>
            <w:tcW w:w="0" w:type="auto"/>
            <w:tcBorders>
              <w:top w:val="outset" w:sz="6" w:space="0" w:color="auto"/>
              <w:left w:val="outset" w:sz="6" w:space="0" w:color="auto"/>
              <w:bottom w:val="outset" w:sz="6" w:space="0" w:color="auto"/>
            </w:tcBorders>
            <w:vAlign w:val="center"/>
          </w:tcPr>
          <w:p w:rsidR="00F0460C" w:rsidRPr="00B82CB0" w:rsidRDefault="00F0460C" w:rsidP="00B82CB0">
            <w:pPr>
              <w:spacing w:line="360" w:lineRule="auto"/>
              <w:rPr>
                <w:sz w:val="20"/>
                <w:szCs w:val="20"/>
              </w:rPr>
            </w:pPr>
            <w:r w:rsidRPr="00B82CB0">
              <w:rPr>
                <w:sz w:val="20"/>
                <w:szCs w:val="20"/>
              </w:rPr>
              <w:t>Каменноугольный (карбон) – C</w:t>
            </w:r>
          </w:p>
        </w:tc>
      </w:tr>
      <w:tr w:rsidR="00F0460C" w:rsidRPr="00B82CB0">
        <w:trPr>
          <w:tblCellSpacing w:w="15" w:type="dxa"/>
          <w:jc w:val="center"/>
        </w:trPr>
        <w:tc>
          <w:tcPr>
            <w:tcW w:w="0" w:type="auto"/>
            <w:vMerge/>
            <w:tcBorders>
              <w:top w:val="outset" w:sz="6" w:space="0" w:color="auto"/>
              <w:bottom w:val="outset" w:sz="6" w:space="0" w:color="auto"/>
              <w:right w:val="outset" w:sz="6" w:space="0" w:color="auto"/>
            </w:tcBorders>
            <w:vAlign w:val="center"/>
          </w:tcPr>
          <w:p w:rsidR="00F0460C" w:rsidRPr="00B82CB0" w:rsidRDefault="00F0460C" w:rsidP="00B82CB0">
            <w:pPr>
              <w:spacing w:line="360" w:lineRule="auto"/>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F0460C" w:rsidRPr="00B82CB0" w:rsidRDefault="00F0460C" w:rsidP="00B82CB0">
            <w:pPr>
              <w:spacing w:line="360" w:lineRule="auto"/>
              <w:rPr>
                <w:sz w:val="20"/>
                <w:szCs w:val="20"/>
              </w:rPr>
            </w:pPr>
          </w:p>
        </w:tc>
        <w:tc>
          <w:tcPr>
            <w:tcW w:w="0" w:type="auto"/>
            <w:tcBorders>
              <w:top w:val="outset" w:sz="6" w:space="0" w:color="auto"/>
              <w:left w:val="outset" w:sz="6" w:space="0" w:color="auto"/>
              <w:bottom w:val="outset" w:sz="6" w:space="0" w:color="auto"/>
            </w:tcBorders>
            <w:vAlign w:val="center"/>
          </w:tcPr>
          <w:p w:rsidR="00F0460C" w:rsidRPr="00B82CB0" w:rsidRDefault="00F0460C" w:rsidP="00B82CB0">
            <w:pPr>
              <w:spacing w:line="360" w:lineRule="auto"/>
              <w:rPr>
                <w:sz w:val="20"/>
                <w:szCs w:val="20"/>
              </w:rPr>
            </w:pPr>
            <w:r w:rsidRPr="00B82CB0">
              <w:rPr>
                <w:sz w:val="20"/>
                <w:szCs w:val="20"/>
              </w:rPr>
              <w:t>Девонский – D</w:t>
            </w:r>
          </w:p>
        </w:tc>
      </w:tr>
      <w:tr w:rsidR="00F0460C" w:rsidRPr="00B82CB0">
        <w:trPr>
          <w:tblCellSpacing w:w="15" w:type="dxa"/>
          <w:jc w:val="center"/>
        </w:trPr>
        <w:tc>
          <w:tcPr>
            <w:tcW w:w="0" w:type="auto"/>
            <w:vMerge/>
            <w:tcBorders>
              <w:top w:val="outset" w:sz="6" w:space="0" w:color="auto"/>
              <w:bottom w:val="outset" w:sz="6" w:space="0" w:color="auto"/>
              <w:right w:val="outset" w:sz="6" w:space="0" w:color="auto"/>
            </w:tcBorders>
            <w:vAlign w:val="center"/>
          </w:tcPr>
          <w:p w:rsidR="00F0460C" w:rsidRPr="00B82CB0" w:rsidRDefault="00F0460C" w:rsidP="00B82CB0">
            <w:pPr>
              <w:spacing w:line="360" w:lineRule="auto"/>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F0460C" w:rsidRPr="00B82CB0" w:rsidRDefault="00F0460C" w:rsidP="00B82CB0">
            <w:pPr>
              <w:spacing w:line="360" w:lineRule="auto"/>
              <w:rPr>
                <w:sz w:val="20"/>
                <w:szCs w:val="20"/>
              </w:rPr>
            </w:pPr>
          </w:p>
        </w:tc>
        <w:tc>
          <w:tcPr>
            <w:tcW w:w="0" w:type="auto"/>
            <w:tcBorders>
              <w:top w:val="outset" w:sz="6" w:space="0" w:color="auto"/>
              <w:left w:val="outset" w:sz="6" w:space="0" w:color="auto"/>
              <w:bottom w:val="outset" w:sz="6" w:space="0" w:color="auto"/>
            </w:tcBorders>
            <w:vAlign w:val="center"/>
          </w:tcPr>
          <w:p w:rsidR="00F0460C" w:rsidRPr="00B82CB0" w:rsidRDefault="00F0460C" w:rsidP="00B82CB0">
            <w:pPr>
              <w:spacing w:line="360" w:lineRule="auto"/>
              <w:rPr>
                <w:sz w:val="20"/>
                <w:szCs w:val="20"/>
              </w:rPr>
            </w:pPr>
            <w:r w:rsidRPr="00B82CB0">
              <w:rPr>
                <w:sz w:val="20"/>
                <w:szCs w:val="20"/>
              </w:rPr>
              <w:t>Силурийский – S</w:t>
            </w:r>
          </w:p>
        </w:tc>
      </w:tr>
      <w:tr w:rsidR="00F0460C" w:rsidRPr="00B82CB0">
        <w:trPr>
          <w:tblCellSpacing w:w="15" w:type="dxa"/>
          <w:jc w:val="center"/>
        </w:trPr>
        <w:tc>
          <w:tcPr>
            <w:tcW w:w="0" w:type="auto"/>
            <w:vMerge/>
            <w:tcBorders>
              <w:top w:val="outset" w:sz="6" w:space="0" w:color="auto"/>
              <w:bottom w:val="outset" w:sz="6" w:space="0" w:color="auto"/>
              <w:right w:val="outset" w:sz="6" w:space="0" w:color="auto"/>
            </w:tcBorders>
            <w:vAlign w:val="center"/>
          </w:tcPr>
          <w:p w:rsidR="00F0460C" w:rsidRPr="00B82CB0" w:rsidRDefault="00F0460C" w:rsidP="00B82CB0">
            <w:pPr>
              <w:spacing w:line="360" w:lineRule="auto"/>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F0460C" w:rsidRPr="00B82CB0" w:rsidRDefault="00F0460C" w:rsidP="00B82CB0">
            <w:pPr>
              <w:spacing w:line="360" w:lineRule="auto"/>
              <w:rPr>
                <w:sz w:val="20"/>
                <w:szCs w:val="20"/>
              </w:rPr>
            </w:pPr>
          </w:p>
        </w:tc>
        <w:tc>
          <w:tcPr>
            <w:tcW w:w="0" w:type="auto"/>
            <w:tcBorders>
              <w:top w:val="outset" w:sz="6" w:space="0" w:color="auto"/>
              <w:left w:val="outset" w:sz="6" w:space="0" w:color="auto"/>
              <w:bottom w:val="outset" w:sz="6" w:space="0" w:color="auto"/>
            </w:tcBorders>
            <w:vAlign w:val="center"/>
          </w:tcPr>
          <w:p w:rsidR="00F0460C" w:rsidRPr="00B82CB0" w:rsidRDefault="00F0460C" w:rsidP="00B82CB0">
            <w:pPr>
              <w:spacing w:line="360" w:lineRule="auto"/>
              <w:rPr>
                <w:sz w:val="20"/>
                <w:szCs w:val="20"/>
              </w:rPr>
            </w:pPr>
            <w:r w:rsidRPr="00B82CB0">
              <w:rPr>
                <w:sz w:val="20"/>
                <w:szCs w:val="20"/>
              </w:rPr>
              <w:t>Ордовикский - O</w:t>
            </w:r>
          </w:p>
        </w:tc>
      </w:tr>
      <w:tr w:rsidR="00F0460C" w:rsidRPr="00B82CB0">
        <w:trPr>
          <w:tblCellSpacing w:w="15" w:type="dxa"/>
          <w:jc w:val="center"/>
        </w:trPr>
        <w:tc>
          <w:tcPr>
            <w:tcW w:w="0" w:type="auto"/>
            <w:vMerge/>
            <w:tcBorders>
              <w:top w:val="outset" w:sz="6" w:space="0" w:color="auto"/>
              <w:bottom w:val="outset" w:sz="6" w:space="0" w:color="auto"/>
              <w:right w:val="outset" w:sz="6" w:space="0" w:color="auto"/>
            </w:tcBorders>
            <w:vAlign w:val="center"/>
          </w:tcPr>
          <w:p w:rsidR="00F0460C" w:rsidRPr="00B82CB0" w:rsidRDefault="00F0460C" w:rsidP="00B82CB0">
            <w:pPr>
              <w:spacing w:line="360" w:lineRule="auto"/>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F0460C" w:rsidRPr="00B82CB0" w:rsidRDefault="00F0460C" w:rsidP="00B82CB0">
            <w:pPr>
              <w:spacing w:line="360" w:lineRule="auto"/>
              <w:rPr>
                <w:sz w:val="20"/>
                <w:szCs w:val="20"/>
              </w:rPr>
            </w:pPr>
          </w:p>
        </w:tc>
        <w:tc>
          <w:tcPr>
            <w:tcW w:w="0" w:type="auto"/>
            <w:tcBorders>
              <w:top w:val="outset" w:sz="6" w:space="0" w:color="auto"/>
              <w:left w:val="outset" w:sz="6" w:space="0" w:color="auto"/>
              <w:bottom w:val="outset" w:sz="6" w:space="0" w:color="auto"/>
            </w:tcBorders>
            <w:vAlign w:val="center"/>
          </w:tcPr>
          <w:p w:rsidR="00F0460C" w:rsidRPr="00B82CB0" w:rsidRDefault="00F0460C" w:rsidP="00B82CB0">
            <w:pPr>
              <w:spacing w:line="360" w:lineRule="auto"/>
              <w:rPr>
                <w:sz w:val="20"/>
                <w:szCs w:val="20"/>
              </w:rPr>
            </w:pPr>
            <w:r w:rsidRPr="00B82CB0">
              <w:rPr>
                <w:sz w:val="20"/>
                <w:szCs w:val="20"/>
              </w:rPr>
              <w:t>Кембрийский - </w:t>
            </w:r>
            <w:r w:rsidRPr="00B82CB0">
              <w:rPr>
                <w:strike/>
                <w:sz w:val="20"/>
                <w:szCs w:val="20"/>
              </w:rPr>
              <w:t xml:space="preserve"> С</w:t>
            </w:r>
          </w:p>
        </w:tc>
      </w:tr>
      <w:tr w:rsidR="00F0460C" w:rsidRPr="00B82CB0">
        <w:trPr>
          <w:tblCellSpacing w:w="15" w:type="dxa"/>
          <w:jc w:val="center"/>
        </w:trPr>
        <w:tc>
          <w:tcPr>
            <w:tcW w:w="0" w:type="auto"/>
            <w:vMerge w:val="restart"/>
            <w:tcBorders>
              <w:top w:val="outset" w:sz="6" w:space="0" w:color="auto"/>
              <w:bottom w:val="outset" w:sz="6" w:space="0" w:color="auto"/>
              <w:right w:val="outset" w:sz="6" w:space="0" w:color="auto"/>
            </w:tcBorders>
            <w:vAlign w:val="center"/>
          </w:tcPr>
          <w:p w:rsidR="00F0460C" w:rsidRPr="00B82CB0" w:rsidRDefault="00F0460C" w:rsidP="00B82CB0">
            <w:pPr>
              <w:spacing w:line="360" w:lineRule="auto"/>
              <w:rPr>
                <w:sz w:val="20"/>
                <w:szCs w:val="20"/>
              </w:rPr>
            </w:pPr>
            <w:r w:rsidRPr="00B82CB0">
              <w:rPr>
                <w:sz w:val="20"/>
                <w:szCs w:val="20"/>
              </w:rPr>
              <w:t>Докембрий, криптозой</w:t>
            </w:r>
          </w:p>
        </w:tc>
        <w:tc>
          <w:tcPr>
            <w:tcW w:w="0" w:type="auto"/>
            <w:tcBorders>
              <w:top w:val="outset" w:sz="6" w:space="0" w:color="auto"/>
              <w:left w:val="outset" w:sz="6" w:space="0" w:color="auto"/>
              <w:bottom w:val="outset" w:sz="6" w:space="0" w:color="auto"/>
              <w:right w:val="outset" w:sz="6" w:space="0" w:color="auto"/>
            </w:tcBorders>
            <w:vAlign w:val="center"/>
          </w:tcPr>
          <w:p w:rsidR="00F0460C" w:rsidRPr="00B82CB0" w:rsidRDefault="00F0460C" w:rsidP="00B82CB0">
            <w:pPr>
              <w:spacing w:line="360" w:lineRule="auto"/>
              <w:rPr>
                <w:sz w:val="20"/>
                <w:szCs w:val="20"/>
              </w:rPr>
            </w:pPr>
            <w:r w:rsidRPr="00B82CB0">
              <w:rPr>
                <w:sz w:val="20"/>
                <w:szCs w:val="20"/>
              </w:rPr>
              <w:t>Протерозойская – Pt</w:t>
            </w:r>
          </w:p>
        </w:tc>
        <w:tc>
          <w:tcPr>
            <w:tcW w:w="0" w:type="auto"/>
            <w:vMerge w:val="restart"/>
            <w:tcBorders>
              <w:top w:val="outset" w:sz="6" w:space="0" w:color="auto"/>
              <w:left w:val="outset" w:sz="6" w:space="0" w:color="auto"/>
              <w:bottom w:val="outset" w:sz="6" w:space="0" w:color="auto"/>
            </w:tcBorders>
            <w:vAlign w:val="center"/>
          </w:tcPr>
          <w:p w:rsidR="00F0460C" w:rsidRPr="00B82CB0" w:rsidRDefault="00F0460C" w:rsidP="00B82CB0">
            <w:pPr>
              <w:spacing w:line="360" w:lineRule="auto"/>
              <w:rPr>
                <w:sz w:val="20"/>
                <w:szCs w:val="20"/>
              </w:rPr>
            </w:pPr>
            <w:r w:rsidRPr="00B82CB0">
              <w:rPr>
                <w:sz w:val="20"/>
                <w:szCs w:val="20"/>
              </w:rPr>
              <w:t> </w:t>
            </w:r>
          </w:p>
        </w:tc>
      </w:tr>
      <w:tr w:rsidR="00F0460C" w:rsidRPr="00B82CB0">
        <w:trPr>
          <w:tblCellSpacing w:w="15" w:type="dxa"/>
          <w:jc w:val="center"/>
        </w:trPr>
        <w:tc>
          <w:tcPr>
            <w:tcW w:w="0" w:type="auto"/>
            <w:vMerge/>
            <w:tcBorders>
              <w:top w:val="outset" w:sz="6" w:space="0" w:color="auto"/>
              <w:bottom w:val="outset" w:sz="6" w:space="0" w:color="auto"/>
              <w:right w:val="outset" w:sz="6" w:space="0" w:color="auto"/>
            </w:tcBorders>
            <w:vAlign w:val="center"/>
          </w:tcPr>
          <w:p w:rsidR="00F0460C" w:rsidRPr="00B82CB0" w:rsidRDefault="00F0460C" w:rsidP="00B82CB0">
            <w:pPr>
              <w:spacing w:line="360" w:lineRule="auto"/>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F0460C" w:rsidRPr="00B82CB0" w:rsidRDefault="00F0460C" w:rsidP="00B82CB0">
            <w:pPr>
              <w:spacing w:line="360" w:lineRule="auto"/>
              <w:rPr>
                <w:sz w:val="20"/>
                <w:szCs w:val="20"/>
              </w:rPr>
            </w:pPr>
            <w:r w:rsidRPr="00B82CB0">
              <w:rPr>
                <w:sz w:val="20"/>
                <w:szCs w:val="20"/>
              </w:rPr>
              <w:t>Архейская - Ar</w:t>
            </w:r>
          </w:p>
        </w:tc>
        <w:tc>
          <w:tcPr>
            <w:tcW w:w="0" w:type="auto"/>
            <w:vMerge/>
            <w:tcBorders>
              <w:top w:val="outset" w:sz="6" w:space="0" w:color="auto"/>
              <w:left w:val="outset" w:sz="6" w:space="0" w:color="auto"/>
              <w:bottom w:val="outset" w:sz="6" w:space="0" w:color="auto"/>
            </w:tcBorders>
            <w:vAlign w:val="center"/>
          </w:tcPr>
          <w:p w:rsidR="00F0460C" w:rsidRPr="00B82CB0" w:rsidRDefault="00F0460C" w:rsidP="00B82CB0">
            <w:pPr>
              <w:spacing w:line="360" w:lineRule="auto"/>
              <w:rPr>
                <w:sz w:val="20"/>
                <w:szCs w:val="20"/>
              </w:rPr>
            </w:pPr>
          </w:p>
        </w:tc>
      </w:tr>
    </w:tbl>
    <w:p w:rsidR="00B82CB0" w:rsidRDefault="00B82CB0" w:rsidP="00B82CB0">
      <w:pPr>
        <w:pStyle w:val="a4"/>
        <w:spacing w:before="0" w:beforeAutospacing="0" w:after="0" w:afterAutospacing="0" w:line="360" w:lineRule="auto"/>
        <w:ind w:firstLine="709"/>
        <w:jc w:val="both"/>
        <w:rPr>
          <w:sz w:val="28"/>
          <w:szCs w:val="28"/>
          <w:lang w:val="en-US"/>
        </w:rPr>
      </w:pP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Относительная геохронология не дает реального представления об истинной продолжительности эр и периодов. Она позволяет судить лишь о последовательности их во времени. Продолжительность эр и периодов в миллионах лет решает абсолютная геохронология.</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i/>
          <w:iCs/>
          <w:sz w:val="28"/>
          <w:szCs w:val="28"/>
        </w:rPr>
        <w:t>Абсолютный геологический возраст</w:t>
      </w:r>
      <w:r w:rsidRPr="00B82CB0">
        <w:rPr>
          <w:sz w:val="28"/>
          <w:szCs w:val="28"/>
        </w:rPr>
        <w:t xml:space="preserve"> – возраст горных пород, минералов, руд, устанавливаемый различными радиологическими методами по накоплению в минералах и горных породах продуктов распада радиоактивных изотопов и выраженный в единицах астрономического времени. Исчисление ведется от настоящего времени, в нисходящем порядке.</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Для определения абсолютного возраста используются данные по радиоактивному распаду урана, тория, калия, углерода и некоторых других химических элементов. Для радиоактивных изотопов экспериментальным путем определен период полураспада – промежуток времени, в течение которого любое количество данного неустойчивого изотопа уменьшится наполовину, превратясь в стабильные изотопы других химических элементов. Период полураспада Th</w:t>
      </w:r>
      <w:r w:rsidRPr="00B82CB0">
        <w:rPr>
          <w:sz w:val="28"/>
          <w:szCs w:val="28"/>
          <w:vertAlign w:val="superscript"/>
        </w:rPr>
        <w:t>232</w:t>
      </w:r>
      <w:r w:rsidRPr="00B82CB0">
        <w:rPr>
          <w:sz w:val="28"/>
          <w:szCs w:val="28"/>
        </w:rPr>
        <w:t xml:space="preserve"> равен13,9 млрд. лет, U</w:t>
      </w:r>
      <w:r w:rsidRPr="00B82CB0">
        <w:rPr>
          <w:sz w:val="28"/>
          <w:szCs w:val="28"/>
          <w:vertAlign w:val="superscript"/>
        </w:rPr>
        <w:t>238</w:t>
      </w:r>
      <w:r w:rsidRPr="00B82CB0">
        <w:rPr>
          <w:sz w:val="28"/>
          <w:szCs w:val="28"/>
        </w:rPr>
        <w:t xml:space="preserve"> – 4,51 млрд. лет, U</w:t>
      </w:r>
      <w:r w:rsidRPr="00B82CB0">
        <w:rPr>
          <w:sz w:val="28"/>
          <w:szCs w:val="28"/>
          <w:vertAlign w:val="superscript"/>
        </w:rPr>
        <w:t>235</w:t>
      </w:r>
      <w:r w:rsidRPr="00B82CB0">
        <w:rPr>
          <w:sz w:val="28"/>
          <w:szCs w:val="28"/>
        </w:rPr>
        <w:t xml:space="preserve"> – 710 млн. лет, C</w:t>
      </w:r>
      <w:r w:rsidRPr="00B82CB0">
        <w:rPr>
          <w:sz w:val="28"/>
          <w:szCs w:val="28"/>
          <w:vertAlign w:val="superscript"/>
        </w:rPr>
        <w:t>14</w:t>
      </w:r>
      <w:r w:rsidRPr="00B82CB0">
        <w:rPr>
          <w:sz w:val="28"/>
          <w:szCs w:val="28"/>
        </w:rPr>
        <w:t xml:space="preserve"> – 5,5-6 тыс. лет.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Наиболее распространен метод определения абсолютного возраста по изотопам урана и тория, их превращению в стабильные изотопы свинца и гелия. Для определения по этому методу используются минералы, содержащие до 1% U или Th: монацит, циркон и др.</w:t>
      </w:r>
    </w:p>
    <w:p w:rsidR="00B82CB0" w:rsidRDefault="00B82CB0" w:rsidP="00B82CB0">
      <w:pPr>
        <w:pStyle w:val="a4"/>
        <w:spacing w:before="0" w:beforeAutospacing="0" w:after="0" w:afterAutospacing="0" w:line="360" w:lineRule="auto"/>
        <w:ind w:firstLine="709"/>
        <w:jc w:val="both"/>
        <w:rPr>
          <w:sz w:val="28"/>
          <w:szCs w:val="28"/>
          <w:lang w:val="en-US"/>
        </w:rPr>
      </w:pPr>
    </w:p>
    <w:p w:rsidR="00F0460C" w:rsidRPr="00B82CB0" w:rsidRDefault="00F0460C" w:rsidP="00B82CB0">
      <w:pPr>
        <w:pStyle w:val="a4"/>
        <w:spacing w:before="0" w:beforeAutospacing="0" w:after="0" w:afterAutospacing="0" w:line="360" w:lineRule="auto"/>
        <w:ind w:firstLine="709"/>
        <w:jc w:val="both"/>
        <w:rPr>
          <w:sz w:val="28"/>
          <w:szCs w:val="28"/>
          <w:lang w:val="en-US"/>
        </w:rPr>
      </w:pPr>
      <w:r w:rsidRPr="00B82CB0">
        <w:rPr>
          <w:sz w:val="28"/>
          <w:szCs w:val="28"/>
          <w:lang w:val="en-US"/>
        </w:rPr>
        <w:t>U</w:t>
      </w:r>
      <w:r w:rsidRPr="00B82CB0">
        <w:rPr>
          <w:sz w:val="28"/>
          <w:szCs w:val="28"/>
          <w:vertAlign w:val="superscript"/>
          <w:lang w:val="en-US"/>
        </w:rPr>
        <w:t xml:space="preserve">238 </w:t>
      </w:r>
      <w:r w:rsidRPr="00B82CB0">
        <w:rPr>
          <w:sz w:val="28"/>
          <w:szCs w:val="28"/>
          <w:lang w:val="en-US"/>
        </w:rPr>
        <w:t>→ 8He</w:t>
      </w:r>
      <w:r w:rsidRPr="00B82CB0">
        <w:rPr>
          <w:sz w:val="28"/>
          <w:szCs w:val="28"/>
          <w:vertAlign w:val="superscript"/>
          <w:lang w:val="en-US"/>
        </w:rPr>
        <w:t>4</w:t>
      </w:r>
      <w:r w:rsidRPr="00B82CB0">
        <w:rPr>
          <w:sz w:val="28"/>
          <w:szCs w:val="28"/>
          <w:lang w:val="en-US"/>
        </w:rPr>
        <w:t xml:space="preserve"> + Pb</w:t>
      </w:r>
      <w:r w:rsidRPr="00B82CB0">
        <w:rPr>
          <w:sz w:val="28"/>
          <w:szCs w:val="28"/>
          <w:vertAlign w:val="superscript"/>
          <w:lang w:val="en-US"/>
        </w:rPr>
        <w:t>206</w:t>
      </w:r>
    </w:p>
    <w:p w:rsidR="00F0460C" w:rsidRPr="00B82CB0" w:rsidRDefault="00F0460C" w:rsidP="00B82CB0">
      <w:pPr>
        <w:pStyle w:val="a4"/>
        <w:spacing w:before="0" w:beforeAutospacing="0" w:after="0" w:afterAutospacing="0" w:line="360" w:lineRule="auto"/>
        <w:ind w:firstLine="709"/>
        <w:jc w:val="both"/>
        <w:rPr>
          <w:sz w:val="28"/>
          <w:szCs w:val="28"/>
          <w:lang w:val="en-US"/>
        </w:rPr>
      </w:pPr>
      <w:r w:rsidRPr="00B82CB0">
        <w:rPr>
          <w:sz w:val="28"/>
          <w:szCs w:val="28"/>
          <w:lang w:val="en-US"/>
        </w:rPr>
        <w:t>U</w:t>
      </w:r>
      <w:r w:rsidRPr="00B82CB0">
        <w:rPr>
          <w:sz w:val="28"/>
          <w:szCs w:val="28"/>
          <w:vertAlign w:val="superscript"/>
          <w:lang w:val="en-US"/>
        </w:rPr>
        <w:t>235</w:t>
      </w:r>
      <w:r w:rsidRPr="00B82CB0">
        <w:rPr>
          <w:sz w:val="28"/>
          <w:szCs w:val="28"/>
          <w:lang w:val="en-US"/>
        </w:rPr>
        <w:t xml:space="preserve"> → 7He</w:t>
      </w:r>
      <w:r w:rsidRPr="00B82CB0">
        <w:rPr>
          <w:sz w:val="28"/>
          <w:szCs w:val="28"/>
          <w:vertAlign w:val="superscript"/>
          <w:lang w:val="en-US"/>
        </w:rPr>
        <w:t>4</w:t>
      </w:r>
      <w:r w:rsidRPr="00B82CB0">
        <w:rPr>
          <w:sz w:val="28"/>
          <w:szCs w:val="28"/>
          <w:lang w:val="en-US"/>
        </w:rPr>
        <w:t xml:space="preserve"> + Pb</w:t>
      </w:r>
      <w:r w:rsidRPr="00B82CB0">
        <w:rPr>
          <w:sz w:val="28"/>
          <w:szCs w:val="28"/>
          <w:vertAlign w:val="superscript"/>
          <w:lang w:val="en-US"/>
        </w:rPr>
        <w:t>207</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Th</w:t>
      </w:r>
      <w:r w:rsidRPr="00B82CB0">
        <w:rPr>
          <w:sz w:val="28"/>
          <w:szCs w:val="28"/>
          <w:vertAlign w:val="superscript"/>
        </w:rPr>
        <w:t>232</w:t>
      </w:r>
      <w:r w:rsidRPr="00B82CB0">
        <w:rPr>
          <w:sz w:val="28"/>
          <w:szCs w:val="28"/>
        </w:rPr>
        <w:t xml:space="preserve"> → 6He</w:t>
      </w:r>
      <w:r w:rsidRPr="00B82CB0">
        <w:rPr>
          <w:sz w:val="28"/>
          <w:szCs w:val="28"/>
          <w:vertAlign w:val="superscript"/>
        </w:rPr>
        <w:t>4</w:t>
      </w:r>
      <w:r w:rsidRPr="00B82CB0">
        <w:rPr>
          <w:sz w:val="28"/>
          <w:szCs w:val="28"/>
        </w:rPr>
        <w:t xml:space="preserve"> + Pb</w:t>
      </w:r>
      <w:r w:rsidRPr="00B82CB0">
        <w:rPr>
          <w:sz w:val="28"/>
          <w:szCs w:val="28"/>
          <w:vertAlign w:val="superscript"/>
        </w:rPr>
        <w:t>208</w:t>
      </w:r>
    </w:p>
    <w:p w:rsidR="00B82CB0" w:rsidRDefault="00B82CB0" w:rsidP="00B82CB0">
      <w:pPr>
        <w:pStyle w:val="a4"/>
        <w:spacing w:before="0" w:beforeAutospacing="0" w:after="0" w:afterAutospacing="0" w:line="360" w:lineRule="auto"/>
        <w:ind w:firstLine="709"/>
        <w:jc w:val="both"/>
        <w:rPr>
          <w:sz w:val="28"/>
          <w:szCs w:val="28"/>
          <w:lang w:val="en-US"/>
        </w:rPr>
      </w:pP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Применяется аргоновый: K</w:t>
      </w:r>
      <w:r w:rsidRPr="00B82CB0">
        <w:rPr>
          <w:sz w:val="28"/>
          <w:szCs w:val="28"/>
          <w:vertAlign w:val="superscript"/>
        </w:rPr>
        <w:t>40</w:t>
      </w:r>
      <w:r w:rsidRPr="00B82CB0">
        <w:rPr>
          <w:sz w:val="28"/>
          <w:szCs w:val="28"/>
        </w:rPr>
        <w:t xml:space="preserve"> → Ar</w:t>
      </w:r>
      <w:r w:rsidRPr="00B82CB0">
        <w:rPr>
          <w:sz w:val="28"/>
          <w:szCs w:val="28"/>
          <w:vertAlign w:val="superscript"/>
        </w:rPr>
        <w:t>40</w:t>
      </w:r>
      <w:r w:rsidRPr="00B82CB0">
        <w:rPr>
          <w:sz w:val="28"/>
          <w:szCs w:val="28"/>
        </w:rPr>
        <w:t>, стронциевый: Rb</w:t>
      </w:r>
      <w:r w:rsidRPr="00B82CB0">
        <w:rPr>
          <w:sz w:val="28"/>
          <w:szCs w:val="28"/>
          <w:vertAlign w:val="superscript"/>
        </w:rPr>
        <w:t>87</w:t>
      </w:r>
      <w:r w:rsidRPr="00B82CB0">
        <w:rPr>
          <w:sz w:val="28"/>
          <w:szCs w:val="28"/>
        </w:rPr>
        <w:t xml:space="preserve"> → Sr</w:t>
      </w:r>
      <w:r w:rsidRPr="00B82CB0">
        <w:rPr>
          <w:sz w:val="28"/>
          <w:szCs w:val="28"/>
          <w:vertAlign w:val="superscript"/>
        </w:rPr>
        <w:t>87</w:t>
      </w:r>
      <w:r w:rsidRPr="00B82CB0">
        <w:rPr>
          <w:sz w:val="28"/>
          <w:szCs w:val="28"/>
        </w:rPr>
        <w:t xml:space="preserve"> и др. Радиоуглеродный метод основан на изучении распада С</w:t>
      </w:r>
      <w:r w:rsidRPr="00B82CB0">
        <w:rPr>
          <w:sz w:val="28"/>
          <w:szCs w:val="28"/>
          <w:vertAlign w:val="superscript"/>
        </w:rPr>
        <w:t>14</w:t>
      </w:r>
      <w:r w:rsidRPr="00B82CB0">
        <w:rPr>
          <w:sz w:val="28"/>
          <w:szCs w:val="28"/>
        </w:rPr>
        <w:t>, образующегося под воздействием космической радиации на С</w:t>
      </w:r>
      <w:r w:rsidRPr="00B82CB0">
        <w:rPr>
          <w:sz w:val="28"/>
          <w:szCs w:val="28"/>
          <w:vertAlign w:val="superscript"/>
        </w:rPr>
        <w:t>12</w:t>
      </w:r>
      <w:r w:rsidRPr="00B82CB0">
        <w:rPr>
          <w:sz w:val="28"/>
          <w:szCs w:val="28"/>
        </w:rPr>
        <w:t xml:space="preserve"> воздуха.</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Самыми древними на Земле определены песчаники из Западной Австралии, возраст цирконов в которых достигает 4,2 млрд. лет. Имеются публикации и о более древнем абсолютном возрасте в 5,6 млрд. лет и более, но официальной наукой такие цифры не принимаются. Возраст кварцитов из Гренландии и Северной Канады определен в 4 млрд. лет, гранитов Австралии и Южной Африки до 3,8 млрд. лет.</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Начало палеозоя определено в 570 млн. лет, мезозоя – в 240 млн. лет, кайнозоя – в 67 млн. лет</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b/>
          <w:bCs/>
          <w:sz w:val="28"/>
          <w:szCs w:val="28"/>
        </w:rPr>
        <w:t xml:space="preserve">Архейская эра. </w:t>
      </w:r>
      <w:r w:rsidRPr="00B82CB0">
        <w:rPr>
          <w:sz w:val="28"/>
          <w:szCs w:val="28"/>
        </w:rPr>
        <w:t xml:space="preserve">Самые древние породы, обнажающиеся на поверхности материков, образовались в архейскую эру. Распознавание этих пород затруднено, поскольку их выходы рассредоточены и в большинстве случаев перекрыты мощными толщами более молодых пород. Там, где эти породы обнажаются, они настолько метаморфизованы, что зачастую нельзя восстановить их исходный характер. Во время многочисленных продолжительных этапов денудации были разрушены мощные толщи этих пород, а сохранившиеся содержат очень мало ископаемых организмов и поэтому их корреляция затруднительна или вообще невозможна. Интересно отметить, что самые древние известные архейские породы, вероятно, представляют собой сильно метаморфизованные осадочные породы, а более древние породы, перекрытые ими, были расплавлены и разрушены в результате многочисленных магматических интрузий. Поэтому до сих пор не обнаружены следы первичной земной коры.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В Северной Америке имеются два больших ареала выходов на поверхность архейских пород. Первый из них – Канадский щит – расположен в центральной Канаде по обе стороны Гудзонова залива. Хотя местами архейские породы перекрыты более молодыми, на большей части территории Канадского щита они слагают дневную поверхность. Древнейшие известные в этом районе породы представлены мраморами, аспидными и кристаллическими сланцами, переслаивающимися с лавами. Первоначально здесь были отложены известняки и глинистые сланцы, впоследствии запечатанные лавами. Затем эти породы испытали воздействие мощных тектонических движений, которые сопровождались крупными гранитными интрузиями. В конечном итоге толщи осадочных пород подверглись сильному метаморфизму. После длительного периода денудации эти сильно метаморфизованные породы местами были выведены на поверхность, но общий фон составляют граниты.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Выходы архейских пород имеются также в Скалистых горах, где слагают гребни многих хребтов и отдельные вершины, например Пайкс-Пик. Более молодые породы там разрушены денудацией.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В Европе архейские породы обнажаются на территории Балтийского щита в пределах Норвегии, Швеции, Финляндии и России. Они представлены гранитами и сильно метаморфизованными осадочными породами. Такие же выходы архейских пород имеются на юге и юго-востоке Сибири, в Китае, западной Австралии, Африке и на северо-востоке Южной Америки. Древнейшие следы жизнедеятельности бактерий и колоний одноклеточных сине-зеленых водорослей </w:t>
      </w:r>
      <w:r w:rsidRPr="00B82CB0">
        <w:rPr>
          <w:i/>
          <w:iCs/>
          <w:sz w:val="28"/>
          <w:szCs w:val="28"/>
        </w:rPr>
        <w:t>Collenia</w:t>
      </w:r>
      <w:r w:rsidRPr="00B82CB0">
        <w:rPr>
          <w:sz w:val="28"/>
          <w:szCs w:val="28"/>
        </w:rPr>
        <w:t xml:space="preserve"> были обнаружены в архейских породах южной Африки (Зимбабве) и провинции Онтарио (Канада).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w:t>
      </w:r>
      <w:bookmarkStart w:id="1" w:name="1001999-L-137"/>
      <w:bookmarkEnd w:id="1"/>
      <w:r w:rsidRPr="00B82CB0">
        <w:rPr>
          <w:b/>
          <w:bCs/>
          <w:sz w:val="28"/>
          <w:szCs w:val="28"/>
        </w:rPr>
        <w:t xml:space="preserve">Протерозойская эра. </w:t>
      </w:r>
      <w:r w:rsidRPr="00B82CB0">
        <w:rPr>
          <w:sz w:val="28"/>
          <w:szCs w:val="28"/>
        </w:rPr>
        <w:t xml:space="preserve">В начале протерозоя после длительного периода денудации суша была в значительной степени разрушена, отдельные части материков испытали погружение и были затоплены мелководными морями, а некоторые низменные котловины начали заполняться континентальными отложениями. В Северной Америке самые значительные выходы протерозойских пород имеются в четырех районах. Первый из них приурочен к южной части Канадского щита, где мощные толщи глинистых сланцев и песчаников рассматриваемого возраста обнажаются вокруг оз. Верхнего и северо-восточнее оз. Гурон. Эти породы имеют как морское, так и континентальное происхождение. Их распределение указывает на то, что положение мелководных морей на протяжении протерозоя значительно менялось. Во многих местах морские и континентальные осадки переслаиваются с мощными лавовыми толщами. По окончании осадконакопления происходили тектонические движения земной коры, протерозойские породы претерпевали складкообразование и формировались крупные горные системы. В предгорных районах к востоку от Аппалачей имеются многочисленные выходы протерозойских пород. Первоначально они отлагались в виде пластов известняков и глинистых сланцев, а затем во время орогенеза (горообразования) метаморфизовались и превратились в мрамора, аспидные и кристаллические сланцы. В районе Большого каньона мощная толща протерозойских песчаников, глинистых сланцев и известняков несогласно перекрывает архейские породы. В северной части Скалистых гор была отложена толща протерозойских известняков мощностью ок. </w:t>
      </w:r>
      <w:smartTag w:uri="urn:schemas-microsoft-com:office:smarttags" w:element="metricconverter">
        <w:smartTagPr>
          <w:attr w:name="ProductID" w:val="4600 м"/>
        </w:smartTagPr>
        <w:r w:rsidRPr="00B82CB0">
          <w:rPr>
            <w:sz w:val="28"/>
            <w:szCs w:val="28"/>
          </w:rPr>
          <w:t>4600 м</w:t>
        </w:r>
      </w:smartTag>
      <w:r w:rsidRPr="00B82CB0">
        <w:rPr>
          <w:sz w:val="28"/>
          <w:szCs w:val="28"/>
        </w:rPr>
        <w:t xml:space="preserve">. Хотя протерозойские образования в этих районах испытали воздействие тектонических движений и были смяты в складки и разбиты разломами, эти подвижки были недостаточно интенсивными и не могли привести к метаморфизации пород. Поэтому там сохранились исходные осадочные текстуры.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В Европе значительные выходы протерозойских пород имеются в пределах Балтийского щита. Они представлены сильно метаморфизованными мраморами и аспидными сланцами. На северо-западе Шотландии мощная толща протерозойских песчаников перекрывает архейские граниты и кристаллические сланцы. Обширные выходы протерозойских пород встречаются на западе Китая, в центральной Австралии, южной Африке и центральной части Южной Америки. В Австралии указанные породы представлены мощной толщей неметаморфизованных песчаников и глинистых сланцев, а в восточной Бразилии и южной Венесуэле – сильно метаморфизованными аспидными и кристаллическими сланцами.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Ископаемые сине-зеленые водоросли </w:t>
      </w:r>
      <w:r w:rsidRPr="00B82CB0">
        <w:rPr>
          <w:i/>
          <w:iCs/>
          <w:sz w:val="28"/>
          <w:szCs w:val="28"/>
        </w:rPr>
        <w:t>Collenia</w:t>
      </w:r>
      <w:r w:rsidRPr="00B82CB0">
        <w:rPr>
          <w:sz w:val="28"/>
          <w:szCs w:val="28"/>
        </w:rPr>
        <w:t xml:space="preserve"> весьма широко распространены на всех материках в неметаморфизованных известняках протерозойского возраста, где также обнаружены немногочисленные обломки раковин примитивных моллюсков. Однако остатки животных очень редки, и это свидетельствует о том, что большинство организмов отличалось примитивным строением и еще не имело твердых оболочек, которые сохраняются в ископаемом состоянии. Хотя следы ледниковых периодов фиксируются для ранних этапов истории Земли, обширное оледенение, имевшее почти глобальное распространение, отмечается только в самом конце протерозоя. </w:t>
      </w:r>
    </w:p>
    <w:p w:rsidR="00F0460C" w:rsidRPr="00B82CB0" w:rsidRDefault="00F0460C" w:rsidP="00B82CB0">
      <w:pPr>
        <w:pStyle w:val="a4"/>
        <w:spacing w:before="0" w:beforeAutospacing="0" w:after="0" w:afterAutospacing="0" w:line="360" w:lineRule="auto"/>
        <w:ind w:firstLine="709"/>
        <w:jc w:val="both"/>
        <w:rPr>
          <w:sz w:val="28"/>
          <w:szCs w:val="28"/>
        </w:rPr>
      </w:pPr>
      <w:bookmarkStart w:id="2" w:name="1001999-L-138"/>
      <w:bookmarkEnd w:id="2"/>
      <w:r w:rsidRPr="00B82CB0">
        <w:rPr>
          <w:b/>
          <w:bCs/>
          <w:sz w:val="28"/>
          <w:szCs w:val="28"/>
        </w:rPr>
        <w:t>Палеозойская эра</w:t>
      </w:r>
      <w:r w:rsidRPr="00B82CB0">
        <w:rPr>
          <w:b/>
          <w:bCs/>
          <w:i/>
          <w:iCs/>
          <w:sz w:val="28"/>
          <w:szCs w:val="28"/>
        </w:rPr>
        <w:t xml:space="preserve">. </w:t>
      </w:r>
      <w:r w:rsidRPr="00B82CB0">
        <w:rPr>
          <w:sz w:val="28"/>
          <w:szCs w:val="28"/>
        </w:rPr>
        <w:t xml:space="preserve">После того, как суша пережила длительный период денудации в конце протерозоя, некоторые ее территории испытали прогибание и были затоплены мелководными морями. В результате денудации возвышенных участков осадочный материал сносился водными потоками в геосинклинали, где накопились толщи палеозойских осадочных пород мощностью более </w:t>
      </w:r>
      <w:smartTag w:uri="urn:schemas-microsoft-com:office:smarttags" w:element="metricconverter">
        <w:smartTagPr>
          <w:attr w:name="ProductID" w:val="12 км"/>
        </w:smartTagPr>
        <w:r w:rsidRPr="00B82CB0">
          <w:rPr>
            <w:sz w:val="28"/>
            <w:szCs w:val="28"/>
          </w:rPr>
          <w:t>12 км</w:t>
        </w:r>
      </w:smartTag>
      <w:r w:rsidRPr="00B82CB0">
        <w:rPr>
          <w:sz w:val="28"/>
          <w:szCs w:val="28"/>
        </w:rPr>
        <w:t xml:space="preserve">. В Северной Америке в начале палеозойской эры образовались две крупные геосинклинали. Одна из них, называемая Аппалачской, протянулась от северной части Атлантического океана через юго-восточную Канаду и далее на юг к Мексиканскому заливу вдоль оси современных Аппалачей. Другая геосинклиналь соединяла Северный Ледовитый океан с Тихим, проходя несколько восточнее Аляски на юг через восточную часть Британской Колумбии и западную часть Альберты, далее через восточную Неваду, западную Юту и южную Калифорнию. Таким образом Северная Америка была разделена на три части. В отдельные периоды палеозоя ее центральные районы отчасти затоплялись и обе геосинклинали соединялись мелководными морями. В другие периоды в результате изостатических поднятий суши или колебаний уровня Мирового океана происходили морские регрессии, и тогда в геосинклиналях откладывался терригенный материал, смытый из сопредельных возвышенных районов.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В палеозое сходные условия существовали и на других материках. В Европе огромные моря периодически затопляли Британские о-ва, территории Норвегии, Германии, Франции, Бельгии и Испании, а также обширную область Восточно-Европейской равнины от Балтийского моря до Уральских гор. Крупные выходы палеозойских пород имеются также в Сибири, Китае и северной Индии. Они являются коренными породами в большинстве районов восточной Австралии, северной Африки, а также в северных и центральных районах Южной Америки.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Палеозойская эра делится на шесть периодов неодинаковой продолжительности, чередующихся с кратковременными этапами изостатических поднятий или морских регрессий, во время которых в пределах материков осадкообразование не происходило (рис. 9, 10). </w:t>
      </w:r>
    </w:p>
    <w:p w:rsidR="00F0460C" w:rsidRPr="00B82CB0" w:rsidRDefault="00F0460C" w:rsidP="00B82CB0">
      <w:pPr>
        <w:pStyle w:val="a4"/>
        <w:spacing w:before="0" w:beforeAutospacing="0" w:after="0" w:afterAutospacing="0" w:line="360" w:lineRule="auto"/>
        <w:ind w:firstLine="709"/>
        <w:jc w:val="both"/>
        <w:rPr>
          <w:sz w:val="28"/>
          <w:szCs w:val="28"/>
        </w:rPr>
      </w:pPr>
      <w:bookmarkStart w:id="3" w:name="1001999-L-139"/>
      <w:bookmarkEnd w:id="3"/>
      <w:r w:rsidRPr="00B82CB0">
        <w:rPr>
          <w:i/>
          <w:iCs/>
          <w:sz w:val="28"/>
          <w:szCs w:val="28"/>
        </w:rPr>
        <w:t xml:space="preserve">Кембрийский период </w:t>
      </w:r>
      <w:r w:rsidRPr="00B82CB0">
        <w:rPr>
          <w:sz w:val="28"/>
          <w:szCs w:val="28"/>
        </w:rPr>
        <w:t xml:space="preserve">– самый ранний период палеозойской эры, названный по латинскому названию Уэльса (Камбрия), где впервые были изучены породы этого возраста. В Северной Америке в кембрии обе геосинклинали были затоплены, а во второй половине кембрия центральная часть материка занимала столь низкое положение, что оба прогиба соединялись мелководным морем и там накапливались слои песчаников, глинистых сланцев и известняков. В Европе и Азии происходила крупная морская трансгрессия. Эти части света были в значительной степени затоплены. Исключение составляли три крупных обособленных массива суши (Балтийский щит, Аравийский п-ов и южная Индия) и ряд небольших изолированных участков суши в южной Европе и южной Азии. Менее крупные морские трансгрессии происходили в Австралии и центральной части Южной Америки. Кембрий отличался довольно спокойными тектоническими обстановками.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В отложениях этого периода сохранились первые многочисленные ископаемые, свидетельствующие о развитии жизни на Земле. Хотя наземные растения или животные не отмечены, мелководные эпиконтинентальные моря и затопленные геосинклинали изобиловали многочисленными беспозвоночными животными и водными растениями. Наиболее необычные и интересные животные того времени – трилобиты (рис. 11), класс вымерших примитивных членистоногих, были широко распространены в кембрийских морях. Их известково-хитиновые панцири обнаружены в породах этого возраста на всех материках. Кроме того, существовало много типов плеченогих (брахиопод), моллюсков и других беспозвоночных. Таким образом, в кембрийских морях присутствовали все основные формы беспозвоночных организмов (за исключением кораллов, мшанок и пелеципод).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В конце кембрийского периода бóльшая часть суши испытала поднятие и произошла кратковременная морская регрессия. </w:t>
      </w:r>
    </w:p>
    <w:p w:rsidR="00F0460C" w:rsidRPr="00B82CB0" w:rsidRDefault="00F0460C" w:rsidP="00B82CB0">
      <w:pPr>
        <w:pStyle w:val="a4"/>
        <w:spacing w:before="0" w:beforeAutospacing="0" w:after="0" w:afterAutospacing="0" w:line="360" w:lineRule="auto"/>
        <w:ind w:firstLine="709"/>
        <w:jc w:val="both"/>
        <w:rPr>
          <w:sz w:val="28"/>
          <w:szCs w:val="28"/>
        </w:rPr>
      </w:pPr>
      <w:bookmarkStart w:id="4" w:name="1001999-L-140"/>
      <w:bookmarkEnd w:id="4"/>
      <w:r w:rsidRPr="00B82CB0">
        <w:rPr>
          <w:i/>
          <w:iCs/>
          <w:sz w:val="28"/>
          <w:szCs w:val="28"/>
        </w:rPr>
        <w:t xml:space="preserve">Ордовикский период </w:t>
      </w:r>
      <w:r w:rsidRPr="00B82CB0">
        <w:rPr>
          <w:sz w:val="28"/>
          <w:szCs w:val="28"/>
        </w:rPr>
        <w:t xml:space="preserve">– второй период палеозойской эры (называющийся по имени кельтского племени ордовиков, населявшего территорию Уэльса). В этот период материки снова испытали прогибание, в результате чего геосинклинали и низменные котловины превратились в мелководные моря. В конце ордовика ок. 70% территории Северной Америки было затоплено морем, в котором отложились мощные толщи известняков и глинистых сланцев. Морем были покрыты также значительные территории Европы и Азии, частично – Австралия и центральные районы Южной Америки.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Все кембрийские беспозвоночные продолжали развиваться и в ордовике. Кроме того, появились кораллы, пелециподы (двустворчатые моллюски), мшанки и первые позвоночные. В Колорадо в ордовикских песчаниках обнаружены фрагменты самых примитивных позвоночных – бесчелюстных (остракодерм), у которых отсутствовали настоящие челюсти и парные конечности, а передняя часть тела была покрыта костными пластинками, образующими защитный панцирь.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На основе палеомагнитного изучения пород установлено, что на протяжении большей части палеозоя Северная Америка располагалась в экваториальной зоне. Ископаемые организмы и широко распространенные известняки этого времени свидетельствуют о господстве в ордовике теплых мелководных морей. Австралия располагалась близ Южного полюса, а северо-западная Африка – в районе самого полюса, что подтверждается запечатлевшимися в ордовикских породах Африки признаками широкого распространения оледенения.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В конце ордовикского периода в результате тектонических движений происходили поднятие материков и морская регрессия. Местами коренные кембрийские и ордовикские породы испытали процесс складкообразования, который сопровождался ростом гор. Этот древнейший этап орогенеза носит название каледонской складчатости. </w:t>
      </w:r>
    </w:p>
    <w:p w:rsidR="00F0460C" w:rsidRPr="00B82CB0" w:rsidRDefault="00F0460C" w:rsidP="00B82CB0">
      <w:pPr>
        <w:pStyle w:val="a4"/>
        <w:spacing w:before="0" w:beforeAutospacing="0" w:after="0" w:afterAutospacing="0" w:line="360" w:lineRule="auto"/>
        <w:ind w:firstLine="709"/>
        <w:jc w:val="both"/>
        <w:rPr>
          <w:sz w:val="28"/>
          <w:szCs w:val="28"/>
        </w:rPr>
      </w:pPr>
      <w:bookmarkStart w:id="5" w:name="1001999-L-141"/>
      <w:bookmarkEnd w:id="5"/>
      <w:r w:rsidRPr="00B82CB0">
        <w:rPr>
          <w:i/>
          <w:iCs/>
          <w:sz w:val="28"/>
          <w:szCs w:val="28"/>
        </w:rPr>
        <w:t xml:space="preserve">Силурийский период. </w:t>
      </w:r>
      <w:r w:rsidRPr="00B82CB0">
        <w:rPr>
          <w:sz w:val="28"/>
          <w:szCs w:val="28"/>
        </w:rPr>
        <w:t xml:space="preserve">Впервые породы этого периода были изучены также в Уэльсе (название периода происходит от кельтского племени силуров, населявшего этот регион).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После тектонических поднятий, ознаменовавших окончание ордовикского периода, наступил денудационный этап, а затем в начале силура материки снова испытали прогибание, а моря затопили низменные районы. В Северной Америке в раннем силуре площадь морей существенно сократилась, однако в среднем силуре они заняли почти 60% ее территории. Сформировалась мощная толща морских известняков ниагарской формации, получившей свое название от Ниагарского водопада, порог которого она слагает. В позднем силуре площади морей сильно сократились. В полосе, простирающейся от современного штата Мичиган до центральной части штата Нью-Йорк, накапливались мощные соленосные пласты.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В Европе и Азии силурийские моря были широко распространены и занимали почти те же территории, что и кембрийские моря. Незатопленными оставались те же изолированные массивы, что и в кембрии, а также значительные территории северного Китая и Восточной Сибири. В Европе мощные известняковые толщи накапливались по периферии южной оконечности Балтийского щита (в настоящее время они частично затоплены Балтийским морем). Небольшие моря были распространены в восточной Австралии, северной Африке и в центральных районах Южной Америки.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В силурийских породах обнаружены в общем те же основные представители органического мира, что и в ордовикских. Наземные растения в силуре еще не появились. Среди беспозвоночных гораздо более обильными стали кораллы, в результате жизнедеятельности которых во многих районах сформировались массивные коралловые рифы. Трилобиты, столь характерные для кембрийских и ордовикских пород, утрачивают свое доминирующее значение: их становится меньше как в количественном, так и видовом отношениях. В конце силура появилось множество крупных водных членистоногих, называемых эвриптеридами, или ракоскорпионами.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Силурийский период в Северной Америке завершился без крупных тектонических подвижек. Однако в Западной Европе в это время образовался пояс каледонид. Эта горная цепь простиралась на территории Норвегии, Шотландии и Ирландии. Орогенез происходил также в северной Сибири, в результате чего ее территория была так высоко поднята, что больше уже никогда не затоплялась. </w:t>
      </w:r>
    </w:p>
    <w:p w:rsidR="00F0460C" w:rsidRPr="00B82CB0" w:rsidRDefault="00F0460C" w:rsidP="00B82CB0">
      <w:pPr>
        <w:pStyle w:val="a4"/>
        <w:spacing w:before="0" w:beforeAutospacing="0" w:after="0" w:afterAutospacing="0" w:line="360" w:lineRule="auto"/>
        <w:ind w:firstLine="709"/>
        <w:jc w:val="both"/>
        <w:rPr>
          <w:sz w:val="28"/>
          <w:szCs w:val="28"/>
        </w:rPr>
      </w:pPr>
      <w:bookmarkStart w:id="6" w:name="1001999-L-142"/>
      <w:bookmarkEnd w:id="6"/>
      <w:r w:rsidRPr="00B82CB0">
        <w:rPr>
          <w:i/>
          <w:iCs/>
          <w:sz w:val="28"/>
          <w:szCs w:val="28"/>
        </w:rPr>
        <w:t xml:space="preserve">Девонский период </w:t>
      </w:r>
      <w:r w:rsidRPr="00B82CB0">
        <w:rPr>
          <w:sz w:val="28"/>
          <w:szCs w:val="28"/>
        </w:rPr>
        <w:t xml:space="preserve">назван по имени графства Девон в Англии, где впервые были изучены породы этого возраста. После денудационного перерыва отдельные районы материков снова испытали погружение и были затоплены мелководными морями. В северной Англии и частично в Шотландии молодые каледониды препятствовали проникновению моря. Однако их разрушение привело к накоплению мощных толщ терригенных песчаников в долинах предгорных рек. Эта формация древних красных песчаников известна хорошо сохранившимися ископаемыми рыбами. Южная Англия в это время была покрыта морем, в котором отлагались мощные толщи известняков. Значительные территории на севере Европы были тогда затоплены морями, в которых накапливались слои глинистых сланцев и известняков. При врезании Рейна в эти толщи в районе массива Эйфель образовались живописные утесы, которые поднимаются по берегам долины.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Девонские моря покрывали многие районы европейской части России, южной Сибири и южного Китая. Обширный морской бассейн затопил центральную и западную Австралию. Эта территория не покрывалась морем с кембрийского периода. В Южной Америке морская трансгрессия распространилась на некоторые центральные и западные районы. Кроме того, существовал узкий субширотный прогиб в Амазонии. В Северной Америке очень широко распространены девонские породы. На протяжении большей части этого периода существовали два крупных геосинклинальных бассейна. В среднем девоне морская трансгрессия распространилась на территорию современной долины р. Миссисипи, где накопилась многослойная толща известняков.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В верхнем девоне мощные горизонты сланцев и песчаников сформировались в восточных районах Северной Америки. Эти обломочные толщи соответствуют этапу горообразования, начавшемуся в конце среднего девона и продолжавшемуся до окончания этого периода. Горы простирались вдоль восточного крыла Аппалачской геосинклинали (от современных юго-восточных районов США до юго-восточной Канады). Этот регион был сильно поднят, его северная часть претерпела складкообразование, затем там произошли обширные гранитные интрузии. Этими гранитами сложены горы Уайт-Маунтинс в Нью-Гэмпшире, Стоун-Маунтин в Джорджии и ряд других горных сооружений. Верхнедевонские, т.н. Акадские, горы были переработаны денудационными процессами. В результате к западу от Аппалачской геосинклинали накопилась слоистая толща песчаников, мощность которых местами превышает </w:t>
      </w:r>
      <w:smartTag w:uri="urn:schemas-microsoft-com:office:smarttags" w:element="metricconverter">
        <w:smartTagPr>
          <w:attr w:name="ProductID" w:val="1500 м"/>
        </w:smartTagPr>
        <w:r w:rsidRPr="00B82CB0">
          <w:rPr>
            <w:sz w:val="28"/>
            <w:szCs w:val="28"/>
          </w:rPr>
          <w:t>1500 м</w:t>
        </w:r>
      </w:smartTag>
      <w:r w:rsidRPr="00B82CB0">
        <w:rPr>
          <w:sz w:val="28"/>
          <w:szCs w:val="28"/>
        </w:rPr>
        <w:t xml:space="preserve">. Они широко представлены в районе гор Кэтскилл, откуда и пошло название песчаников Кэтскилл. В меньших масштабах горообразование в это же время проявилось в некоторых районах Западной Европы. Орогенез и тектонические поднятия земной поверхности послужили причиной морской регрессии в конце девонского периода.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В девоне произошли некоторые важные события в эволюции жизни на Земле. Во многих районах земного шара были обнаружены первые бесспорные находки наземных растений. Так, например, в окрестностях Гилбоа (шт. Нью-Йорк) было найдено много видов папоротникообразных, включая гигантские древовидные.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Среди беспозвоночных были широко распространены губки, кораллы, мшанки, брахиоподы и моллюски (рис. 12). Существовало несколько типов трилобитов, хотя их численность и видовое разнообразие значительно сократились по сравнению с силуром. Девон часто называют «веком рыб» благодаря пышному расцвету этого класса позвоночных. Хотя еще существовали примитивные бесчелюстные, преобладать стали более совершенные формы. Акулообразные рыбы достигали в длину </w:t>
      </w:r>
      <w:smartTag w:uri="urn:schemas-microsoft-com:office:smarttags" w:element="metricconverter">
        <w:smartTagPr>
          <w:attr w:name="ProductID" w:val="6 м"/>
        </w:smartTagPr>
        <w:r w:rsidRPr="00B82CB0">
          <w:rPr>
            <w:sz w:val="28"/>
            <w:szCs w:val="28"/>
          </w:rPr>
          <w:t>6 м</w:t>
        </w:r>
      </w:smartTag>
      <w:r w:rsidRPr="00B82CB0">
        <w:rPr>
          <w:sz w:val="28"/>
          <w:szCs w:val="28"/>
        </w:rPr>
        <w:t xml:space="preserve">. В это время появились двоякодышащие рыбы, у которых плавательный пузырь трансформировался в примитивные легкие, что позволяло им существовать какое-то время на суше, а также кистеперые и лучеперые. В верхнем девоне обнаружены первые следы наземных животных – крупных саламандроподобных земноводных, называемых стегоцефалами. Особенности скелета показывают, что они развились из двоякодышащих рыб путем дальнейшего усовершенствования легких и видоизменения плавников и превращения их в конечности. </w:t>
      </w:r>
    </w:p>
    <w:p w:rsidR="00F0460C" w:rsidRPr="00B82CB0" w:rsidRDefault="00F0460C" w:rsidP="00B82CB0">
      <w:pPr>
        <w:pStyle w:val="a4"/>
        <w:spacing w:before="0" w:beforeAutospacing="0" w:after="0" w:afterAutospacing="0" w:line="360" w:lineRule="auto"/>
        <w:ind w:firstLine="709"/>
        <w:jc w:val="both"/>
        <w:rPr>
          <w:sz w:val="28"/>
          <w:szCs w:val="28"/>
        </w:rPr>
      </w:pPr>
      <w:bookmarkStart w:id="7" w:name="1001999-L-143"/>
      <w:bookmarkEnd w:id="7"/>
      <w:r w:rsidRPr="00B82CB0">
        <w:rPr>
          <w:i/>
          <w:iCs/>
          <w:sz w:val="28"/>
          <w:szCs w:val="28"/>
        </w:rPr>
        <w:t xml:space="preserve">Каменноугольный период. </w:t>
      </w:r>
      <w:r w:rsidRPr="00B82CB0">
        <w:rPr>
          <w:sz w:val="28"/>
          <w:szCs w:val="28"/>
        </w:rPr>
        <w:t xml:space="preserve">После некоторого перерыва материки снова испытали погружение и их низменные участки превратились в мелководные моря. Так начался каменноугольный период, получивший свое название по широкому распространению угольных залежей как в Европе, так и в Северной Америке. В Америке его ранний этап, характеризовавшийся морскими обстановками, раньше называли миссисипским по мощной толще известняков, сформировавшейся в пределах современной долины р. Миссисипи, а теперь его относят к нижнему отделу каменноугольного периода.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В Европе на протяжении всего каменноугольного периода территории Англии, Бельгии и северной Франции были большей частью затоплены морем, в котором сформировались мощные горизонты известняков. Затоплялись также некоторые районы южной Европы и южной Азии, где отложились мощные слои глинистых сланцев и песчаников. Некоторые из этих горизонтов имеют континентальное происхождение и содержат много ископаемых остатков наземных растений, а также вмещают угленосные пласты. Поскольку нижнекаменноугольные формации мало представлены в Африке, Австралии и Южной Америке, можно предполагать, что эти территории находились преимущественно в субаэральных условиях. Кроме того, имеются свидетельства широкого распространения там материкового оледенения.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В Северной Америке Аппалачскую геосинклиналь с севера ограничивали Акадские горы, а с юга, со стороны Мексиканского залива, в нее проникало Миссисипское море, которое заливало и долину Миссисипи. Небольшие морские бассейны занимали некоторые участки на западе материка. В районе долины Миссисипи накапливалась многослойная толща известняков и сланцев. Один из этих горизонтов, т.н. индианский известняк, или спергенит, является хорошим строительным материалом. Он использовался при сооружении многих правительственных зданий в Вашингтоне.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В конце каменноугольного периода в Европе широко проявилось горообразование. Цепи гор простирались от южной Ирландии через южную Англию и северную Францию в южную Германию. Этот этап орогенеза называют герцинским, или варисцийским. В Северной Америке локальные поднятия происходили в конце миссисипского периода. Эти тектонические движения сопровождались морской регрессией, развитию которой способствовали также оледенения южных материков.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В целом органический мир нижнекаменноугольного (или миссисипского) времени был таким же, как и в девоне. Однако, помимо большего разнообразия типов древовидных папоротников, флора пополнилась древовидными плаунами и каламитовыми (древовидными членистостебельными класса хвощей). Беспозвоночные в основном были представлены теми же формами, что и в девоне. В миссисипское время стали более обычными морские лилии – донные животные, по форме сходные с цветком. Среди ископаемых позвоночных многочисленны акулоподобные рыбы и стегоцефалы.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В начале позднекаменноугольного времени (в Северной Америке – пенсильванского) условия на материках стали быстро меняться. Как следует из значительно более широкого распространения континентальных осадков, моря занимали меньшие пространства. Северо-западная Европа бóльшую часть этого времени находилась в субаэральных условиях. Обширное эпиконтинентальное Уральское море широко распространилось в северной и центральной России, а крупная геосинклиналь простиралась через южную Европу и южную Азию (современные Альпы, Кавказ и Гималаи расположены вдоль ее оси). Этот прогиб, именующийся геосинклиналью, или морем, Тетис, существовал на протяжении ряда последующих геологических периодов.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На территории Англии, Бельгии и Германии простирались низменности. Здесь в результате небольших колебательных движений земной коры происходило чередование морских и континентальных обстановок. Когда море отступало, формировались низменные заболоченные ландшафты с лесами из древовидных папоротников, древовидных плаунов и каламитовых. При наступании морей осадочные образования перекрывали леса, уплотняя древесные остатки, которые превращались в торф, а затем в уголь. В позднекаменноугольное время на материках Южного полушария распространилось покровное оледенение. В Южной Америке в результате морской трансгрессии, проникавшей с запада, была затоплена бóльшая часть территории современных Боливии и Перу.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В раннепенсильванское время в Северной Америке Аппалачская геосинклиналь замкнулась, утратила связь с Мировым океаном, и в восточных и центральных районах США накапливались терригенные песчаники. В середине и конце этого периода во внутренних районах Северной Америки (так же, как в Западной Европе) преобладали низменности. Здесь мелководные моря периодически уступали место болотам, в которых накапливались мощные торфяные залежи, впоследствии трансформировавшиеся в крупные угольные бассейны, которые простираются от Пенсильвании до восточного Канзаса. Некоторые западные районы Северной Америки заливались морем на протяжении большей части этого периода. Там отлагались слои известняков, сланцев и песчаников.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Широкое распространение субаэральных обстановок в значительной мере способствовало эволюции наземных растений и животных. Гигантские леса из древовидных папоротников и плаунов покрывали обширные заболоченные низменности. Эти леса изобиловали насекомыми и паукообразными. Один из видов насекомых, самый крупный в геологической истории, был похож на современную стрекозу, но имел размах крыльев ок. </w:t>
      </w:r>
      <w:smartTag w:uri="urn:schemas-microsoft-com:office:smarttags" w:element="metricconverter">
        <w:smartTagPr>
          <w:attr w:name="ProductID" w:val="75 см"/>
        </w:smartTagPr>
        <w:r w:rsidRPr="00B82CB0">
          <w:rPr>
            <w:sz w:val="28"/>
            <w:szCs w:val="28"/>
          </w:rPr>
          <w:t>75 см</w:t>
        </w:r>
      </w:smartTag>
      <w:r w:rsidRPr="00B82CB0">
        <w:rPr>
          <w:sz w:val="28"/>
          <w:szCs w:val="28"/>
        </w:rPr>
        <w:t xml:space="preserve">. Значительно большего видового разнообразия достигли стегоцефалы. Некоторые превышали в длину </w:t>
      </w:r>
      <w:smartTag w:uri="urn:schemas-microsoft-com:office:smarttags" w:element="metricconverter">
        <w:smartTagPr>
          <w:attr w:name="ProductID" w:val="3 м"/>
        </w:smartTagPr>
        <w:r w:rsidRPr="00B82CB0">
          <w:rPr>
            <w:sz w:val="28"/>
            <w:szCs w:val="28"/>
          </w:rPr>
          <w:t>3 м</w:t>
        </w:r>
      </w:smartTag>
      <w:r w:rsidRPr="00B82CB0">
        <w:rPr>
          <w:sz w:val="28"/>
          <w:szCs w:val="28"/>
        </w:rPr>
        <w:t xml:space="preserve">. Только в Северной Америке в болотных отложениях пенсильванского времени было обнаружено более 90 видов этих гигантских земноводных, имевших сходство с саламандрами. В этих же породах были найдены остатки древнейших пресмыкающихся. Однако из-за фрагментарности находок трудно составить полное представление о морфологии этих животных. Вероятно, эти примитивные формы были похожи на аллигаторов. </w:t>
      </w:r>
    </w:p>
    <w:p w:rsidR="00F0460C" w:rsidRPr="00B82CB0" w:rsidRDefault="00F0460C" w:rsidP="00B82CB0">
      <w:pPr>
        <w:pStyle w:val="a4"/>
        <w:spacing w:before="0" w:beforeAutospacing="0" w:after="0" w:afterAutospacing="0" w:line="360" w:lineRule="auto"/>
        <w:ind w:firstLine="709"/>
        <w:jc w:val="both"/>
        <w:rPr>
          <w:sz w:val="28"/>
          <w:szCs w:val="28"/>
        </w:rPr>
      </w:pPr>
      <w:bookmarkStart w:id="8" w:name="1001999-L-144"/>
      <w:bookmarkEnd w:id="8"/>
      <w:r w:rsidRPr="00B82CB0">
        <w:rPr>
          <w:i/>
          <w:iCs/>
          <w:sz w:val="28"/>
          <w:szCs w:val="28"/>
        </w:rPr>
        <w:t xml:space="preserve">Пермский период. </w:t>
      </w:r>
      <w:r w:rsidRPr="00B82CB0">
        <w:rPr>
          <w:sz w:val="28"/>
          <w:szCs w:val="28"/>
        </w:rPr>
        <w:t xml:space="preserve">Изменения природных условий, начавшиеся в позднекаменноугольное время, еще больше проявились в пермском периоде, завершившем палеозойскую эру. Его название происходит от Пермской области в России. В начале этого периода море занимало Уральскую геосинклиналь – прогиб, следовавший согласно простиранию современных Уральских гор. Мелководное море периодически покрывало некоторые районы Англии, северной Франции и южной Германии, где накапливались слоистые толщи морских и континентальных осадков – песчаников, известняков, глинистых сланцев и каменной соли. Море Тетис существовало на протяжении большей части периода, и в районе северной Индии и современных Гималаев образовалась мощная толща известняков. Пермские отложения большой мощности представлены в восточной и центральной Австралии и на островах Южной и Юго-Восточной Азии. Они широко распространены в Бразилии, Боливии и Аргентине, а также в южной Африке.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Многие пермские формации в северной Индии, Австралии, Африке и Южной Америке имеют континентальное происхождение. Они представлены уплотненными ледниковыми отложениями, а также широко распространенными водно-ледниковыми песками. В Центральной и Южной Африке этими породами начинается мощная толща континентальных отложений, известная как серия кару.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В Северной Америке пермские моря занимали меньшую площадь по сравнению с предыдущими периодами палеозоя. Главная трансгрессия распространялась из западной части Мексиканского залива на север через территорию Мексики и проникла в южные районы центральной части США. Центр этого эпиконтинентального моря располагался в пределах современного штата Нью-Мексико, где сформировалась мощная толща известняков серии кэпитен. Благодаря деятельности подземных вод эти известняки приобрели сотовую структуру, особенно ярко выраженную в знаменитых Карлсбадских пещерах (шт. Нью-Мексико, США). Восточнее, в Канзасе и Оклахоме, отложились прибрежные фации красных глинистых сланцев. В конце перми, когда площадь, занятая морем, значительно сократилась, сформировались мощные соленосные и гипсоносные толщи.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В конце палеозойской эры, отчасти в каменноугольном периоде и отчасти – в пермском, во многих районах начался орогенез. Мощные толщи осадочных пород Аппалачской геосинклинали были смяты в складки и разбиты разломами. В результате образовались горы Аппалачи. Этот этап горообразования в Европе и Азии называют герцинским, или варисцийским, а в Северной Америке – аппалачским.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Растительный мир пермского периода был такой же, как и во второй половине каменноугольного. Однако растения имели меньшие размеры и не были так многочисленны. Это указывает на то, что климат пермского периода стал холоднее и суше. Беспозвоночные животные перми были унаследованы от предыдущего периода. Большой скачок произошел в эволюции позвоночных (рис. 13). На всех материках континентальные отложения пермского возраста содержат многочисленные остатки пресмыкающихся, достигавших в длину </w:t>
      </w:r>
      <w:smartTag w:uri="urn:schemas-microsoft-com:office:smarttags" w:element="metricconverter">
        <w:smartTagPr>
          <w:attr w:name="ProductID" w:val="3 м"/>
        </w:smartTagPr>
        <w:r w:rsidRPr="00B82CB0">
          <w:rPr>
            <w:sz w:val="28"/>
            <w:szCs w:val="28"/>
          </w:rPr>
          <w:t>3 м</w:t>
        </w:r>
      </w:smartTag>
      <w:r w:rsidRPr="00B82CB0">
        <w:rPr>
          <w:sz w:val="28"/>
          <w:szCs w:val="28"/>
        </w:rPr>
        <w:t xml:space="preserve">. Все эти предки мезозойских динозавров отличались примитивным строением и внешне были похожи на ящериц или аллигаторов, но иногда имели необычные особенности, например, высокий парусообразный плавник, протягивающийся от шеи до хвоста вдоль спины, у диметродона. Все еще многочисленными были стегоцефалы.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В конце пермского периода горообразование, проявившееся во многих районах земного шара на фоне общего поднятия материков, привело к столь значительным изменениям окружающей среды, что начали вымирать многие характерные представители палеозойской фауны. Пермский период был заключительной стадией существования многих беспозвоночных, особенно трилобитов. </w:t>
      </w:r>
    </w:p>
    <w:p w:rsidR="00F0460C" w:rsidRPr="00B82CB0" w:rsidRDefault="00F0460C" w:rsidP="00B82CB0">
      <w:pPr>
        <w:pStyle w:val="a4"/>
        <w:spacing w:before="0" w:beforeAutospacing="0" w:after="0" w:afterAutospacing="0" w:line="360" w:lineRule="auto"/>
        <w:ind w:firstLine="709"/>
        <w:jc w:val="both"/>
        <w:rPr>
          <w:sz w:val="28"/>
          <w:szCs w:val="28"/>
        </w:rPr>
      </w:pPr>
      <w:bookmarkStart w:id="9" w:name="1001999-L-145"/>
      <w:bookmarkEnd w:id="9"/>
      <w:r w:rsidRPr="00B82CB0">
        <w:rPr>
          <w:b/>
          <w:bCs/>
          <w:sz w:val="28"/>
          <w:szCs w:val="28"/>
        </w:rPr>
        <w:t xml:space="preserve">Мезозойская эра, </w:t>
      </w:r>
      <w:r w:rsidRPr="00B82CB0">
        <w:rPr>
          <w:sz w:val="28"/>
          <w:szCs w:val="28"/>
        </w:rPr>
        <w:t xml:space="preserve">подразделяемая на три периода, отличалась от палеозойской преобладанием континентальных обстановок над морскими, а также составом флоры и фауны. Наземные растения, многие группы беспозвоночных и особенно позвоночные животные приспособились к новым обстановкам и претерпели существенные изменения. </w:t>
      </w:r>
    </w:p>
    <w:p w:rsidR="00F0460C" w:rsidRPr="00B82CB0" w:rsidRDefault="00F0460C" w:rsidP="00B82CB0">
      <w:pPr>
        <w:pStyle w:val="a4"/>
        <w:spacing w:before="0" w:beforeAutospacing="0" w:after="0" w:afterAutospacing="0" w:line="360" w:lineRule="auto"/>
        <w:ind w:firstLine="709"/>
        <w:jc w:val="both"/>
        <w:rPr>
          <w:sz w:val="28"/>
          <w:szCs w:val="28"/>
        </w:rPr>
      </w:pPr>
      <w:bookmarkStart w:id="10" w:name="1001999-L-146"/>
      <w:bookmarkEnd w:id="10"/>
      <w:r w:rsidRPr="00B82CB0">
        <w:rPr>
          <w:i/>
          <w:iCs/>
          <w:sz w:val="28"/>
          <w:szCs w:val="28"/>
        </w:rPr>
        <w:t xml:space="preserve">Триасовый период </w:t>
      </w:r>
      <w:r w:rsidRPr="00B82CB0">
        <w:rPr>
          <w:sz w:val="28"/>
          <w:szCs w:val="28"/>
        </w:rPr>
        <w:t xml:space="preserve">открывает мезозойскую эру. Его название происходит от греч. trias (троица) в связи с четким трехчленным строением толщи отложений этого периода в северной Германии. В основании толщи залегают красноцветные песчаники, в середине – известняки, а вверху – красноцветные песчаники и глинистые сланцы. На протяжении триаса значительные территории Европы и Азии были заняты озерами и мелководными морями. Эпиконтинентальное море покрывало Западную Европу, причем его береговая линия прослеживается на территории Англии. В этом морском бассейне и накапливались вышеупомянутые стратотипические осадки. Песчаники, залегающие в нижней и верхней частях толщи, отчасти имеют континентальное происхождение. Другой триасовый морской бассейн проникал на территорию северной России и распространялся к югу по Уральскому прогибу. Огромное море Тетис тогда покрывало примерно такую же территорию, как и в позднекаменноугольное и пермское время. В этом море накопилась мощная толща доломитовых известняков, которыми сложены Доломитовые Альпы северной Италии. На юге центральной Африки триасовый возраст имеет бóльшая часть верхней толщи континентальной серии кару. Эти горизонты известны обилием ископаемых остатков пресмыкающихся. В конце триаса на территории Колумбии, Венесуэлы и Аргентины образовались покровы алевритов и песков континентального генезиса. Пресмыкающиеся, найденные в этих слоях, обнаруживают удивительное сходство с фауной серии кару в южной Африке.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В Северной Америке триасовые породы не так широко распространены, как в Европе и Азии. Продукты разрушения Аппалачей – красноцветные континентальные пески и глины – накапливались во впадинах, расположенных восточнее этих гор и испытывавших погружение. Эти отложения, переслаивающиеся с горизонтами лавы и пластовыми интрузиями, разбиты разломами и имеют падение к востоку. В Ньюаркском бассейне в Нью-Джерси и долине р.Коннектикут им соответствуют коренные породы серии ньюарк. Мелководные моря занимали некоторые западные районы Северной Америки, где накапливались известняки и глинистые сланцы. Континентальные песчаники и глинистые сланцы триаса выходят по бортам Большого каньона (шт. Аризона).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Органический мир в триасовом периоде был существенно иным, чем в пермском периоде. Для этого времени характерно обилие крупных хвойных деревьев, остатки которых часто встречаются в триасовых континентальных отложениях. Глинистые сланцы формации чинл на севере Аризоны насыщены окременелыми стволами деревьев. В результате выветривания сланцев они обнажились и теперь образуют каменный лес. Широкое развитие получили саговниковые (или цикадофиты), растения с тонкими или бочонковидными стволами и свисающими с макушки рассеченными, как у пальм, листьями. Некоторые виды саговниковых существуют и в современных тропических районах. Из беспозвоночных самыми распространенными были моллюски, среди которых преобладали аммониты (рис. 14), имевшие отдаленное сходство с современными наутилусами (или корабликами) и многокамерную раковину. Существовало много видов двустворчатых моллюсков. Значительный прогресс произошел в эволюции позвоночных. Хотя стегоцефалы были еще довольно обычны, преобладать стали пресмыкающиеся, среди которых появилось множество необычных групп (например, фитозавры, форма тела которых была, как у современных крокодилов, а челюсти узкие и длинные с острыми коническими зубами). В триасе впервые появились настоящие динозавры, эволюционно более развитые, чем их примитивные предки. Конечности у них были направлены вниз, а не в стороны (как у крокодилов), что позволяло им передвигаться подобно млекопитающим и поддерживать тело над землей. Динозавры передвигались на задних ногах, удерживая равновесие при помощи длинного хвоста (как кенгуру), и отличались небольшим ростом – от </w:t>
      </w:r>
      <w:smartTag w:uri="urn:schemas-microsoft-com:office:smarttags" w:element="metricconverter">
        <w:smartTagPr>
          <w:attr w:name="ProductID" w:val="30 см"/>
        </w:smartTagPr>
        <w:r w:rsidRPr="00B82CB0">
          <w:rPr>
            <w:sz w:val="28"/>
            <w:szCs w:val="28"/>
          </w:rPr>
          <w:t>30 см</w:t>
        </w:r>
      </w:smartTag>
      <w:r w:rsidRPr="00B82CB0">
        <w:rPr>
          <w:sz w:val="28"/>
          <w:szCs w:val="28"/>
        </w:rPr>
        <w:t xml:space="preserve"> до </w:t>
      </w:r>
      <w:smartTag w:uri="urn:schemas-microsoft-com:office:smarttags" w:element="metricconverter">
        <w:smartTagPr>
          <w:attr w:name="ProductID" w:val="2,5 м"/>
        </w:smartTagPr>
        <w:r w:rsidRPr="00B82CB0">
          <w:rPr>
            <w:sz w:val="28"/>
            <w:szCs w:val="28"/>
          </w:rPr>
          <w:t>2,5 м</w:t>
        </w:r>
      </w:smartTag>
      <w:r w:rsidRPr="00B82CB0">
        <w:rPr>
          <w:sz w:val="28"/>
          <w:szCs w:val="28"/>
        </w:rPr>
        <w:t xml:space="preserve">. Некоторые пресмыкающиеся приспособились к жизни в морской среде, например ихтиозавры, туловище которых походило на акулье, а конечности трансформировались в нечто среднее между ластами и плавниками, и плезиозавры, туловище которых стало уплощенным, шея вытянулась, а конечности превратились в ласты. Обе эти группы животных стали более многочисленными в последующие этапы мезозойской эры. </w:t>
      </w:r>
    </w:p>
    <w:p w:rsidR="00F0460C" w:rsidRPr="00B82CB0" w:rsidRDefault="00F0460C" w:rsidP="00B82CB0">
      <w:pPr>
        <w:pStyle w:val="a4"/>
        <w:spacing w:before="0" w:beforeAutospacing="0" w:after="0" w:afterAutospacing="0" w:line="360" w:lineRule="auto"/>
        <w:ind w:firstLine="709"/>
        <w:jc w:val="both"/>
        <w:rPr>
          <w:sz w:val="28"/>
          <w:szCs w:val="28"/>
        </w:rPr>
      </w:pPr>
      <w:bookmarkStart w:id="11" w:name="1001999-L-147"/>
      <w:bookmarkEnd w:id="11"/>
      <w:r w:rsidRPr="00B82CB0">
        <w:rPr>
          <w:i/>
          <w:iCs/>
          <w:sz w:val="28"/>
          <w:szCs w:val="28"/>
        </w:rPr>
        <w:t xml:space="preserve">Юрский период </w:t>
      </w:r>
      <w:r w:rsidRPr="00B82CB0">
        <w:rPr>
          <w:sz w:val="28"/>
          <w:szCs w:val="28"/>
        </w:rPr>
        <w:t xml:space="preserve">получил свое название от гор Юра (в северо-западной Швейцарии), сложенных многослойной толщей известняков, глинистых сланцев и песчаников. В юре произошла одна из крупнейших морских трансгрессий в Западной Европе. Огромное эпиконтинентальное море распространялось на большей части Англии, Франции, Германии и проникало в некоторые западные районы европейской России. В Германии известны многочисленные выходы верхнеюрских лагунных мелкозернистых известняков, в которых были обнаружены необычные ископаемые. В Баварии, в знаменитом местечке Золенхофен, найдены остатки крылатых пресмыкающихся и оба из известных видов первых птиц.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Море Тетис простиралось от Атлантики через южную часть Пиренейского п-ова вдоль Средиземного моря и через Южную и Юго-Восточную Азию выходило к Тихому океану. Бóльшая часть северной Азии в этот период располагалась выше уровня моря, хотя эпиконтинентальные моря с севера проникали в Сибирь. Континентальные отложения юрского возраста известны в южной Сибири и северном Китае.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Небольшие эпиконтинентальные моря занимали ограниченные площади вдоль побережья западной Австралии. Во внутренних районах Австралии имеются выходы юрских континентальных отложений. Бóльшая часть Африки в юрский период располагалась выше уровня моря. Исключение составляла ее северная окраина, заливавшаяся морем Тетис. В Южной Америке вытянутое узкое море заполняло геосинклиналь, размещавшуюся примерно на месте современных Анд.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В Северной Америке юрские моря занимали весьма ограниченные территории на западе материка. Мощные толщи континентальных песчаников и кроющих глинистых сланцев накопились в районе плато Колорадо, особенно к северу и востоку от Большого каньона. Песчаники образовались из песков, слагавших пустынные дюнные ландшафты котловин. В результате процессов выветривания песчаники приобрели необычные формы (как, например, живописные остроконечные пики в национальном парке Зайон или национальный памятник Рейнбоу-Бридж, представляющий собой возвышающуюся на </w:t>
      </w:r>
      <w:smartTag w:uri="urn:schemas-microsoft-com:office:smarttags" w:element="metricconverter">
        <w:smartTagPr>
          <w:attr w:name="ProductID" w:val="94 м"/>
        </w:smartTagPr>
        <w:r w:rsidRPr="00B82CB0">
          <w:rPr>
            <w:sz w:val="28"/>
            <w:szCs w:val="28"/>
          </w:rPr>
          <w:t>94 м</w:t>
        </w:r>
      </w:smartTag>
      <w:r w:rsidRPr="00B82CB0">
        <w:rPr>
          <w:sz w:val="28"/>
          <w:szCs w:val="28"/>
        </w:rPr>
        <w:t xml:space="preserve"> над дном каньона арку с пролетом </w:t>
      </w:r>
      <w:smartTag w:uri="urn:schemas-microsoft-com:office:smarttags" w:element="metricconverter">
        <w:smartTagPr>
          <w:attr w:name="ProductID" w:val="85 м"/>
        </w:smartTagPr>
        <w:r w:rsidRPr="00B82CB0">
          <w:rPr>
            <w:sz w:val="28"/>
            <w:szCs w:val="28"/>
          </w:rPr>
          <w:t>85 м</w:t>
        </w:r>
      </w:smartTag>
      <w:r w:rsidRPr="00B82CB0">
        <w:rPr>
          <w:sz w:val="28"/>
          <w:szCs w:val="28"/>
        </w:rPr>
        <w:t xml:space="preserve">; эти достопримечательности находятся в штате Юта). Отложения глинистых сланцев формации моррисон знамениты находками 69 видов ископаемых динозавров. Тонкодисперсные осадки в этом районе, вероятно, накапливались в условиях заболоченной низины.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Растительный мир юрского периода в общих чертах был сходен с существовавшим в триасе. Во флоре доминировали саговниковые и хвойные древесные породы. Впервые появились гинкговые – голосеменные широколиственные древесные растения с опадающей осенью листвой (вероятно, это связующее звено между голосеменными и покрытосеменными растениями). Единственный вид этого семейства – гинкго двулопастный – сохранился до настоящего времени и считается самым древним представителем древесных, поистине живым ископаемым.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Юрская фауна беспозвоночных весьма сходна с триасовой. Однако более многочисленными стали кораллы-рифостроители, широко распространились морские ежи и моллюски. Появились многие двустворчатые моллюски, родственные современным устрицам. Все еще были многочисленны аммониты.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Позвоночные были представлены преимущественно пресмыкающимися, поскольку стегоцефалы вымерли в конце триаса. Динозавры достигли кульминации своего развития. Такие травоядные формы, как апатозавры и диплодоки, стали передвигаться на четырех конечностях; многие имели длинные шею и хвост. Эти животные приобрели гигантские размеры (до </w:t>
      </w:r>
      <w:smartTag w:uri="urn:schemas-microsoft-com:office:smarttags" w:element="metricconverter">
        <w:smartTagPr>
          <w:attr w:name="ProductID" w:val="27 м"/>
        </w:smartTagPr>
        <w:r w:rsidRPr="00B82CB0">
          <w:rPr>
            <w:sz w:val="28"/>
            <w:szCs w:val="28"/>
          </w:rPr>
          <w:t>27 м</w:t>
        </w:r>
      </w:smartTag>
      <w:r w:rsidRPr="00B82CB0">
        <w:rPr>
          <w:sz w:val="28"/>
          <w:szCs w:val="28"/>
        </w:rPr>
        <w:t xml:space="preserve"> в длину), а некоторые весили до 40 т. У отдельных представителей травоядных динозавров меньших размеров, например стегозавров, развился защитный панцирь, состоявший из пластин и шипов. У плотоядных динозавров, в частности аллозавров, сформировались крупные головы с мощными челюстями и острыми зубами, в длину они достигали </w:t>
      </w:r>
      <w:smartTag w:uri="urn:schemas-microsoft-com:office:smarttags" w:element="metricconverter">
        <w:smartTagPr>
          <w:attr w:name="ProductID" w:val="11 м"/>
        </w:smartTagPr>
        <w:r w:rsidRPr="00B82CB0">
          <w:rPr>
            <w:sz w:val="28"/>
            <w:szCs w:val="28"/>
          </w:rPr>
          <w:t>11 м</w:t>
        </w:r>
      </w:smartTag>
      <w:r w:rsidRPr="00B82CB0">
        <w:rPr>
          <w:sz w:val="28"/>
          <w:szCs w:val="28"/>
        </w:rPr>
        <w:t xml:space="preserve"> и передвигались на двух конечностях. Другие группы пресмыкающихся тоже были весьма многочисленны. В юрских морях обитали плезиозавры и ихтиозавры. Впервые появились летающие пресмыкающиеся – птерозавры, у которых развились перепончатые крылья, как у летучих мышей, а масса уменьшилась за счет трубчатых костей.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Появление птиц в юре – важный этап в развитии животного мира. В лагунных известняках Золенхофена были обнаружены два птичьих скелета и отпечатки перьев. Однако эти примитивные птицы еще имели много черт, общих с пресмыкающимися, включая острые зубы конической формы и длинные хвосты.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Юрский период завершился интенсивной складчатостью, в результате которой на западе США сформировались горы Сьерра-Невада, которые простирались дальше на север в пределы современной западной Канады. Впоследствии южная часть этого складчатого пояса снова испытала поднятие, которое предопределило строение современных гор. На других материках проявления орогенеза в юре были незначительны. </w:t>
      </w:r>
    </w:p>
    <w:p w:rsidR="00F0460C" w:rsidRPr="00B82CB0" w:rsidRDefault="00F0460C" w:rsidP="00B82CB0">
      <w:pPr>
        <w:pStyle w:val="a4"/>
        <w:spacing w:before="0" w:beforeAutospacing="0" w:after="0" w:afterAutospacing="0" w:line="360" w:lineRule="auto"/>
        <w:ind w:firstLine="709"/>
        <w:jc w:val="both"/>
        <w:rPr>
          <w:sz w:val="28"/>
          <w:szCs w:val="28"/>
        </w:rPr>
      </w:pPr>
      <w:bookmarkStart w:id="12" w:name="1001999-L-148"/>
      <w:bookmarkEnd w:id="12"/>
      <w:r w:rsidRPr="00B82CB0">
        <w:rPr>
          <w:i/>
          <w:iCs/>
          <w:sz w:val="28"/>
          <w:szCs w:val="28"/>
        </w:rPr>
        <w:t xml:space="preserve">Меловой период. </w:t>
      </w:r>
      <w:r w:rsidRPr="00B82CB0">
        <w:rPr>
          <w:sz w:val="28"/>
          <w:szCs w:val="28"/>
        </w:rPr>
        <w:t xml:space="preserve">В это время накапливались мощные слоистые толщи мягкого слабо уплотненного белого известняка – мела, от которого произошло название периода. Впервые такие слои были изучены в обнажениях по берегам пролива Па-де-Кале близ Дувра (Великобритания) и Кале (Франция). В других частях света отложения соответствующего возраста тоже называют меловыми, хотя там встречаются и другие типы пород.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В меловой период морские трансгрессии охватывали значительные части Европы и Азии. В центральной Европе моря заливали два субширотных геосинклинальных прогиба. Один из них располагался в пределах юго-восточной Англии, северной Германии, Польши и западных районов России и на крайнем востоке достигал субмеридионального Уральского прогиба. Другая геосинклиналь, Тетис, сохраняла свое прежнее простирание в южной Европе и северной Африке и соединялась с южной оконечностью Уральского прогиба. Далее море Тетис продолжалось в Южной Азии и восточнее Индийского щита соединялось с Индийским океаном. За исключением северной и восточной окраин, территория Азии на протяжении всего мелового периода не заливалась морем, поэтому там широко распространены континентальные отложения этого времени. Мощные слои меловых известняков представлены во многих районах Западной Европы. В северных районах Африки, куда заходило море Тетис, накопились большие толщи песчаников. Пески пустыни Сахара образовались в основном за счет продуктов их разрушения. Австралия покрывалась меловыми эпиконтинентальными морями. В Южной Америке на протяжении большей части мелового периода Андский прогиб заливался морем. Восточнее его на значительной территории Бразилии отложились терригенные алевриты и пески с многочисленными остатками динозавров.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В Северной Америке окраинные моря занимали береговые равнины Атлантического океана и Мексиканского залива, где накапливались пески, глины и меловые известняки. Другое окраинное море располагалось на западном побережье материка в пределах Калифорнии и доходило до южных подножий возрожденных гор Сьерра-Невада. Однако последняя самая крупная морская трансгрессия охватила западные районы центральной части Северной Америки. В это время сформировался обширный геосинклинальный прогиб Скалистых гор, и огромное море распространялось от Мексиканского залива через современные Великие равнины и Скалистые горы на север (западнее Канадского щита) вплоть до Северного Ледовитого океана. Во время этой трансгрессии была отложена мощная многослойная толща песчаников, известняков и глинистых сланцев.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В конце мелового периода происходил интенсивный орогенез в Южной и Северной Америке и Восточной Азии. В Южной Америке осадочные породы, накопившиеся в Андской геосинклинали за несколько периодов, были уплотнены и смяты в складки, что привело к образованию Анд. Аналогичным образом в Северной Америке на месте геосинклинали сформировались Скалистые горы. Во многих районах мира усилилась вулканическая деятельность. Лавовые потоки покрыли всю южную часть п-ова Индостан (таким образом сформировалось обширное плато Декан), а небольшие излияния лавы имели место в Аравии и Восточной Африке. Все материки испытали значительные поднятия, и произошла регрессия всех геосинклинальных, эпиконтинентальных и окраинных морей.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Меловой период ознаменовался несколькими крупными событиями в развитии органического мира. Появились первые цветковые растения. Их ископаемые остатки представлены листьями и древесиной пород, многие из которых растут и в настоящее время (например, ива, дуб, клен и вяз). Меловая фауна беспозвоночных в целом аналогична юрской. Среди позвоночных животных наступила кульминация видового разнообразия пресмыкающихся. Существовали три основные группы динозавров. Хищные с хорошо развитыми массивными задними конечностями были представлены тираннозаврами, которые в длину достигали </w:t>
      </w:r>
      <w:smartTag w:uri="urn:schemas-microsoft-com:office:smarttags" w:element="metricconverter">
        <w:smartTagPr>
          <w:attr w:name="ProductID" w:val="14 м"/>
        </w:smartTagPr>
        <w:r w:rsidRPr="00B82CB0">
          <w:rPr>
            <w:sz w:val="28"/>
            <w:szCs w:val="28"/>
          </w:rPr>
          <w:t>14 м</w:t>
        </w:r>
      </w:smartTag>
      <w:r w:rsidRPr="00B82CB0">
        <w:rPr>
          <w:sz w:val="28"/>
          <w:szCs w:val="28"/>
        </w:rPr>
        <w:t xml:space="preserve">, а в высоту – </w:t>
      </w:r>
      <w:smartTag w:uri="urn:schemas-microsoft-com:office:smarttags" w:element="metricconverter">
        <w:smartTagPr>
          <w:attr w:name="ProductID" w:val="5 м"/>
        </w:smartTagPr>
        <w:r w:rsidRPr="00B82CB0">
          <w:rPr>
            <w:sz w:val="28"/>
            <w:szCs w:val="28"/>
          </w:rPr>
          <w:t>5 м</w:t>
        </w:r>
      </w:smartTag>
      <w:r w:rsidRPr="00B82CB0">
        <w:rPr>
          <w:sz w:val="28"/>
          <w:szCs w:val="28"/>
        </w:rPr>
        <w:t xml:space="preserve">. Получила развитие группа двуногих травоядных динозавров (или траходонтов) с широкими уплощенными челюстями, напоминающими утиный клюв. Многочисленные скелеты этих животных встречаются в меловых континентальных отложениях Северной Америки. К третьей группе относятся рогатые динозавры с развитым костяным щитом, защищавшим голову и шею. Типичный представитель этой группы – трицератопс с коротким носовым и двумя длинными надглазными рогами.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В меловых морях обитали плезиозавры и ихтиозавры, появились морские ящерицы мозазавры с вытянутым туловищем и сравнительно небольшими ластовидными конечностями. Птерозавры (летающие ящеры) утратили зубы и лучше передвигались в воздушном пространстве, чем их юрские предки. У одного из видов птерозавров – птеранодона – размах крыльев достигал </w:t>
      </w:r>
      <w:smartTag w:uri="urn:schemas-microsoft-com:office:smarttags" w:element="metricconverter">
        <w:smartTagPr>
          <w:attr w:name="ProductID" w:val="8 м"/>
        </w:smartTagPr>
        <w:r w:rsidRPr="00B82CB0">
          <w:rPr>
            <w:sz w:val="28"/>
            <w:szCs w:val="28"/>
          </w:rPr>
          <w:t>8 м</w:t>
        </w:r>
      </w:smartTag>
      <w:r w:rsidRPr="00B82CB0">
        <w:rPr>
          <w:sz w:val="28"/>
          <w:szCs w:val="28"/>
        </w:rPr>
        <w:t xml:space="preserve">.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Известны два вида птиц мелового периода, сохранившие некоторые морфологические особенности рептилий, например размещенные в альвеолах зубы конической формы. Один из них – гесперорнис (ныряющая птица) – приспособился к жизни в море.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Хотя переходные формы, больше похожие на рептилий, чем на млекопитающих, известны с триаса и юры, впервые многочисленные остатки настоящих млекопитающих были обнаружены в континентальных верхнемеловых отложениях. Примитивные млекопитающие мелового периода отличались небольшими размерами и чем-то напоминали современных землероек.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Широко развитые на Земле процессы горообразования и тектонические поднятия материков в конце мелового периода привели к столь значительным изменениям природы и климата, что многие растения и животные вымерли. Из беспозвоночных исчезли господствовавшие в мезозойских морях аммониты, а из позвоночных – все динозавры, ихтиозавры, плезиозавры, мозазавры и птерозавры. </w:t>
      </w:r>
    </w:p>
    <w:p w:rsidR="00F0460C" w:rsidRPr="00B82CB0" w:rsidRDefault="00F0460C" w:rsidP="00B82CB0">
      <w:pPr>
        <w:pStyle w:val="a4"/>
        <w:spacing w:before="0" w:beforeAutospacing="0" w:after="0" w:afterAutospacing="0" w:line="360" w:lineRule="auto"/>
        <w:ind w:firstLine="709"/>
        <w:jc w:val="both"/>
        <w:rPr>
          <w:sz w:val="28"/>
          <w:szCs w:val="28"/>
        </w:rPr>
      </w:pPr>
      <w:bookmarkStart w:id="13" w:name="1001999-L-149"/>
      <w:bookmarkEnd w:id="13"/>
      <w:r w:rsidRPr="00B82CB0">
        <w:rPr>
          <w:b/>
          <w:bCs/>
          <w:sz w:val="28"/>
          <w:szCs w:val="28"/>
        </w:rPr>
        <w:t xml:space="preserve">Кайнозойская эра, </w:t>
      </w:r>
      <w:r w:rsidRPr="00B82CB0">
        <w:rPr>
          <w:sz w:val="28"/>
          <w:szCs w:val="28"/>
        </w:rPr>
        <w:t xml:space="preserve">охватывавшая последние 65 млн. лет, подразделяется на третичный (в России принято выделять два периода – палеогеновый и неогеновый) и четвертичный периоды. Хотя последний отличался малой продолжительностью (возрастные оценки его нижней границы колеблются от 1 до 2,8 млн. лет), он сыграл большое значение в истории Земли, поскольку с ним связаны неоднократные материковые оледенения и появление человека. </w:t>
      </w:r>
    </w:p>
    <w:p w:rsidR="00F0460C" w:rsidRPr="00B82CB0" w:rsidRDefault="00F0460C" w:rsidP="00B82CB0">
      <w:pPr>
        <w:pStyle w:val="a4"/>
        <w:spacing w:before="0" w:beforeAutospacing="0" w:after="0" w:afterAutospacing="0" w:line="360" w:lineRule="auto"/>
        <w:ind w:firstLine="709"/>
        <w:jc w:val="both"/>
        <w:rPr>
          <w:sz w:val="28"/>
          <w:szCs w:val="28"/>
        </w:rPr>
      </w:pPr>
      <w:bookmarkStart w:id="14" w:name="1001999-L-150"/>
      <w:bookmarkEnd w:id="14"/>
      <w:r w:rsidRPr="00B82CB0">
        <w:rPr>
          <w:i/>
          <w:iCs/>
          <w:sz w:val="28"/>
          <w:szCs w:val="28"/>
        </w:rPr>
        <w:t xml:space="preserve">Третичный период. </w:t>
      </w:r>
      <w:r w:rsidRPr="00B82CB0">
        <w:rPr>
          <w:sz w:val="28"/>
          <w:szCs w:val="28"/>
        </w:rPr>
        <w:t xml:space="preserve">В это время многие районы Европы, Азии и Северной Африки были покрыты мелководными эпиконтинентальными и глубоководными геосинклинальными морями. В начале этого периода (в неогене) море занимало юго-восточную Англию, северо-западную Францию и Бельгию и там накопилась мощная толща песков и глин. Все еще продолжало существовать море Тетис, простиравшееся от Атлантического до Индийского океана. Его воды заливали Пиренейский и Апеннинский полуострова, северные районы Африки, юго-западную Азию и север Индостана. В этом бассейне отлагались мощные горизонты известняков. Бóльшая часть северного Египта сложена нуммулитовыми известняками, которые использовались в качестве строительного материала при возведении пирамид.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В это время почти вся юго-восточная Азия была занята морскими бассейнами и небольшое эпиконтинентальное море распространялось на юго-востоке Австралии. Третичные морские бассейны покрывали северную и южную оконечности Южной Америки, а эпиконтинентальное море проникало на территорию восточной Колумбии, северной Венесуэлы и южной Патагонии. Мощные толщи континентальных песков и алевритов накапливались в бассейне Амазонки.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Окраинные моря располагались на месте современных Береговых равнин, прилегающих к Атлантическому океану и Мексиканскому заливу, а также вдоль западного побережья Северной Америки. Мощные толщи континентальных осадочных пород, образовавшихся в результате денудации возрожденных Скалистых гор, накапливались на Великих равнинах и в межгорных впадинах.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Во многих районах земного шара в середине третичного периода происходил активный орогенез. В Европе образовались Альпы, Карпаты и Кавказ. В Северной Америке на заключительных этапах третичного периода сформировались Береговые хребты (в пределах современных штатов Калифорния и Орегон) и Каскадные горы (в пределах Орегона и Вашингтона).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Третичный период ознаменовался существенным прогрессом в развитии органического мира. Современные растения возникли еще в меловом периоде. Большинство третичных беспозвоночных были непосредственно унаследованы от меловых форм. Многочисленнее стали современные костистые рыбы, уменьшились численность и видовое разнообразие земноводных и пресмыкающихся. Произошел скачок в развитии млекопитающих. От примитивных форм, похожих на землероек и впервые появившихся в меловом периоде, берут начало многие формы, относящиеся уже к началу третичного периода. Самые древние ископаемые остатки лошадей и слонов обнаружены в нижнетретичных породах. Появились плотоядные и парнокопытные животные.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Видовое разнообразие животных сильно возросло, однако многие из них вымерли уже к концу третичного периода, а другие (подобно некоторым мезозойским пресмыкающимся) вернулись к морскому образу жизни, как, например, китообразные и морские свиньи, у которых плавники представляют собой трансформированные конечности. Летучие мыши смогли летать благодаря перепонке, соединяющей их длинные пальцы. Динозавры, вымершие в конце мезозоя, уступили место млекопитающим, которые стали доминирующим классом животных на суше в начале третичного периода. </w:t>
      </w:r>
    </w:p>
    <w:p w:rsidR="00F0460C" w:rsidRPr="00B82CB0" w:rsidRDefault="00F0460C" w:rsidP="00B82CB0">
      <w:pPr>
        <w:pStyle w:val="a4"/>
        <w:spacing w:before="0" w:beforeAutospacing="0" w:after="0" w:afterAutospacing="0" w:line="360" w:lineRule="auto"/>
        <w:ind w:firstLine="709"/>
        <w:jc w:val="both"/>
        <w:rPr>
          <w:sz w:val="28"/>
          <w:szCs w:val="28"/>
        </w:rPr>
      </w:pPr>
      <w:bookmarkStart w:id="15" w:name="1001999-L-151"/>
      <w:bookmarkEnd w:id="15"/>
      <w:r w:rsidRPr="00B82CB0">
        <w:rPr>
          <w:i/>
          <w:iCs/>
          <w:sz w:val="28"/>
          <w:szCs w:val="28"/>
        </w:rPr>
        <w:t xml:space="preserve">Четвертичный период </w:t>
      </w:r>
      <w:r w:rsidRPr="00B82CB0">
        <w:rPr>
          <w:sz w:val="28"/>
          <w:szCs w:val="28"/>
        </w:rPr>
        <w:t xml:space="preserve">подразделяется на эоплейстоцен, плейстоцен и голоцен. Последний начался всего 10 000 лет назад. Современный рельеф и ландшафты Земли в основном оформились в четвертичный период.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Горообразование, которое происходило в конце третичного периода, предопределило значительное поднятие материков и регрессию морей. Четвертичный период ознаменовался существенным похолоданием климата и широким развитием покровного оледенения в Антарктиде, Гренландии, Европе и Северной Америке. В Европе центром оледенения был Балтийский щит, откуда ледниковый покров распространялся до южной Англии, средней Германии и центральных районов Восточной Европы. В Сибири покровное оледенение имело меньшие размеры, в основном ограничиваясь предгорными районами. В Северной Америке ледниковые покровы занимали громадную территорию, включая бóльшую часть Канады и северные районы США вплоть до южного Иллинойса. В Южном полушарии четвертичный ледниковый покров характерен не только для Антарктиды, но и для Патагонии. Кроме того, на всех материках было широко распространено горное оледенение.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В плейстоцене выделяют четыре основных этапа активизации оледенения, чередовавшиеся с межледниковьями, во время которых природные условия были близки современным или даже более теплыми. Последний ледниковый покров на территории Европы и Северной Америки достигал наибольших размеров 18–20 тыс. лет назад и окончательно растаял в начале голоцена. </w:t>
      </w:r>
    </w:p>
    <w:p w:rsidR="00F0460C" w:rsidRPr="00B82CB0" w:rsidRDefault="00F0460C" w:rsidP="00B82CB0">
      <w:pPr>
        <w:pStyle w:val="a4"/>
        <w:spacing w:before="0" w:beforeAutospacing="0" w:after="0" w:afterAutospacing="0" w:line="360" w:lineRule="auto"/>
        <w:ind w:firstLine="709"/>
        <w:jc w:val="both"/>
        <w:rPr>
          <w:sz w:val="28"/>
          <w:szCs w:val="28"/>
        </w:rPr>
      </w:pPr>
      <w:r w:rsidRPr="00B82CB0">
        <w:rPr>
          <w:sz w:val="28"/>
          <w:szCs w:val="28"/>
        </w:rPr>
        <w:t xml:space="preserve">В четвертичный период вымерли многие третичные формы животных и появились новые, приспособившиеся к более холодным условиям. Особо следует отметить мамонта и шерстистого носорога, которые населяли северные области в плейстоцене. В более южных районах Северного полушария встречались мастодонты, саблезубые тигры и др. Когда ледниковые покровы растаяли, представители плейстоценовой фауны вымерли и их место заняли современные животные. Первобытные люди, в частности неандертальцы, вероятно, существовали уже во время последнего межледниковья, но человек современного типа – человек разумный </w:t>
      </w:r>
      <w:r w:rsidRPr="00B82CB0">
        <w:rPr>
          <w:i/>
          <w:iCs/>
          <w:sz w:val="28"/>
          <w:szCs w:val="28"/>
        </w:rPr>
        <w:t>(Homo sapiens)</w:t>
      </w:r>
      <w:r w:rsidRPr="00B82CB0">
        <w:rPr>
          <w:sz w:val="28"/>
          <w:szCs w:val="28"/>
        </w:rPr>
        <w:t xml:space="preserve"> – появился лишь в последнюю ледниковую эпоху плейстоцена, а в голоцене расселился по всему земному шару. </w:t>
      </w:r>
      <w:bookmarkStart w:id="16" w:name="_GoBack"/>
      <w:bookmarkEnd w:id="16"/>
    </w:p>
    <w:sectPr w:rsidR="00F0460C" w:rsidRPr="00B82CB0" w:rsidSect="00B82CB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460C"/>
    <w:rsid w:val="000317E5"/>
    <w:rsid w:val="006E5B18"/>
    <w:rsid w:val="00864CFB"/>
    <w:rsid w:val="00AF25A3"/>
    <w:rsid w:val="00B82CB0"/>
    <w:rsid w:val="00DC3A6A"/>
    <w:rsid w:val="00F0460C"/>
    <w:rsid w:val="00F33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4FDA671-DB46-406E-BE17-CE3810EF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0460C"/>
    <w:rPr>
      <w:rFonts w:cs="Times New Roman"/>
      <w:color w:val="006699"/>
      <w:u w:val="single"/>
    </w:rPr>
  </w:style>
  <w:style w:type="character" w:customStyle="1" w:styleId="contenttitle">
    <w:name w:val="content_title"/>
    <w:rsid w:val="00F0460C"/>
    <w:rPr>
      <w:rFonts w:cs="Times New Roman"/>
      <w:color w:val="990100"/>
    </w:rPr>
  </w:style>
  <w:style w:type="character" w:customStyle="1" w:styleId="l">
    <w:name w:val="l"/>
    <w:rsid w:val="00F0460C"/>
    <w:rPr>
      <w:rFonts w:cs="Times New Roman"/>
    </w:rPr>
  </w:style>
  <w:style w:type="character" w:customStyle="1" w:styleId="pathlnk21">
    <w:name w:val="pathlnk21"/>
    <w:rsid w:val="00F0460C"/>
    <w:rPr>
      <w:rFonts w:cs="Times New Roman"/>
    </w:rPr>
  </w:style>
  <w:style w:type="paragraph" w:styleId="a4">
    <w:name w:val="Normal (Web)"/>
    <w:basedOn w:val="a"/>
    <w:uiPriority w:val="99"/>
    <w:rsid w:val="00F0460C"/>
    <w:pPr>
      <w:spacing w:before="100" w:beforeAutospacing="1" w:after="100" w:afterAutospacing="1"/>
    </w:pPr>
  </w:style>
  <w:style w:type="character" w:customStyle="1" w:styleId="pathlnk">
    <w:name w:val="pathlnk"/>
    <w:rsid w:val="00F0460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6110">
      <w:marLeft w:val="150"/>
      <w:marRight w:val="150"/>
      <w:marTop w:val="0"/>
      <w:marBottom w:val="0"/>
      <w:divBdr>
        <w:top w:val="none" w:sz="0" w:space="0" w:color="auto"/>
        <w:left w:val="none" w:sz="0" w:space="0" w:color="auto"/>
        <w:bottom w:val="none" w:sz="0" w:space="0" w:color="auto"/>
        <w:right w:val="none" w:sz="0" w:space="0" w:color="auto"/>
      </w:divBdr>
      <w:divsChild>
        <w:div w:id="188836156">
          <w:marLeft w:val="150"/>
          <w:marRight w:val="150"/>
          <w:marTop w:val="0"/>
          <w:marBottom w:val="0"/>
          <w:divBdr>
            <w:top w:val="none" w:sz="0" w:space="0" w:color="auto"/>
            <w:left w:val="none" w:sz="0" w:space="0" w:color="auto"/>
            <w:bottom w:val="none" w:sz="0" w:space="0" w:color="auto"/>
            <w:right w:val="none" w:sz="0" w:space="0" w:color="auto"/>
          </w:divBdr>
          <w:divsChild>
            <w:div w:id="188836150">
              <w:marLeft w:val="0"/>
              <w:marRight w:val="0"/>
              <w:marTop w:val="0"/>
              <w:marBottom w:val="0"/>
              <w:divBdr>
                <w:top w:val="single" w:sz="18" w:space="0" w:color="2F2F2F"/>
                <w:left w:val="single" w:sz="18" w:space="0" w:color="2F2F2F"/>
                <w:bottom w:val="none" w:sz="0" w:space="0" w:color="auto"/>
                <w:right w:val="single" w:sz="18" w:space="0" w:color="2F2F2F"/>
              </w:divBdr>
              <w:divsChild>
                <w:div w:id="188836159">
                  <w:marLeft w:val="0"/>
                  <w:marRight w:val="0"/>
                  <w:marTop w:val="0"/>
                  <w:marBottom w:val="0"/>
                  <w:divBdr>
                    <w:top w:val="none" w:sz="0" w:space="0" w:color="auto"/>
                    <w:left w:val="none" w:sz="0" w:space="0" w:color="auto"/>
                    <w:bottom w:val="none" w:sz="0" w:space="0" w:color="auto"/>
                    <w:right w:val="none" w:sz="0" w:space="0" w:color="auto"/>
                  </w:divBdr>
                  <w:divsChild>
                    <w:div w:id="188836117">
                      <w:marLeft w:val="0"/>
                      <w:marRight w:val="0"/>
                      <w:marTop w:val="0"/>
                      <w:marBottom w:val="0"/>
                      <w:divBdr>
                        <w:top w:val="none" w:sz="0" w:space="0" w:color="auto"/>
                        <w:left w:val="none" w:sz="0" w:space="0" w:color="auto"/>
                        <w:bottom w:val="none" w:sz="0" w:space="0" w:color="auto"/>
                        <w:right w:val="none" w:sz="0" w:space="0" w:color="auto"/>
                      </w:divBdr>
                      <w:divsChild>
                        <w:div w:id="188836144">
                          <w:marLeft w:val="0"/>
                          <w:marRight w:val="0"/>
                          <w:marTop w:val="0"/>
                          <w:marBottom w:val="225"/>
                          <w:divBdr>
                            <w:top w:val="none" w:sz="0" w:space="0" w:color="auto"/>
                            <w:left w:val="none" w:sz="0" w:space="0" w:color="auto"/>
                            <w:bottom w:val="none" w:sz="0" w:space="0" w:color="auto"/>
                            <w:right w:val="none" w:sz="0" w:space="0" w:color="auto"/>
                          </w:divBdr>
                          <w:divsChild>
                            <w:div w:id="1888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36113">
      <w:marLeft w:val="0"/>
      <w:marRight w:val="0"/>
      <w:marTop w:val="0"/>
      <w:marBottom w:val="0"/>
      <w:divBdr>
        <w:top w:val="none" w:sz="0" w:space="0" w:color="auto"/>
        <w:left w:val="none" w:sz="0" w:space="0" w:color="auto"/>
        <w:bottom w:val="none" w:sz="0" w:space="0" w:color="auto"/>
        <w:right w:val="none" w:sz="0" w:space="0" w:color="auto"/>
      </w:divBdr>
      <w:divsChild>
        <w:div w:id="188836142">
          <w:marLeft w:val="0"/>
          <w:marRight w:val="0"/>
          <w:marTop w:val="0"/>
          <w:marBottom w:val="0"/>
          <w:divBdr>
            <w:top w:val="none" w:sz="0" w:space="0" w:color="auto"/>
            <w:left w:val="none" w:sz="0" w:space="0" w:color="auto"/>
            <w:bottom w:val="none" w:sz="0" w:space="0" w:color="auto"/>
            <w:right w:val="none" w:sz="0" w:space="0" w:color="auto"/>
          </w:divBdr>
          <w:divsChild>
            <w:div w:id="188836105">
              <w:marLeft w:val="0"/>
              <w:marRight w:val="0"/>
              <w:marTop w:val="0"/>
              <w:marBottom w:val="360"/>
              <w:divBdr>
                <w:top w:val="none" w:sz="0" w:space="0" w:color="auto"/>
                <w:left w:val="none" w:sz="0" w:space="0" w:color="auto"/>
                <w:bottom w:val="none" w:sz="0" w:space="0" w:color="auto"/>
                <w:right w:val="none" w:sz="0" w:space="0" w:color="auto"/>
              </w:divBdr>
              <w:divsChild>
                <w:div w:id="188836127">
                  <w:marLeft w:val="0"/>
                  <w:marRight w:val="0"/>
                  <w:marTop w:val="0"/>
                  <w:marBottom w:val="0"/>
                  <w:divBdr>
                    <w:top w:val="none" w:sz="0" w:space="0" w:color="auto"/>
                    <w:left w:val="single" w:sz="48" w:space="0" w:color="CD3301"/>
                    <w:bottom w:val="none" w:sz="0" w:space="0" w:color="auto"/>
                    <w:right w:val="none" w:sz="0" w:space="0" w:color="auto"/>
                  </w:divBdr>
                  <w:divsChild>
                    <w:div w:id="188836107">
                      <w:marLeft w:val="0"/>
                      <w:marRight w:val="0"/>
                      <w:marTop w:val="0"/>
                      <w:marBottom w:val="0"/>
                      <w:divBdr>
                        <w:top w:val="none" w:sz="0" w:space="0" w:color="auto"/>
                        <w:left w:val="none" w:sz="0" w:space="0" w:color="auto"/>
                        <w:bottom w:val="none" w:sz="0" w:space="0" w:color="auto"/>
                        <w:right w:val="none" w:sz="0" w:space="0" w:color="auto"/>
                      </w:divBdr>
                    </w:div>
                    <w:div w:id="188836122">
                      <w:marLeft w:val="0"/>
                      <w:marRight w:val="0"/>
                      <w:marTop w:val="0"/>
                      <w:marBottom w:val="0"/>
                      <w:divBdr>
                        <w:top w:val="none" w:sz="0" w:space="0" w:color="auto"/>
                        <w:left w:val="none" w:sz="0" w:space="0" w:color="auto"/>
                        <w:bottom w:val="none" w:sz="0" w:space="0" w:color="auto"/>
                        <w:right w:val="none" w:sz="0" w:space="0" w:color="auto"/>
                      </w:divBdr>
                    </w:div>
                    <w:div w:id="188836124">
                      <w:marLeft w:val="0"/>
                      <w:marRight w:val="0"/>
                      <w:marTop w:val="0"/>
                      <w:marBottom w:val="0"/>
                      <w:divBdr>
                        <w:top w:val="none" w:sz="0" w:space="0" w:color="auto"/>
                        <w:left w:val="none" w:sz="0" w:space="0" w:color="auto"/>
                        <w:bottom w:val="none" w:sz="0" w:space="0" w:color="auto"/>
                        <w:right w:val="none" w:sz="0" w:space="0" w:color="auto"/>
                      </w:divBdr>
                    </w:div>
                    <w:div w:id="188836131">
                      <w:marLeft w:val="0"/>
                      <w:marRight w:val="0"/>
                      <w:marTop w:val="0"/>
                      <w:marBottom w:val="0"/>
                      <w:divBdr>
                        <w:top w:val="none" w:sz="0" w:space="0" w:color="auto"/>
                        <w:left w:val="none" w:sz="0" w:space="0" w:color="auto"/>
                        <w:bottom w:val="none" w:sz="0" w:space="0" w:color="auto"/>
                        <w:right w:val="none" w:sz="0" w:space="0" w:color="auto"/>
                      </w:divBdr>
                    </w:div>
                    <w:div w:id="188836141">
                      <w:marLeft w:val="0"/>
                      <w:marRight w:val="0"/>
                      <w:marTop w:val="0"/>
                      <w:marBottom w:val="0"/>
                      <w:divBdr>
                        <w:top w:val="none" w:sz="0" w:space="0" w:color="auto"/>
                        <w:left w:val="none" w:sz="0" w:space="0" w:color="auto"/>
                        <w:bottom w:val="none" w:sz="0" w:space="0" w:color="auto"/>
                        <w:right w:val="none" w:sz="0" w:space="0" w:color="auto"/>
                      </w:divBdr>
                    </w:div>
                    <w:div w:id="18883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6120">
              <w:marLeft w:val="0"/>
              <w:marRight w:val="0"/>
              <w:marTop w:val="0"/>
              <w:marBottom w:val="360"/>
              <w:divBdr>
                <w:top w:val="none" w:sz="0" w:space="0" w:color="auto"/>
                <w:left w:val="none" w:sz="0" w:space="0" w:color="auto"/>
                <w:bottom w:val="none" w:sz="0" w:space="0" w:color="auto"/>
                <w:right w:val="none" w:sz="0" w:space="0" w:color="auto"/>
              </w:divBdr>
              <w:divsChild>
                <w:div w:id="188836106">
                  <w:marLeft w:val="0"/>
                  <w:marRight w:val="0"/>
                  <w:marTop w:val="0"/>
                  <w:marBottom w:val="0"/>
                  <w:divBdr>
                    <w:top w:val="none" w:sz="0" w:space="0" w:color="auto"/>
                    <w:left w:val="none" w:sz="0" w:space="0" w:color="auto"/>
                    <w:bottom w:val="none" w:sz="0" w:space="0" w:color="auto"/>
                    <w:right w:val="none" w:sz="0" w:space="0" w:color="auto"/>
                  </w:divBdr>
                </w:div>
                <w:div w:id="188836153">
                  <w:marLeft w:val="0"/>
                  <w:marRight w:val="0"/>
                  <w:marTop w:val="0"/>
                  <w:marBottom w:val="0"/>
                  <w:divBdr>
                    <w:top w:val="none" w:sz="0" w:space="0" w:color="auto"/>
                    <w:left w:val="none" w:sz="0" w:space="0" w:color="auto"/>
                    <w:bottom w:val="none" w:sz="0" w:space="0" w:color="auto"/>
                    <w:right w:val="none" w:sz="0" w:space="0" w:color="auto"/>
                  </w:divBdr>
                </w:div>
              </w:divsChild>
            </w:div>
            <w:div w:id="188836130">
              <w:marLeft w:val="0"/>
              <w:marRight w:val="0"/>
              <w:marTop w:val="0"/>
              <w:marBottom w:val="360"/>
              <w:divBdr>
                <w:top w:val="none" w:sz="0" w:space="0" w:color="auto"/>
                <w:left w:val="none" w:sz="0" w:space="0" w:color="auto"/>
                <w:bottom w:val="none" w:sz="0" w:space="0" w:color="auto"/>
                <w:right w:val="none" w:sz="0" w:space="0" w:color="auto"/>
              </w:divBdr>
              <w:divsChild>
                <w:div w:id="188836158">
                  <w:marLeft w:val="0"/>
                  <w:marRight w:val="0"/>
                  <w:marTop w:val="0"/>
                  <w:marBottom w:val="0"/>
                  <w:divBdr>
                    <w:top w:val="none" w:sz="0" w:space="0" w:color="auto"/>
                    <w:left w:val="none" w:sz="0" w:space="0" w:color="auto"/>
                    <w:bottom w:val="none" w:sz="0" w:space="0" w:color="auto"/>
                    <w:right w:val="none" w:sz="0" w:space="0" w:color="auto"/>
                  </w:divBdr>
                </w:div>
              </w:divsChild>
            </w:div>
            <w:div w:id="188836137">
              <w:marLeft w:val="0"/>
              <w:marRight w:val="0"/>
              <w:marTop w:val="0"/>
              <w:marBottom w:val="0"/>
              <w:divBdr>
                <w:top w:val="none" w:sz="0" w:space="0" w:color="auto"/>
                <w:left w:val="none" w:sz="0" w:space="0" w:color="auto"/>
                <w:bottom w:val="none" w:sz="0" w:space="0" w:color="auto"/>
                <w:right w:val="none" w:sz="0" w:space="0" w:color="auto"/>
              </w:divBdr>
              <w:divsChild>
                <w:div w:id="188836134">
                  <w:marLeft w:val="0"/>
                  <w:marRight w:val="20"/>
                  <w:marTop w:val="0"/>
                  <w:marBottom w:val="0"/>
                  <w:divBdr>
                    <w:top w:val="none" w:sz="0" w:space="0" w:color="auto"/>
                    <w:left w:val="none" w:sz="0" w:space="0" w:color="auto"/>
                    <w:bottom w:val="none" w:sz="0" w:space="0" w:color="auto"/>
                    <w:right w:val="none" w:sz="0" w:space="0" w:color="auto"/>
                  </w:divBdr>
                  <w:divsChild>
                    <w:div w:id="188836149">
                      <w:marLeft w:val="0"/>
                      <w:marRight w:val="0"/>
                      <w:marTop w:val="0"/>
                      <w:marBottom w:val="0"/>
                      <w:divBdr>
                        <w:top w:val="none" w:sz="0" w:space="0" w:color="auto"/>
                        <w:left w:val="none" w:sz="0" w:space="0" w:color="auto"/>
                        <w:bottom w:val="none" w:sz="0" w:space="0" w:color="auto"/>
                        <w:right w:val="none" w:sz="0" w:space="0" w:color="auto"/>
                      </w:divBdr>
                      <w:divsChild>
                        <w:div w:id="188836128">
                          <w:marLeft w:val="0"/>
                          <w:marRight w:val="0"/>
                          <w:marTop w:val="0"/>
                          <w:marBottom w:val="0"/>
                          <w:divBdr>
                            <w:top w:val="none" w:sz="0" w:space="0" w:color="auto"/>
                            <w:left w:val="none" w:sz="0" w:space="0" w:color="auto"/>
                            <w:bottom w:val="none" w:sz="0" w:space="0" w:color="auto"/>
                            <w:right w:val="none" w:sz="0" w:space="0" w:color="auto"/>
                          </w:divBdr>
                          <w:divsChild>
                            <w:div w:id="188836108">
                              <w:marLeft w:val="0"/>
                              <w:marRight w:val="0"/>
                              <w:marTop w:val="0"/>
                              <w:marBottom w:val="0"/>
                              <w:divBdr>
                                <w:top w:val="none" w:sz="0" w:space="0" w:color="auto"/>
                                <w:left w:val="none" w:sz="0" w:space="0" w:color="auto"/>
                                <w:bottom w:val="none" w:sz="0" w:space="0" w:color="auto"/>
                                <w:right w:val="none" w:sz="0" w:space="0" w:color="auto"/>
                              </w:divBdr>
                            </w:div>
                            <w:div w:id="188836118">
                              <w:marLeft w:val="0"/>
                              <w:marRight w:val="0"/>
                              <w:marTop w:val="0"/>
                              <w:marBottom w:val="0"/>
                              <w:divBdr>
                                <w:top w:val="none" w:sz="0" w:space="0" w:color="auto"/>
                                <w:left w:val="none" w:sz="0" w:space="0" w:color="auto"/>
                                <w:bottom w:val="none" w:sz="0" w:space="0" w:color="auto"/>
                                <w:right w:val="none" w:sz="0" w:space="0" w:color="auto"/>
                              </w:divBdr>
                            </w:div>
                            <w:div w:id="188836123">
                              <w:marLeft w:val="0"/>
                              <w:marRight w:val="0"/>
                              <w:marTop w:val="0"/>
                              <w:marBottom w:val="0"/>
                              <w:divBdr>
                                <w:top w:val="none" w:sz="0" w:space="0" w:color="auto"/>
                                <w:left w:val="none" w:sz="0" w:space="0" w:color="auto"/>
                                <w:bottom w:val="none" w:sz="0" w:space="0" w:color="auto"/>
                                <w:right w:val="none" w:sz="0" w:space="0" w:color="auto"/>
                              </w:divBdr>
                            </w:div>
                            <w:div w:id="188836129">
                              <w:marLeft w:val="0"/>
                              <w:marRight w:val="0"/>
                              <w:marTop w:val="0"/>
                              <w:marBottom w:val="0"/>
                              <w:divBdr>
                                <w:top w:val="none" w:sz="0" w:space="0" w:color="auto"/>
                                <w:left w:val="none" w:sz="0" w:space="0" w:color="auto"/>
                                <w:bottom w:val="none" w:sz="0" w:space="0" w:color="auto"/>
                                <w:right w:val="none" w:sz="0" w:space="0" w:color="auto"/>
                              </w:divBdr>
                            </w:div>
                            <w:div w:id="188836133">
                              <w:marLeft w:val="0"/>
                              <w:marRight w:val="0"/>
                              <w:marTop w:val="0"/>
                              <w:marBottom w:val="0"/>
                              <w:divBdr>
                                <w:top w:val="none" w:sz="0" w:space="0" w:color="auto"/>
                                <w:left w:val="none" w:sz="0" w:space="0" w:color="auto"/>
                                <w:bottom w:val="none" w:sz="0" w:space="0" w:color="auto"/>
                                <w:right w:val="none" w:sz="0" w:space="0" w:color="auto"/>
                              </w:divBdr>
                            </w:div>
                            <w:div w:id="188836136">
                              <w:marLeft w:val="0"/>
                              <w:marRight w:val="0"/>
                              <w:marTop w:val="0"/>
                              <w:marBottom w:val="0"/>
                              <w:divBdr>
                                <w:top w:val="none" w:sz="0" w:space="0" w:color="auto"/>
                                <w:left w:val="none" w:sz="0" w:space="0" w:color="auto"/>
                                <w:bottom w:val="none" w:sz="0" w:space="0" w:color="auto"/>
                                <w:right w:val="none" w:sz="0" w:space="0" w:color="auto"/>
                              </w:divBdr>
                            </w:div>
                            <w:div w:id="188836138">
                              <w:marLeft w:val="0"/>
                              <w:marRight w:val="0"/>
                              <w:marTop w:val="0"/>
                              <w:marBottom w:val="0"/>
                              <w:divBdr>
                                <w:top w:val="none" w:sz="0" w:space="0" w:color="auto"/>
                                <w:left w:val="none" w:sz="0" w:space="0" w:color="auto"/>
                                <w:bottom w:val="none" w:sz="0" w:space="0" w:color="auto"/>
                                <w:right w:val="none" w:sz="0" w:space="0" w:color="auto"/>
                              </w:divBdr>
                            </w:div>
                            <w:div w:id="188836145">
                              <w:marLeft w:val="0"/>
                              <w:marRight w:val="0"/>
                              <w:marTop w:val="0"/>
                              <w:marBottom w:val="0"/>
                              <w:divBdr>
                                <w:top w:val="none" w:sz="0" w:space="0" w:color="auto"/>
                                <w:left w:val="none" w:sz="0" w:space="0" w:color="auto"/>
                                <w:bottom w:val="none" w:sz="0" w:space="0" w:color="auto"/>
                                <w:right w:val="none" w:sz="0" w:space="0" w:color="auto"/>
                              </w:divBdr>
                            </w:div>
                            <w:div w:id="188836157">
                              <w:marLeft w:val="0"/>
                              <w:marRight w:val="0"/>
                              <w:marTop w:val="0"/>
                              <w:marBottom w:val="0"/>
                              <w:divBdr>
                                <w:top w:val="none" w:sz="0" w:space="0" w:color="auto"/>
                                <w:left w:val="none" w:sz="0" w:space="0" w:color="auto"/>
                                <w:bottom w:val="none" w:sz="0" w:space="0" w:color="auto"/>
                                <w:right w:val="none" w:sz="0" w:space="0" w:color="auto"/>
                              </w:divBdr>
                            </w:div>
                          </w:divsChild>
                        </w:div>
                        <w:div w:id="188836151">
                          <w:marLeft w:val="0"/>
                          <w:marRight w:val="0"/>
                          <w:marTop w:val="0"/>
                          <w:marBottom w:val="0"/>
                          <w:divBdr>
                            <w:top w:val="none" w:sz="0" w:space="0" w:color="auto"/>
                            <w:left w:val="none" w:sz="0" w:space="0" w:color="auto"/>
                            <w:bottom w:val="none" w:sz="0" w:space="0" w:color="auto"/>
                            <w:right w:val="none" w:sz="0" w:space="0" w:color="auto"/>
                          </w:divBdr>
                        </w:div>
                        <w:div w:id="188836152">
                          <w:marLeft w:val="0"/>
                          <w:marRight w:val="0"/>
                          <w:marTop w:val="0"/>
                          <w:marBottom w:val="360"/>
                          <w:divBdr>
                            <w:top w:val="none" w:sz="0" w:space="0" w:color="auto"/>
                            <w:left w:val="none" w:sz="0" w:space="0" w:color="auto"/>
                            <w:bottom w:val="none" w:sz="0" w:space="0" w:color="auto"/>
                            <w:right w:val="none" w:sz="0" w:space="0" w:color="auto"/>
                          </w:divBdr>
                          <w:divsChild>
                            <w:div w:id="1888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6139">
              <w:marLeft w:val="0"/>
              <w:marRight w:val="0"/>
              <w:marTop w:val="0"/>
              <w:marBottom w:val="0"/>
              <w:divBdr>
                <w:top w:val="none" w:sz="0" w:space="0" w:color="auto"/>
                <w:left w:val="none" w:sz="0" w:space="0" w:color="auto"/>
                <w:bottom w:val="none" w:sz="0" w:space="0" w:color="auto"/>
                <w:right w:val="none" w:sz="0" w:space="0" w:color="auto"/>
              </w:divBdr>
              <w:divsChild>
                <w:div w:id="188836132">
                  <w:marLeft w:val="0"/>
                  <w:marRight w:val="0"/>
                  <w:marTop w:val="0"/>
                  <w:marBottom w:val="0"/>
                  <w:divBdr>
                    <w:top w:val="none" w:sz="0" w:space="0" w:color="auto"/>
                    <w:left w:val="none" w:sz="0" w:space="0" w:color="auto"/>
                    <w:bottom w:val="none" w:sz="0" w:space="0" w:color="auto"/>
                    <w:right w:val="none" w:sz="0" w:space="0" w:color="auto"/>
                  </w:divBdr>
                  <w:divsChild>
                    <w:div w:id="188836121">
                      <w:marLeft w:val="0"/>
                      <w:marRight w:val="0"/>
                      <w:marTop w:val="0"/>
                      <w:marBottom w:val="0"/>
                      <w:divBdr>
                        <w:top w:val="none" w:sz="0" w:space="0" w:color="auto"/>
                        <w:left w:val="none" w:sz="0" w:space="0" w:color="auto"/>
                        <w:bottom w:val="none" w:sz="0" w:space="0" w:color="auto"/>
                        <w:right w:val="none" w:sz="0" w:space="0" w:color="auto"/>
                      </w:divBdr>
                    </w:div>
                    <w:div w:id="188836126">
                      <w:marLeft w:val="0"/>
                      <w:marRight w:val="0"/>
                      <w:marTop w:val="0"/>
                      <w:marBottom w:val="0"/>
                      <w:divBdr>
                        <w:top w:val="none" w:sz="0" w:space="0" w:color="auto"/>
                        <w:left w:val="none" w:sz="0" w:space="0" w:color="auto"/>
                        <w:bottom w:val="none" w:sz="0" w:space="0" w:color="auto"/>
                        <w:right w:val="none" w:sz="0" w:space="0" w:color="auto"/>
                      </w:divBdr>
                    </w:div>
                  </w:divsChild>
                </w:div>
                <w:div w:id="188836135">
                  <w:marLeft w:val="0"/>
                  <w:marRight w:val="0"/>
                  <w:marTop w:val="0"/>
                  <w:marBottom w:val="0"/>
                  <w:divBdr>
                    <w:top w:val="none" w:sz="0" w:space="0" w:color="auto"/>
                    <w:left w:val="none" w:sz="0" w:space="0" w:color="auto"/>
                    <w:bottom w:val="none" w:sz="0" w:space="0" w:color="auto"/>
                    <w:right w:val="none" w:sz="0" w:space="0" w:color="auto"/>
                  </w:divBdr>
                  <w:divsChild>
                    <w:div w:id="188836147">
                      <w:marLeft w:val="0"/>
                      <w:marRight w:val="0"/>
                      <w:marTop w:val="0"/>
                      <w:marBottom w:val="0"/>
                      <w:divBdr>
                        <w:top w:val="none" w:sz="0" w:space="0" w:color="auto"/>
                        <w:left w:val="none" w:sz="0" w:space="0" w:color="auto"/>
                        <w:bottom w:val="none" w:sz="0" w:space="0" w:color="auto"/>
                        <w:right w:val="none" w:sz="0" w:space="0" w:color="auto"/>
                      </w:divBdr>
                      <w:divsChild>
                        <w:div w:id="18883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6140">
                  <w:marLeft w:val="0"/>
                  <w:marRight w:val="0"/>
                  <w:marTop w:val="0"/>
                  <w:marBottom w:val="0"/>
                  <w:divBdr>
                    <w:top w:val="none" w:sz="0" w:space="0" w:color="auto"/>
                    <w:left w:val="none" w:sz="0" w:space="0" w:color="auto"/>
                    <w:bottom w:val="none" w:sz="0" w:space="0" w:color="auto"/>
                    <w:right w:val="none" w:sz="0" w:space="0" w:color="auto"/>
                  </w:divBdr>
                  <w:divsChild>
                    <w:div w:id="1888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6146">
      <w:marLeft w:val="150"/>
      <w:marRight w:val="150"/>
      <w:marTop w:val="0"/>
      <w:marBottom w:val="0"/>
      <w:divBdr>
        <w:top w:val="none" w:sz="0" w:space="0" w:color="auto"/>
        <w:left w:val="none" w:sz="0" w:space="0" w:color="auto"/>
        <w:bottom w:val="none" w:sz="0" w:space="0" w:color="auto"/>
        <w:right w:val="none" w:sz="0" w:space="0" w:color="auto"/>
      </w:divBdr>
      <w:divsChild>
        <w:div w:id="188836114">
          <w:marLeft w:val="150"/>
          <w:marRight w:val="150"/>
          <w:marTop w:val="0"/>
          <w:marBottom w:val="0"/>
          <w:divBdr>
            <w:top w:val="none" w:sz="0" w:space="0" w:color="auto"/>
            <w:left w:val="none" w:sz="0" w:space="0" w:color="auto"/>
            <w:bottom w:val="none" w:sz="0" w:space="0" w:color="auto"/>
            <w:right w:val="none" w:sz="0" w:space="0" w:color="auto"/>
          </w:divBdr>
          <w:divsChild>
            <w:div w:id="188836111">
              <w:marLeft w:val="0"/>
              <w:marRight w:val="0"/>
              <w:marTop w:val="0"/>
              <w:marBottom w:val="0"/>
              <w:divBdr>
                <w:top w:val="single" w:sz="18" w:space="0" w:color="2F2F2F"/>
                <w:left w:val="single" w:sz="18" w:space="0" w:color="2F2F2F"/>
                <w:bottom w:val="none" w:sz="0" w:space="0" w:color="auto"/>
                <w:right w:val="single" w:sz="18" w:space="0" w:color="2F2F2F"/>
              </w:divBdr>
              <w:divsChild>
                <w:div w:id="188836115">
                  <w:marLeft w:val="0"/>
                  <w:marRight w:val="0"/>
                  <w:marTop w:val="0"/>
                  <w:marBottom w:val="0"/>
                  <w:divBdr>
                    <w:top w:val="none" w:sz="0" w:space="0" w:color="auto"/>
                    <w:left w:val="none" w:sz="0" w:space="0" w:color="auto"/>
                    <w:bottom w:val="none" w:sz="0" w:space="0" w:color="auto"/>
                    <w:right w:val="none" w:sz="0" w:space="0" w:color="auto"/>
                  </w:divBdr>
                  <w:divsChild>
                    <w:div w:id="188836125">
                      <w:marLeft w:val="0"/>
                      <w:marRight w:val="0"/>
                      <w:marTop w:val="0"/>
                      <w:marBottom w:val="0"/>
                      <w:divBdr>
                        <w:top w:val="none" w:sz="0" w:space="0" w:color="auto"/>
                        <w:left w:val="none" w:sz="0" w:space="0" w:color="auto"/>
                        <w:bottom w:val="none" w:sz="0" w:space="0" w:color="auto"/>
                        <w:right w:val="none" w:sz="0" w:space="0" w:color="auto"/>
                      </w:divBdr>
                      <w:divsChild>
                        <w:div w:id="188836112">
                          <w:marLeft w:val="0"/>
                          <w:marRight w:val="0"/>
                          <w:marTop w:val="0"/>
                          <w:marBottom w:val="225"/>
                          <w:divBdr>
                            <w:top w:val="none" w:sz="0" w:space="0" w:color="auto"/>
                            <w:left w:val="none" w:sz="0" w:space="0" w:color="auto"/>
                            <w:bottom w:val="none" w:sz="0" w:space="0" w:color="auto"/>
                            <w:right w:val="none" w:sz="0" w:space="0" w:color="auto"/>
                          </w:divBdr>
                          <w:divsChild>
                            <w:div w:id="1888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361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7782</Words>
  <Characters>44362</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Существуют понятия об относительном и абсолютном возрасте горных пород</vt:lpstr>
    </vt:vector>
  </TitlesOfParts>
  <Company/>
  <LinksUpToDate>false</LinksUpToDate>
  <CharactersWithSpaces>52040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Существуют понятия об относительном и абсолютном возрасте горных пород</dc:title>
  <dc:subject/>
  <dc:creator>mari</dc:creator>
  <cp:keywords/>
  <dc:description/>
  <cp:lastModifiedBy>admin</cp:lastModifiedBy>
  <cp:revision>2</cp:revision>
  <dcterms:created xsi:type="dcterms:W3CDTF">2014-03-20T08:18:00Z</dcterms:created>
  <dcterms:modified xsi:type="dcterms:W3CDTF">2014-03-20T08:18:00Z</dcterms:modified>
</cp:coreProperties>
</file>