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72" w:rsidRDefault="00EE257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071677" w:rsidRPr="0069448E" w:rsidRDefault="0007167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69448E">
        <w:rPr>
          <w:b/>
          <w:bCs/>
          <w:sz w:val="28"/>
          <w:szCs w:val="28"/>
        </w:rPr>
        <w:t>Геополитические концепции мусульманских стран и их информационно-пропагандистское обеспечение.</w:t>
      </w:r>
    </w:p>
    <w:p w:rsidR="00071677" w:rsidRDefault="00071677">
      <w:pPr>
        <w:pStyle w:val="a3"/>
        <w:spacing w:before="0" w:beforeAutospacing="0" w:after="0" w:afterAutospacing="0" w:line="360" w:lineRule="auto"/>
        <w:ind w:firstLine="709"/>
        <w:jc w:val="center"/>
        <w:rPr>
          <w:lang w:val="en-US"/>
        </w:rPr>
      </w:pPr>
      <w:r w:rsidRPr="0069448E">
        <w:t xml:space="preserve">Соломия Зинько, аспирантка факультета международных отношений Львовского университета имени Ивана Франко. </w:t>
      </w:r>
    </w:p>
    <w:p w:rsidR="0069448E" w:rsidRPr="0069448E" w:rsidRDefault="0069448E">
      <w:pPr>
        <w:pStyle w:val="a3"/>
        <w:spacing w:before="0" w:beforeAutospacing="0" w:after="0" w:afterAutospacing="0" w:line="360" w:lineRule="auto"/>
        <w:ind w:firstLine="709"/>
        <w:jc w:val="center"/>
        <w:rPr>
          <w:lang w:val="en-US"/>
        </w:rPr>
      </w:pPr>
    </w:p>
    <w:p w:rsidR="00071677" w:rsidRPr="0069448E" w:rsidRDefault="00071677">
      <w:pPr>
        <w:pStyle w:val="a3"/>
        <w:spacing w:before="0" w:beforeAutospacing="0" w:after="0" w:afterAutospacing="0" w:line="360" w:lineRule="auto"/>
        <w:ind w:firstLine="709"/>
        <w:jc w:val="both"/>
      </w:pPr>
      <w:r w:rsidRPr="0069448E">
        <w:t xml:space="preserve">Исламская альтернатива конкретизируется на многоуровневом «исламистском проекте». На первом, локальном уровне рассматривается исламизация отдельного населенного пункта (особенно характерна для Индонезии), на втором, национальном – исламизация отдельных государств (присуща для всех мусульманских государств, а также государств с компактными мусульманскими меньшинствами). Третий, региональный уровень не слишком заметен в мировой политике, его намеревался  воплотить в жизнь афганский «Талибан». Четвертый уровень глобален и предусматривает образование всемирного мусульманского государства. Результатом действия исламистов на четвертом уровне стало идейное братство, конфедерация, с другой стороны – трансграничное пространство единомышленников.  </w:t>
      </w:r>
    </w:p>
    <w:p w:rsidR="00071677" w:rsidRPr="0069448E" w:rsidRDefault="00071677">
      <w:pPr>
        <w:pStyle w:val="a3"/>
        <w:spacing w:before="0" w:beforeAutospacing="0" w:after="0" w:afterAutospacing="0" w:line="360" w:lineRule="auto"/>
        <w:ind w:firstLine="709"/>
        <w:jc w:val="both"/>
      </w:pPr>
      <w:r w:rsidRPr="0069448E">
        <w:t>Наиболее узкий локальный проект имеет возможность выхода не только на следующий, но и глобальный уровень. «Сельские», национальные, региональные исламисты и исламские глобалисты могут действовать только в режиме кооперации. Исламисты Палестины, Филиппин или Ирака идентифицируют себя с мировым джихадом в качестве  его составляющей. Со своей стороны исламские глобалисты предоставляют региональным собратьям не только идейную, но и практическую материальную помощь</w:t>
      </w:r>
      <w:r w:rsidRPr="0069448E">
        <w:rPr>
          <w:rStyle w:val="a4"/>
        </w:rPr>
        <w:footnoteReference w:id="1"/>
      </w:r>
      <w:r w:rsidRPr="0069448E">
        <w:t>. Роль неформальных центров поддержки исламистского движения принадлежит Международному исламскому университету в Исламабаде, каирскому университету “Аль-Азхар”,  бруклинскому Центру беженцев «Аль-Кифах», а также  его филиалам в Пакистане и Хорватии</w:t>
      </w:r>
      <w:r w:rsidRPr="0069448E">
        <w:rPr>
          <w:rStyle w:val="a4"/>
        </w:rPr>
        <w:footnoteReference w:id="2"/>
      </w:r>
      <w:r w:rsidRPr="0069448E">
        <w:t>.</w:t>
      </w:r>
    </w:p>
    <w:p w:rsidR="00071677" w:rsidRPr="0069448E" w:rsidRDefault="00071677">
      <w:pPr>
        <w:pStyle w:val="a3"/>
        <w:spacing w:before="0" w:beforeAutospacing="0" w:after="0" w:afterAutospacing="0" w:line="360" w:lineRule="auto"/>
        <w:ind w:firstLine="709"/>
        <w:jc w:val="both"/>
        <w:rPr>
          <w:highlight w:val="green"/>
        </w:rPr>
      </w:pPr>
      <w:r w:rsidRPr="0069448E">
        <w:t xml:space="preserve">Иной структурной особенностью исламской геополитики является специфическое соотношение эндемического и периферийного полей геополитического пространства. Эндемическое поле владеет отчетливо выраженным ядром – Саудовской Аравией, ставшей центром панидеи в </w:t>
      </w:r>
      <w:r w:rsidRPr="0069448E">
        <w:rPr>
          <w:color w:val="auto"/>
        </w:rPr>
        <w:t>VIII ст. В это время арабский язык вытеснил вульгарно-эллинское наречие из долины Инда, овладел побережьем Индийского океана и оставался хозяином Востока до тех пор, когда “трижды приостанавливался ход мировой истории: когда Карл Мартелл разбил арабов, когда османы не взяли Вену и когда лорд Клайв победил вассалов Великого Могола возле Плесси”</w:t>
      </w:r>
      <w:r w:rsidRPr="0069448E">
        <w:rPr>
          <w:rStyle w:val="a4"/>
          <w:color w:val="auto"/>
        </w:rPr>
        <w:t xml:space="preserve"> </w:t>
      </w:r>
      <w:r w:rsidRPr="0069448E">
        <w:rPr>
          <w:rStyle w:val="a4"/>
          <w:color w:val="auto"/>
        </w:rPr>
        <w:footnoteReference w:id="3"/>
      </w:r>
      <w:r w:rsidRPr="0069448E">
        <w:rPr>
          <w:color w:val="auto"/>
        </w:rPr>
        <w:t>.</w:t>
      </w:r>
    </w:p>
    <w:p w:rsidR="00071677" w:rsidRPr="0069448E" w:rsidRDefault="000716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highlight w:val="green"/>
        </w:rPr>
      </w:pPr>
      <w:r w:rsidRPr="0069448E">
        <w:rPr>
          <w:color w:val="auto"/>
        </w:rPr>
        <w:t xml:space="preserve">С Саудовской Аравией конкурируют шиитский Иран; Турция как оплот халифата до 3 марта </w:t>
      </w:r>
      <w:smartTag w:uri="urn:schemas-microsoft-com:office:smarttags" w:element="metricconverter">
        <w:smartTagPr>
          <w:attr w:name="ProductID" w:val="1924 г"/>
        </w:smartTagPr>
        <w:r w:rsidRPr="0069448E">
          <w:rPr>
            <w:color w:val="auto"/>
          </w:rPr>
          <w:t>1924 г</w:t>
        </w:r>
      </w:smartTag>
      <w:r w:rsidRPr="0069448E">
        <w:rPr>
          <w:color w:val="auto"/>
        </w:rPr>
        <w:t xml:space="preserve">.; Египет с ведущим центром суннитского богословия – университетом “Аль-Азхар”; Пакистан с ракетно-ядерным потенциалом. Иодания и Марокко под правлением потомков Пророка проявляют династические претензии на доминирование в мусульманском мире. </w:t>
      </w:r>
    </w:p>
    <w:p w:rsidR="00071677" w:rsidRPr="0069448E" w:rsidRDefault="000716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highlight w:val="green"/>
        </w:rPr>
      </w:pPr>
      <w:r w:rsidRPr="0069448E">
        <w:rPr>
          <w:color w:val="auto"/>
        </w:rPr>
        <w:t xml:space="preserve">Наиболее активны в продвижении ислама и расширении его геополитического пространства исламистские группы, не связанные с конкретной страной. Этот фактор препятствует пространственному определению границ эндемического поля ислама и приводит к его экстраполяции на все государства – покровители ислама. </w:t>
      </w:r>
    </w:p>
    <w:p w:rsidR="00071677" w:rsidRPr="0069448E" w:rsidRDefault="000716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FF"/>
          <w:highlight w:val="green"/>
        </w:rPr>
      </w:pPr>
      <w:r w:rsidRPr="0069448E">
        <w:rPr>
          <w:color w:val="auto"/>
        </w:rPr>
        <w:t>В геополитическом пространстве ислама присутствует огромное периферийное поле – приграничное пространство, находящееся под контролем мусульманского этноконфессионального сообщества. Тем не менее его демографический, экономический и коммуникационный потенциал  недостаточен для слияния с эндемическим полем. Существует также перекрестное поле, на обладание которым претендуют иные геополитические субъекты.</w:t>
      </w:r>
    </w:p>
    <w:p w:rsidR="00071677" w:rsidRPr="0069448E" w:rsidRDefault="000716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 w:rsidRPr="0069448E">
        <w:rPr>
          <w:color w:val="auto"/>
        </w:rPr>
        <w:t>Особенностью исламского пространства является отсутствие единого политико-административного центра, обусловленное разрозненностью мусульманского мира вследствие его неоднородности</w:t>
      </w:r>
      <w:r w:rsidRPr="0069448E">
        <w:rPr>
          <w:rStyle w:val="a4"/>
          <w:color w:val="auto"/>
        </w:rPr>
        <w:footnoteReference w:id="4"/>
      </w:r>
      <w:r w:rsidRPr="0069448E">
        <w:rPr>
          <w:color w:val="auto"/>
        </w:rPr>
        <w:t>.</w:t>
      </w:r>
    </w:p>
    <w:p w:rsidR="00071677" w:rsidRPr="0069448E" w:rsidRDefault="00071677">
      <w:pPr>
        <w:pStyle w:val="a3"/>
        <w:spacing w:before="0" w:beforeAutospacing="0" w:after="0" w:afterAutospacing="0" w:line="360" w:lineRule="auto"/>
        <w:ind w:firstLine="709"/>
        <w:jc w:val="both"/>
      </w:pPr>
      <w:r w:rsidRPr="0069448E">
        <w:t>Классическое  мусульманское понимание международных отношений экстерриториально и разделяет мир на две основные составляющие: правоверных  (dar al-Islam), или веры (dar ud-din), и неверных, или войны (dar al-harb), а также область мира  (dar al-sulh). Мир ислама включает государства под господством мусульман, управляющихся шариатом. Мир неверных населен мусульманами и немусульманами, но управляется неверными. С этими странами можно заключать перемирие до 10 лет, которое можно продолжить путем возобновления договора. Область мира охватывает немусульманские страны с немусульманским руководством, находящиеся в зависимости от мусульманского мира</w:t>
      </w:r>
      <w:r w:rsidRPr="0069448E">
        <w:rPr>
          <w:rStyle w:val="a4"/>
          <w:color w:val="auto"/>
        </w:rPr>
        <w:footnoteReference w:id="5"/>
      </w:r>
      <w:r w:rsidRPr="0069448E">
        <w:t xml:space="preserve">. </w:t>
      </w:r>
    </w:p>
    <w:p w:rsidR="00071677" w:rsidRPr="0069448E" w:rsidRDefault="00071677">
      <w:pPr>
        <w:spacing w:line="360" w:lineRule="auto"/>
        <w:ind w:firstLine="902"/>
        <w:jc w:val="both"/>
      </w:pPr>
      <w:r w:rsidRPr="0069448E">
        <w:t>Информационные системы являются своеобразной плоскостью пересечения глобальных и локальных тенденций мусульманского мира. Глобальные веяния  легко достигают локального уровня, а локальные лидеры выходят к глобальным трибунам и глобальной аудитории. По мнению Ролана Робертсона, наблюдается появление глокализации, трактируемой им как “взаимопроникновение глобального и локального”</w:t>
      </w:r>
      <w:r w:rsidRPr="0069448E">
        <w:rPr>
          <w:rStyle w:val="a4"/>
        </w:rPr>
        <w:footnoteReference w:id="6"/>
      </w:r>
      <w:r w:rsidRPr="0069448E">
        <w:t xml:space="preserve">. Эта интепретация логически вписывается в информационные геополитические реалии, особенно в медиа, а также Интернет-пространство. </w:t>
      </w:r>
    </w:p>
    <w:p w:rsidR="00071677" w:rsidRPr="0069448E" w:rsidRDefault="00071677">
      <w:pPr>
        <w:spacing w:line="360" w:lineRule="auto"/>
        <w:ind w:firstLine="902"/>
        <w:jc w:val="both"/>
      </w:pPr>
      <w:r w:rsidRPr="0069448E">
        <w:t xml:space="preserve">Формирование глобального информационного общества обусловило переоценку устоев геополитики, в том числе мусульманской. Основные качественные изменения, отражающие новые условия и суть геополитической конкуренции в глобальном информационном обществе, следующие: </w:t>
      </w:r>
    </w:p>
    <w:p w:rsidR="00071677" w:rsidRPr="0069448E" w:rsidRDefault="00071677">
      <w:pPr>
        <w:numPr>
          <w:ilvl w:val="0"/>
          <w:numId w:val="2"/>
        </w:numPr>
        <w:spacing w:line="360" w:lineRule="auto"/>
        <w:jc w:val="both"/>
      </w:pPr>
      <w:r w:rsidRPr="0069448E">
        <w:t>расширение терминов “геополитическое пространство” и “пространство геополитической конкуренции”;</w:t>
      </w:r>
    </w:p>
    <w:p w:rsidR="00071677" w:rsidRPr="0069448E" w:rsidRDefault="00071677">
      <w:pPr>
        <w:numPr>
          <w:ilvl w:val="0"/>
          <w:numId w:val="2"/>
        </w:numPr>
        <w:spacing w:line="360" w:lineRule="auto"/>
        <w:jc w:val="both"/>
      </w:pPr>
      <w:r w:rsidRPr="0069448E">
        <w:t>изменение оценки стратегически важных ресурсов;</w:t>
      </w:r>
    </w:p>
    <w:p w:rsidR="00071677" w:rsidRPr="0069448E" w:rsidRDefault="00071677">
      <w:pPr>
        <w:numPr>
          <w:ilvl w:val="0"/>
          <w:numId w:val="2"/>
        </w:numPr>
        <w:spacing w:line="360" w:lineRule="auto"/>
        <w:jc w:val="both"/>
      </w:pPr>
      <w:r w:rsidRPr="0069448E">
        <w:t>изменение выбора и оценки традиционных союзников и противников в геополитической борьбе;</w:t>
      </w:r>
    </w:p>
    <w:p w:rsidR="00071677" w:rsidRPr="0069448E" w:rsidRDefault="00071677">
      <w:pPr>
        <w:numPr>
          <w:ilvl w:val="0"/>
          <w:numId w:val="2"/>
        </w:numPr>
        <w:spacing w:line="360" w:lineRule="auto"/>
        <w:jc w:val="both"/>
      </w:pPr>
      <w:r w:rsidRPr="0069448E">
        <w:t>возникновение новых субъектов геополитической конкуренции;</w:t>
      </w:r>
    </w:p>
    <w:p w:rsidR="00071677" w:rsidRPr="0069448E" w:rsidRDefault="00071677">
      <w:pPr>
        <w:numPr>
          <w:ilvl w:val="0"/>
          <w:numId w:val="2"/>
        </w:numPr>
        <w:spacing w:line="360" w:lineRule="auto"/>
        <w:jc w:val="both"/>
      </w:pPr>
      <w:r w:rsidRPr="0069448E">
        <w:t>возможность бесконфликтного сосуществования сотрудничества и противостояния в геополитических отношениях;</w:t>
      </w:r>
    </w:p>
    <w:p w:rsidR="00071677" w:rsidRPr="0069448E" w:rsidRDefault="00071677">
      <w:pPr>
        <w:numPr>
          <w:ilvl w:val="0"/>
          <w:numId w:val="2"/>
        </w:numPr>
        <w:spacing w:line="360" w:lineRule="auto"/>
        <w:jc w:val="both"/>
      </w:pPr>
      <w:r w:rsidRPr="0069448E">
        <w:t>изменение категориальности оценки силы субъектов геополитической конкуренции в информационно-психологической сфере.</w:t>
      </w:r>
    </w:p>
    <w:p w:rsidR="00071677" w:rsidRPr="0069448E" w:rsidRDefault="00071677">
      <w:pPr>
        <w:spacing w:line="360" w:lineRule="auto"/>
        <w:ind w:firstLine="902"/>
        <w:jc w:val="both"/>
      </w:pPr>
      <w:r w:rsidRPr="0069448E">
        <w:t>Джеймс Розенау утверждает, что электронная интеграция причастна к появлению неизвестных доселе геополитических феноменов: фрагментации, глокализации и  “экстерриториальных общностей”</w:t>
      </w:r>
      <w:r w:rsidRPr="0069448E">
        <w:rPr>
          <w:rStyle w:val="a4"/>
        </w:rPr>
        <w:footnoteReference w:id="7"/>
      </w:r>
      <w:r w:rsidRPr="0069448E">
        <w:t>.  Ключевыми для будущего развития мусульманского мира будут такие аспекты электронной интеграции как гетерогенность, деиерархизация и качественно новые механизмы формирования идентичности. Создание коллективной идентичности с помощью медиа можно считать одним из наиболее интересных и  неоднозначных процессов современности</w:t>
      </w:r>
      <w:r w:rsidRPr="0069448E">
        <w:rPr>
          <w:rStyle w:val="a4"/>
        </w:rPr>
        <w:footnoteReference w:id="8"/>
      </w:r>
      <w:r w:rsidRPr="0069448E">
        <w:t xml:space="preserve">. </w:t>
      </w:r>
    </w:p>
    <w:p w:rsidR="00071677" w:rsidRPr="0069448E" w:rsidRDefault="00071677">
      <w:pPr>
        <w:spacing w:line="360" w:lineRule="auto"/>
        <w:ind w:firstLine="902"/>
        <w:jc w:val="both"/>
      </w:pPr>
      <w:r w:rsidRPr="0069448E">
        <w:t>Электронные медиа однозначно благоприятствуют общественной мобилизации, что наиболее подтверждается практикой террористических организаций. Кибер-пространство не менее выгодный плацдарм для ведения боевых действий, нежели его традиционный предшественник. При этом кибер-пространство имеет несомненное преимущество – размывание традиционных  границ и амальгацию социальных идентичностей</w:t>
      </w:r>
      <w:r w:rsidRPr="0069448E">
        <w:rPr>
          <w:rStyle w:val="a4"/>
        </w:rPr>
        <w:footnoteReference w:id="9"/>
      </w:r>
      <w:r w:rsidRPr="0069448E">
        <w:t>.</w:t>
      </w:r>
    </w:p>
    <w:p w:rsidR="00071677" w:rsidRPr="0069448E" w:rsidRDefault="00071677">
      <w:pPr>
        <w:spacing w:line="360" w:lineRule="auto"/>
        <w:ind w:firstLine="902"/>
        <w:jc w:val="both"/>
      </w:pPr>
      <w:r w:rsidRPr="0069448E">
        <w:t>Значение информационного фактора прекрасно осознается  и среди мусульманской элиты. Генеральный директор Исламской организации по вопросам просвещения, науки и культуры А. Г. Буталеб убежден, что «ислам осознал религиозную, политическую и экономическую значимость информации 14 веков назад, ощутил свои возможности, заявил о своей цели и  призвал мусульман использовать информацию на благо религии и уммы»</w:t>
      </w:r>
      <w:r w:rsidRPr="0069448E">
        <w:rPr>
          <w:rStyle w:val="a4"/>
        </w:rPr>
        <w:t xml:space="preserve"> </w:t>
      </w:r>
      <w:r w:rsidRPr="0069448E">
        <w:rPr>
          <w:rStyle w:val="a4"/>
        </w:rPr>
        <w:footnoteReference w:id="10"/>
      </w:r>
      <w:r w:rsidRPr="0069448E">
        <w:t>. Мусульманская  цивилизация благоденствовала, когда ее послания передавались многими каналами, включая устную и письменную коммуникацию. Мусульмане эффективно использовали письменность, когда документировали Коран, сунны  и научные труды.</w:t>
      </w:r>
    </w:p>
    <w:p w:rsidR="00071677" w:rsidRPr="0069448E" w:rsidRDefault="00071677">
      <w:pPr>
        <w:spacing w:line="360" w:lineRule="auto"/>
        <w:ind w:firstLine="902"/>
        <w:jc w:val="both"/>
      </w:pPr>
      <w:r w:rsidRPr="0069448E">
        <w:t>Профессиональное использование исламскими пропагандистами различных форм и методов информационного противостояния обеспечило быстрое распространение ислама в эпоху средневековья. Особенной активностью  отличались исмаилитские миссионеры (даи), к концу Х ст. покорившие Магриб, Египет, Сирию, Палестину и Хиджаз.</w:t>
      </w:r>
    </w:p>
    <w:p w:rsidR="00071677" w:rsidRPr="0069448E" w:rsidRDefault="00071677">
      <w:pPr>
        <w:spacing w:line="360" w:lineRule="auto"/>
        <w:ind w:firstLine="902"/>
        <w:jc w:val="both"/>
      </w:pPr>
      <w:r w:rsidRPr="0069448E">
        <w:t xml:space="preserve">Процесс модернизации мусульманского общества ускорился благодаря трем выдающимся достижениям в сфере коммуникаций:  заведению печатен (1594), переводу европейских книг  и развитию периодической прессы. Наполеоновская администрация основала периодику в Египте, первая газета в Стамбуле издавалась с </w:t>
      </w:r>
      <w:smartTag w:uri="urn:schemas-microsoft-com:office:smarttags" w:element="metricconverter">
        <w:smartTagPr>
          <w:attr w:name="ProductID" w:val="1795 г"/>
        </w:smartTagPr>
        <w:r w:rsidRPr="0069448E">
          <w:t>1795 г</w:t>
        </w:r>
      </w:smartTag>
      <w:r w:rsidRPr="0069448E">
        <w:t xml:space="preserve">. тоже на французском языке. В то же время официозная пресса – турецкая газета “Monitor” появилась только в </w:t>
      </w:r>
      <w:smartTag w:uri="urn:schemas-microsoft-com:office:smarttags" w:element="metricconverter">
        <w:smartTagPr>
          <w:attr w:name="ProductID" w:val="1832 г"/>
        </w:smartTagPr>
        <w:r w:rsidRPr="0069448E">
          <w:t>1832 г</w:t>
        </w:r>
      </w:smartTag>
      <w:r w:rsidRPr="0069448E">
        <w:t>. Во время Крымской войны в мусульманском мире появился телеграф, телеграф, а первым телеграфным сообщением, отправленным с Ближнего Востока, было военное коммюнике: «Севастополь пал»</w:t>
      </w:r>
      <w:r w:rsidRPr="0069448E">
        <w:rPr>
          <w:rStyle w:val="a4"/>
        </w:rPr>
        <w:footnoteReference w:id="11"/>
      </w:r>
      <w:r w:rsidRPr="0069448E">
        <w:t>. В 1970-х гг. Хомейни первым использовал мощную информационную технологию в  виде аудиокассет. Несмотря на эмиграцию аятоллы во Францию, его проповеди распространялись по всему Ирану и стали эффективным средством борьбы с шахским режимом</w:t>
      </w:r>
      <w:r w:rsidRPr="0069448E">
        <w:rPr>
          <w:rStyle w:val="a4"/>
        </w:rPr>
        <w:footnoteReference w:id="12"/>
      </w:r>
      <w:r w:rsidRPr="0069448E">
        <w:t xml:space="preserve">.  </w:t>
      </w:r>
    </w:p>
    <w:p w:rsidR="00071677" w:rsidRPr="0069448E" w:rsidRDefault="00071677">
      <w:pPr>
        <w:spacing w:line="360" w:lineRule="auto"/>
        <w:ind w:firstLine="900"/>
        <w:jc w:val="both"/>
      </w:pPr>
      <w:r w:rsidRPr="0069448E">
        <w:t>На современном этапе в мусульманском мире основные категории информационных ресурсов с геополитической точки зрения классифицируются следующим образом:</w:t>
      </w:r>
    </w:p>
    <w:p w:rsidR="00071677" w:rsidRPr="0069448E" w:rsidRDefault="00071677">
      <w:pPr>
        <w:spacing w:line="360" w:lineRule="auto"/>
        <w:ind w:left="1789" w:hanging="889"/>
        <w:jc w:val="both"/>
      </w:pPr>
      <w:r w:rsidRPr="0069448E">
        <w:t xml:space="preserve">Официальные информационные органы мусульманских стран; </w:t>
      </w:r>
    </w:p>
    <w:p w:rsidR="00071677" w:rsidRPr="0069448E" w:rsidRDefault="00071677">
      <w:pPr>
        <w:spacing w:line="360" w:lineRule="auto"/>
        <w:ind w:firstLine="900"/>
        <w:jc w:val="both"/>
      </w:pPr>
      <w:r w:rsidRPr="0069448E">
        <w:t xml:space="preserve">Информационные органы мусульманских организаций – радиостанции, периодические издания (“The Muslim World”, “The Journal of Rabetat al-Alamal-Islami”, “The Minaret”); </w:t>
      </w:r>
    </w:p>
    <w:p w:rsidR="00071677" w:rsidRPr="0069448E" w:rsidRDefault="00071677">
      <w:pPr>
        <w:spacing w:line="360" w:lineRule="auto"/>
        <w:ind w:firstLine="900"/>
        <w:jc w:val="both"/>
      </w:pPr>
      <w:r w:rsidRPr="0069448E">
        <w:t>Мусульманские негосударственные информационные органы – периодические издания «Al-Ittihad”, “Jaqeen International”, панарабские “Al-sharg al-Awsat”, «Al-Hayat”;   телеканал “</w:t>
      </w:r>
      <w:r w:rsidRPr="0069448E">
        <w:rPr>
          <w:color w:val="0000FF"/>
        </w:rPr>
        <w:t>Аль-Джазира</w:t>
      </w:r>
      <w:r w:rsidRPr="0069448E">
        <w:t xml:space="preserve">”; </w:t>
      </w:r>
    </w:p>
    <w:p w:rsidR="00071677" w:rsidRPr="0069448E" w:rsidRDefault="00071677">
      <w:pPr>
        <w:spacing w:line="360" w:lineRule="auto"/>
        <w:ind w:firstLine="900"/>
        <w:jc w:val="both"/>
      </w:pPr>
      <w:r w:rsidRPr="0069448E">
        <w:t>Информационные ресурсы научных учреждений – университета «Аль-Азхар» с Академией исламских исследований (Каир), университета имени короля Абдул Азиза с Институтом по делам мусульманских меньшинств (Джидда), шиитского университета (Неджеф)</w:t>
      </w:r>
      <w:r w:rsidRPr="0069448E">
        <w:rPr>
          <w:rStyle w:val="a4"/>
        </w:rPr>
        <w:t xml:space="preserve"> </w:t>
      </w:r>
      <w:r w:rsidRPr="0069448E">
        <w:rPr>
          <w:rStyle w:val="a4"/>
        </w:rPr>
        <w:footnoteReference w:id="13"/>
      </w:r>
      <w:r w:rsidRPr="0069448E">
        <w:t xml:space="preserve">. </w:t>
      </w:r>
    </w:p>
    <w:p w:rsidR="00071677" w:rsidRPr="0069448E" w:rsidRDefault="00071677">
      <w:pPr>
        <w:pStyle w:val="a3"/>
        <w:spacing w:before="0" w:beforeAutospacing="0" w:after="0" w:afterAutospacing="0" w:line="360" w:lineRule="auto"/>
        <w:ind w:right="-6" w:firstLine="856"/>
        <w:jc w:val="both"/>
      </w:pPr>
      <w:r w:rsidRPr="0069448E">
        <w:t>Резолюция №1/5 Инф (КОМІАК) по информационной стратегии исламских государств вполне в духе нашего времени декларирует объективность, диалог, искоренение расизма и уважение ко всем религиозным воззрениям. Главными задачами  исламской информации провозглашаются создание позитивного имиджа ислама на международном уровне, пропаганда арабской культуры и борьба против экстремистских движений.  Методы воплощения этой стратегии разрабатываются на национальном, двустороннем  и многостороннем уровне. Многостороннее сотрудничество предусматривает разработку информационных проектов, например, Islamvision, запуск исламских сателлитарных каналов, создание банков данных и учебного информационного центра для повышения квалификации кадров. Стратегия предусматривает создание с помощью ОИК Международного исламского агентства новостей (IINA) и Организации вещания исламских государств (ISBA)</w:t>
      </w:r>
      <w:r w:rsidRPr="0069448E">
        <w:rPr>
          <w:rStyle w:val="a4"/>
        </w:rPr>
        <w:footnoteReference w:id="14"/>
      </w:r>
      <w:r w:rsidRPr="0069448E">
        <w:t xml:space="preserve">. </w:t>
      </w:r>
    </w:p>
    <w:p w:rsidR="00071677" w:rsidRPr="0069448E" w:rsidRDefault="00071677">
      <w:pPr>
        <w:spacing w:line="360" w:lineRule="auto"/>
        <w:ind w:firstLine="902"/>
        <w:jc w:val="both"/>
      </w:pPr>
      <w:r w:rsidRPr="0069448E">
        <w:t>Феноменом Интернета является исторический “синтез” различных  медиа - печатных, аудио и визуальных. Технология, появившаяся на вершине третьей информационно-коммуникационной революции, возвратила специфический исламский компонент – текст. В отличие от радио или  телевидения, Интернет рассматривается мусульманами в качестве позитивного  фактора, особенно в случае максимального охвата единоверцев. Неограниченная коммуникация двухстороннего общения  содействует появлению нового мусульманского киберпространства, не ограниченного  национальными границами. Теперь мусульмане имеют доступ к недоступной ранее информации. Привлекает внимание быстрота его распространения, несмотря на то, что Интернет остается элитным средством  коммуникации в мусульманском мире. Сателлитарное вещание создает политическую  публичную сферу, где общественность обсуждает жизненно важные проблемы,  Интернет - индивидуальное средство информации, который значительно реже выступает в роли публичного форума.</w:t>
      </w:r>
    </w:p>
    <w:p w:rsidR="00071677" w:rsidRPr="0069448E" w:rsidRDefault="00071677">
      <w:pPr>
        <w:pStyle w:val="a3"/>
        <w:spacing w:before="0" w:beforeAutospacing="0" w:after="0" w:afterAutospacing="0" w:line="360" w:lineRule="auto"/>
        <w:ind w:firstLine="709"/>
        <w:jc w:val="both"/>
      </w:pPr>
      <w:r w:rsidRPr="0069448E">
        <w:t>В киберпространстве арабский мир часто рассматривается  отдельно от мусульманского мира. Это касается и таких терминов, как «Ближний Восток», «Южная Азия», «Северная Африка». Такая категоризация, ограничивающая поиск информации о мусульманском мире в целом, характерна для сайтов “Arab Net”,</w:t>
      </w:r>
      <w:r w:rsidRPr="0069448E">
        <w:rPr>
          <w:vertAlign w:val="superscript"/>
        </w:rPr>
        <w:t xml:space="preserve"> “</w:t>
      </w:r>
      <w:r w:rsidRPr="0069448E">
        <w:t xml:space="preserve">Arab World Online”, “Model League of Arab States”, “Middle East Network”, “Regional Arab Information”, “Arab resources”, “Arabia”. Отдельные мусульманские государства заявляют о своей обособленности на сайтах “Oman Net”, “Qatar Online”, “Iran Net”, “Djazair-Online”. </w:t>
      </w:r>
    </w:p>
    <w:p w:rsidR="00071677" w:rsidRPr="0069448E" w:rsidRDefault="00071677">
      <w:pPr>
        <w:pStyle w:val="a3"/>
        <w:spacing w:before="0" w:beforeAutospacing="0" w:after="0" w:afterAutospacing="0" w:line="360" w:lineRule="auto"/>
        <w:ind w:firstLine="709"/>
        <w:jc w:val="both"/>
      </w:pPr>
      <w:r w:rsidRPr="0069448E">
        <w:t>Большинство политических партий в мусульманском мире используют киберпространство для пропаганды своих политических взглядов. Наиболее активными исламскими партиями являются ливанские, алжирские, иранские, ливийские, пакистанские, палестинские и турецкие. Иран занимается активным промоушином собственных сайтов, особенно мультимедийной страницы аятоллы Хомейни “Изображение лучей солнца”, оппозиция также находится он-лайн. Правительство Пакистана произвело значительную селекцию религиозных материалов с помощью административного вмешательства, произведенную с целью  устранить с  интернет-пространства “Джамаат-и-Ислами”. Отдел исламского развития премьер-министра Малайзии с помощью Интернета презентовал собственную исламскую программу для соревнования он-лайн с оппозиционными партиями, например, ПАС</w:t>
      </w:r>
      <w:r w:rsidRPr="0069448E">
        <w:rPr>
          <w:rStyle w:val="a4"/>
        </w:rPr>
        <w:footnoteReference w:id="15"/>
      </w:r>
      <w:r w:rsidRPr="0069448E">
        <w:t xml:space="preserve">. В Сирии сайт www.all4syria, созданный инженером Айманом Абдул Нуром для контактов оппозиции с правительством, был заблокирован властью. </w:t>
      </w:r>
    </w:p>
    <w:p w:rsidR="00071677" w:rsidRPr="0069448E" w:rsidRDefault="00071677">
      <w:pPr>
        <w:pStyle w:val="a3"/>
        <w:spacing w:before="0" w:beforeAutospacing="0" w:after="0" w:afterAutospacing="0" w:line="360" w:lineRule="auto"/>
        <w:ind w:firstLine="709"/>
        <w:jc w:val="both"/>
      </w:pPr>
      <w:r w:rsidRPr="0069448E">
        <w:t>Вместе с тем основной проблемой, с которой придется столкнуться мусульманам, станет вынесение местных противоречий на глобальный уровень и получение последствий незащищенности внутренних структур перед влиятельными глобальными силами. Наиболее консервативные иранские аятоллы из Центра исламской юриспруденции в г. Кум, столице шиизма, одними из первых начали использовать Сеть в борьбе против вечных конкурентов – арабских суннитов. В то время, когда суннитские институции игнорируют шиитские тексты, шиитские центры переводят в электронный формат суннитские источники для обеспечения большего  количества мусульманской аудитории. В конце 1990-х гг. определенные религиозные  силы в Иране инструктировали все мечети  Великобритании относительно подключения к Интернету и сетевой связи  между ними. “Проект кафе Медина” также касался мусульманских школ в стране. Израильские спецслужбы информировали о подобном проекте в Сингапуре.</w:t>
      </w:r>
    </w:p>
    <w:p w:rsidR="00071677" w:rsidRPr="0069448E" w:rsidRDefault="0007167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48E">
        <w:rPr>
          <w:rFonts w:ascii="Times New Roman" w:hAnsi="Times New Roman" w:cs="Times New Roman"/>
          <w:sz w:val="24"/>
          <w:szCs w:val="24"/>
        </w:rPr>
        <w:t xml:space="preserve">Большинство ключевых игроков, от саудовских нефтяных принцев-суннитов до шиитского иранского духовенства, понимают будущую роль сателлитарных сетей. Это объясняет скрытую, но жесткую борьбу за цифровую власть среди мусульманских стран, где элементарными понятиями служат “центр-периферия”, где традиционное географическое преимущество  имели ближневосточные страны, которое теперь ставится под сомнение. Малайзия, расценивавшаяся  как маргинальная с религиозной  и географической точки зрения, инвестировала значительные средства в информационные технологии. Иранские аятоллы инвестируют новые технологии  с начала 1990-х гг. </w:t>
      </w:r>
    </w:p>
    <w:p w:rsidR="00071677" w:rsidRPr="0069448E" w:rsidRDefault="0007167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48E">
        <w:rPr>
          <w:rFonts w:ascii="Times New Roman" w:hAnsi="Times New Roman" w:cs="Times New Roman"/>
          <w:sz w:val="24"/>
          <w:szCs w:val="24"/>
        </w:rPr>
        <w:t xml:space="preserve">Тем не менее Саудовская Аравия имеет значительное преимущество, ибо арабский язык считается священным  и исполняет роль основного средства общения. Кроме этого, арабский язык, в отличие от турецкого или иранского, служит родным языком значительных христианских меньшинств. Инвестирование в арабские сателлитарные системы стало ключевим для доминирования в мусульманском мире. Саудовские пропагандисты были первыми создателями планетарного медиа-лобби, в 1980-х гг. вооружившиеся электронными транснациональными изданиями и сателлитарными сетями. Двумя популярнейшими электронными газетами считают  базированные в Лондоне “Al-Hayat” i “Ash-Shark al-Avsat” (последняя доступна для 100 миллионов виртуальных читателей). В условиях глобализации огромное влияние оказывают </w:t>
      </w:r>
      <w:r w:rsidRPr="0069448E">
        <w:rPr>
          <w:rFonts w:ascii="Times New Roman" w:hAnsi="Times New Roman" w:cs="Times New Roman"/>
          <w:iCs/>
          <w:sz w:val="24"/>
          <w:szCs w:val="24"/>
        </w:rPr>
        <w:t>происламские холдинги</w:t>
      </w:r>
      <w:r w:rsidRPr="0069448E">
        <w:rPr>
          <w:rFonts w:ascii="Times New Roman" w:hAnsi="Times New Roman" w:cs="Times New Roman"/>
          <w:sz w:val="24"/>
          <w:szCs w:val="24"/>
        </w:rPr>
        <w:t xml:space="preserve">, действующие не только в торговле и промышленности, но и в информационно-пропагандистском бизнесе. Примером может быть созданное в Турции сообщество Фехуллаха Гюлена. </w:t>
      </w:r>
    </w:p>
    <w:p w:rsidR="00071677" w:rsidRPr="0069448E" w:rsidRDefault="00071677">
      <w:pPr>
        <w:pStyle w:val="a3"/>
        <w:spacing w:before="0" w:beforeAutospacing="0" w:after="0" w:afterAutospacing="0" w:line="360" w:lineRule="auto"/>
        <w:ind w:firstLine="709"/>
        <w:jc w:val="both"/>
      </w:pPr>
      <w:r w:rsidRPr="0069448E">
        <w:t xml:space="preserve">Иранское духовенство в </w:t>
      </w:r>
      <w:smartTag w:uri="urn:schemas-microsoft-com:office:smarttags" w:element="metricconverter">
        <w:smartTagPr>
          <w:attr w:name="ProductID" w:val="1991 г"/>
        </w:smartTagPr>
        <w:r w:rsidRPr="0069448E">
          <w:t>1991 г</w:t>
        </w:r>
      </w:smartTag>
      <w:r w:rsidRPr="0069448E">
        <w:t>. помогло группировке “Хезболла” запустить спутниковый арабоязычный канал “Al-Manar»,  второй за влиятельностью после катарского канала “</w:t>
      </w:r>
      <w:r w:rsidRPr="0069448E">
        <w:rPr>
          <w:color w:val="auto"/>
        </w:rPr>
        <w:t>Al Jazeera</w:t>
      </w:r>
      <w:r w:rsidRPr="0069448E">
        <w:t>” (</w:t>
      </w:r>
      <w:smartTag w:uri="urn:schemas-microsoft-com:office:smarttags" w:element="metricconverter">
        <w:smartTagPr>
          <w:attr w:name="ProductID" w:val="1996 г"/>
        </w:smartTagPr>
        <w:r w:rsidRPr="0069448E">
          <w:t>1996 г</w:t>
        </w:r>
      </w:smartTag>
      <w:r w:rsidRPr="0069448E">
        <w:t>.). По мнению авторитетных исламоведов Д. Бергенера, Д. Китфилда, Б. Хофмана, Е. Басевича, именно “</w:t>
      </w:r>
      <w:r w:rsidRPr="0069448E">
        <w:rPr>
          <w:color w:val="auto"/>
        </w:rPr>
        <w:t>Al Jazeera</w:t>
      </w:r>
      <w:r w:rsidRPr="0069448E">
        <w:t xml:space="preserve">” совместно с Интернетом растиражировали образ Усами бин Ладена от Джакарты до Занзибара, без которого мусульманский мир не смог бы организовать джихад против Запада. В </w:t>
      </w:r>
      <w:smartTag w:uri="urn:schemas-microsoft-com:office:smarttags" w:element="metricconverter">
        <w:smartTagPr>
          <w:attr w:name="ProductID" w:val="2003 г"/>
        </w:smartTagPr>
        <w:r w:rsidRPr="0069448E">
          <w:t>2003 г</w:t>
        </w:r>
      </w:smartTag>
      <w:r w:rsidRPr="0069448E">
        <w:t>. государственная телерадиокомпания Южной Африки SABS решила заменить ночную трансляцию СNN передачами “</w:t>
      </w:r>
      <w:r w:rsidRPr="0069448E">
        <w:rPr>
          <w:color w:val="auto"/>
        </w:rPr>
        <w:t>Al Jazeera</w:t>
      </w:r>
      <w:r w:rsidRPr="0069448E">
        <w:t>”, хотя мусульмане составляют лишь 2% населения ЮАР. Это свидетельствует  о нанесении сильного удара по монополии западных СМИ.</w:t>
      </w:r>
    </w:p>
    <w:p w:rsidR="00071677" w:rsidRPr="0069448E" w:rsidRDefault="00071677">
      <w:pPr>
        <w:spacing w:line="360" w:lineRule="auto"/>
        <w:ind w:firstLine="902"/>
        <w:jc w:val="both"/>
      </w:pPr>
      <w:r w:rsidRPr="0069448E">
        <w:t xml:space="preserve">Таким образом, современная информационная система является своеобразным  зеркалом, в котором отражается геополитические противоречия мусульманского мира. Кроме унифицирующих составных исламского информационного развития, на которых делают упор межгосударственные организации мусульманских стран, все более значительными  становятся </w:t>
      </w:r>
      <w:r w:rsidRPr="0069448E">
        <w:rPr>
          <w:color w:val="000000"/>
        </w:rPr>
        <w:t>центробежные</w:t>
      </w:r>
      <w:r w:rsidRPr="0069448E">
        <w:rPr>
          <w:color w:val="0000FF"/>
        </w:rPr>
        <w:t xml:space="preserve"> </w:t>
      </w:r>
      <w:r w:rsidRPr="0069448E">
        <w:t xml:space="preserve">геополитические тенденции - информационный регионализм, экстремизм,  размежевание “центр-периферия”. Борьба за гегемонию в мусульманском мире переходит в виртуальное измерение. Очевиден факт, что лидерами станут игроки, способные быстро и эффективно использовать информационные технологии. </w:t>
      </w:r>
    </w:p>
    <w:p w:rsidR="00071677" w:rsidRPr="0069448E" w:rsidRDefault="00071677">
      <w:pPr>
        <w:spacing w:line="360" w:lineRule="auto"/>
        <w:ind w:firstLine="902"/>
        <w:jc w:val="both"/>
      </w:pPr>
    </w:p>
    <w:p w:rsidR="0069448E" w:rsidRPr="0069448E" w:rsidRDefault="0069448E" w:rsidP="0069448E">
      <w:pPr>
        <w:rPr>
          <w:color w:val="000000"/>
        </w:rPr>
      </w:pPr>
      <w:r w:rsidRPr="0069448E">
        <w:rPr>
          <w:color w:val="000000"/>
        </w:rPr>
        <w:t>Zinko S. Muzułmańskie koncepcje geopolityczne i ich zabezpieczenie informacyjno – propagandowe. // Geopolityka w Polsce i za granicą – historia i współczesność. – Instytut Studiow Międzynarodowych, Uniwersytet Wrocławski, 2006. – S. 38 – 45.</w:t>
      </w:r>
    </w:p>
    <w:p w:rsidR="0069448E" w:rsidRPr="0069448E" w:rsidRDefault="0069448E" w:rsidP="0069448E">
      <w:pPr>
        <w:rPr>
          <w:color w:val="000000"/>
        </w:rPr>
      </w:pPr>
    </w:p>
    <w:p w:rsidR="0069448E" w:rsidRPr="0069448E" w:rsidRDefault="0069448E" w:rsidP="0069448E">
      <w:r w:rsidRPr="0069448E">
        <w:rPr>
          <w:color w:val="000000"/>
        </w:rPr>
        <w:t xml:space="preserve"> (вихідні дані польською мовою, статтю подавала російською)</w:t>
      </w:r>
    </w:p>
    <w:p w:rsidR="00071677" w:rsidRPr="0069448E" w:rsidRDefault="00071677">
      <w:pPr>
        <w:spacing w:line="360" w:lineRule="auto"/>
        <w:ind w:firstLine="902"/>
        <w:jc w:val="both"/>
      </w:pPr>
    </w:p>
    <w:p w:rsidR="00071677" w:rsidRPr="0069448E" w:rsidRDefault="00071677">
      <w:pPr>
        <w:pStyle w:val="a3"/>
        <w:spacing w:before="0" w:beforeAutospacing="0" w:after="0" w:afterAutospacing="0" w:line="240" w:lineRule="atLeast"/>
        <w:ind w:firstLine="709"/>
        <w:jc w:val="both"/>
      </w:pPr>
    </w:p>
    <w:p w:rsidR="00071677" w:rsidRPr="0069448E" w:rsidRDefault="00071677">
      <w:pPr>
        <w:pStyle w:val="a3"/>
        <w:spacing w:before="0" w:beforeAutospacing="0" w:after="0" w:afterAutospacing="0" w:line="240" w:lineRule="atLeast"/>
        <w:ind w:firstLine="709"/>
        <w:jc w:val="both"/>
      </w:pPr>
    </w:p>
    <w:p w:rsidR="00071677" w:rsidRPr="0069448E" w:rsidRDefault="00071677">
      <w:pPr>
        <w:pStyle w:val="a3"/>
        <w:spacing w:before="0" w:beforeAutospacing="0" w:after="0" w:afterAutospacing="0" w:line="240" w:lineRule="atLeast"/>
        <w:jc w:val="both"/>
      </w:pPr>
      <w:bookmarkStart w:id="0" w:name="_GoBack"/>
      <w:bookmarkEnd w:id="0"/>
    </w:p>
    <w:sectPr w:rsidR="00071677" w:rsidRPr="0069448E" w:rsidSect="0069448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7E" w:rsidRDefault="00276F7E">
      <w:r>
        <w:separator/>
      </w:r>
    </w:p>
  </w:endnote>
  <w:endnote w:type="continuationSeparator" w:id="0">
    <w:p w:rsidR="00276F7E" w:rsidRDefault="0027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aramond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7E" w:rsidRDefault="00276F7E">
      <w:r>
        <w:separator/>
      </w:r>
    </w:p>
  </w:footnote>
  <w:footnote w:type="continuationSeparator" w:id="0">
    <w:p w:rsidR="00276F7E" w:rsidRDefault="00276F7E">
      <w:r>
        <w:continuationSeparator/>
      </w:r>
    </w:p>
  </w:footnote>
  <w:footnote w:id="1">
    <w:p w:rsidR="00071677" w:rsidRDefault="00071677">
      <w:pPr>
        <w:pStyle w:val="a5"/>
      </w:pPr>
      <w:r>
        <w:rPr>
          <w:rStyle w:val="a4"/>
        </w:rPr>
        <w:footnoteRef/>
      </w:r>
      <w:r>
        <w:t xml:space="preserve"> </w:t>
      </w:r>
      <w:r>
        <w:rPr>
          <w:lang w:val="uk-UA"/>
        </w:rPr>
        <w:t xml:space="preserve">Малашенко А. Исламизм на все времена. </w:t>
      </w:r>
      <w:r>
        <w:t xml:space="preserve">// </w:t>
      </w:r>
      <w:r>
        <w:rPr>
          <w:lang w:val="uk-UA"/>
        </w:rPr>
        <w:t>Свободная мысль-ХХ век</w:t>
      </w:r>
      <w:r>
        <w:t xml:space="preserve">. – </w:t>
      </w:r>
      <w:r>
        <w:rPr>
          <w:lang w:val="uk-UA"/>
        </w:rPr>
        <w:t>2004.</w:t>
      </w:r>
      <w:r>
        <w:t xml:space="preserve"> –</w:t>
      </w:r>
      <w:r>
        <w:rPr>
          <w:lang w:val="uk-UA"/>
        </w:rPr>
        <w:t xml:space="preserve"> №12.</w:t>
      </w:r>
      <w:r>
        <w:t xml:space="preserve"> – C</w:t>
      </w:r>
      <w:r>
        <w:rPr>
          <w:lang w:val="uk-UA"/>
        </w:rPr>
        <w:t>. 23-25.</w:t>
      </w:r>
    </w:p>
  </w:footnote>
  <w:footnote w:id="2">
    <w:p w:rsidR="00071677" w:rsidRDefault="00071677">
      <w:pPr>
        <w:pStyle w:val="a5"/>
      </w:pPr>
      <w:r>
        <w:rPr>
          <w:rStyle w:val="a4"/>
        </w:rPr>
        <w:footnoteRef/>
      </w:r>
      <w:r>
        <w:t xml:space="preserve"> Власов П. Правоверный джинн. //  Эксперт. – 1998. – 17 августа. – C. 45.</w:t>
      </w:r>
    </w:p>
  </w:footnote>
  <w:footnote w:id="3">
    <w:p w:rsidR="00071677" w:rsidRDefault="00071677">
      <w:pPr>
        <w:pStyle w:val="a5"/>
      </w:pPr>
      <w:r>
        <w:rPr>
          <w:rStyle w:val="a4"/>
        </w:rPr>
        <w:footnoteRef/>
      </w:r>
      <w:r>
        <w:t xml:space="preserve"> Хаусхофер К. О геополитике. Работы разных лет. Панидеи в геополитике. – М.: Мысль, 2001. – С. 287.</w:t>
      </w:r>
    </w:p>
  </w:footnote>
  <w:footnote w:id="4">
    <w:p w:rsidR="00071677" w:rsidRDefault="00071677">
      <w:pPr>
        <w:pStyle w:val="a5"/>
      </w:pPr>
      <w:r>
        <w:rPr>
          <w:rStyle w:val="a4"/>
        </w:rPr>
        <w:footnoteRef/>
      </w:r>
      <w:r>
        <w:t xml:space="preserve"> </w:t>
      </w:r>
      <w:r>
        <w:rPr>
          <w:lang w:val="uk-UA"/>
        </w:rPr>
        <w:t>Модестов С. А. Геополитика ислама. – М.: Молодая гвардия, 2003. – С. 37.</w:t>
      </w:r>
    </w:p>
  </w:footnote>
  <w:footnote w:id="5">
    <w:p w:rsidR="00071677" w:rsidRDefault="00071677">
      <w:pPr>
        <w:pStyle w:val="a5"/>
        <w:rPr>
          <w:lang w:val="uk-UA"/>
        </w:rPr>
      </w:pPr>
      <w:r>
        <w:rPr>
          <w:rStyle w:val="a4"/>
        </w:rPr>
        <w:footnoteRef/>
      </w:r>
      <w:r>
        <w:rPr>
          <w:lang w:val="en"/>
        </w:rPr>
        <w:t xml:space="preserve">Ibid. </w:t>
      </w:r>
      <w:r>
        <w:rPr>
          <w:lang w:val="uk-UA"/>
        </w:rPr>
        <w:t xml:space="preserve">– С. 18. </w:t>
      </w:r>
    </w:p>
  </w:footnote>
  <w:footnote w:id="6">
    <w:p w:rsidR="00071677" w:rsidRDefault="00071677">
      <w:pPr>
        <w:pStyle w:val="a5"/>
        <w:rPr>
          <w:lang w:val="uk-UA"/>
        </w:rPr>
      </w:pPr>
      <w:r>
        <w:rPr>
          <w:rStyle w:val="a4"/>
        </w:rPr>
        <w:footnoteRef/>
      </w:r>
      <w:r>
        <w:rPr>
          <w:lang w:val="en"/>
        </w:rPr>
        <w:t xml:space="preserve"> </w:t>
      </w:r>
      <w:r>
        <w:rPr>
          <w:rStyle w:val="a4"/>
        </w:rPr>
        <w:footnoteRef/>
      </w:r>
      <w:r>
        <w:rPr>
          <w:lang w:val="en"/>
        </w:rPr>
        <w:t xml:space="preserve"> </w:t>
      </w:r>
      <w:r>
        <w:rPr>
          <w:sz w:val="18"/>
          <w:szCs w:val="29"/>
          <w:lang w:val="en"/>
        </w:rPr>
        <w:t>Robertson, Roland</w:t>
      </w:r>
      <w:r>
        <w:rPr>
          <w:sz w:val="18"/>
          <w:szCs w:val="29"/>
          <w:lang w:val="uk-UA"/>
        </w:rPr>
        <w:t>.</w:t>
      </w:r>
      <w:r>
        <w:rPr>
          <w:sz w:val="18"/>
          <w:szCs w:val="29"/>
          <w:lang w:val="en"/>
        </w:rPr>
        <w:t xml:space="preserve">  </w:t>
      </w:r>
      <w:r>
        <w:rPr>
          <w:sz w:val="18"/>
          <w:lang w:val="en"/>
        </w:rPr>
        <w:t xml:space="preserve">Comments on the "Global Triad" and "Glocalization" </w:t>
      </w:r>
      <w:r>
        <w:rPr>
          <w:sz w:val="18"/>
          <w:lang w:val="uk-UA"/>
        </w:rPr>
        <w:t xml:space="preserve">// </w:t>
      </w:r>
      <w:r>
        <w:rPr>
          <w:i/>
          <w:iCs/>
          <w:sz w:val="18"/>
          <w:lang w:val="en"/>
        </w:rPr>
        <w:t xml:space="preserve">Globalization and Indigenous Culture </w:t>
      </w:r>
      <w:r>
        <w:rPr>
          <w:sz w:val="18"/>
          <w:szCs w:val="19"/>
          <w:lang w:val="en"/>
        </w:rPr>
        <w:t xml:space="preserve">1997, 2001 Institute for Japanese Culture and Classics, </w:t>
      </w:r>
      <w:smartTag w:uri="urn:schemas-microsoft-com:office:smarttags" w:element="place">
        <w:smartTag w:uri="urn:schemas-microsoft-com:office:smarttags" w:element="PlaceName">
          <w:r>
            <w:rPr>
              <w:sz w:val="18"/>
              <w:szCs w:val="19"/>
              <w:lang w:val="en"/>
            </w:rPr>
            <w:t>Kokugakuin</w:t>
          </w:r>
        </w:smartTag>
        <w:r>
          <w:rPr>
            <w:sz w:val="18"/>
            <w:szCs w:val="19"/>
            <w:lang w:val="en"/>
          </w:rPr>
          <w:t xml:space="preserve"> </w:t>
        </w:r>
        <w:smartTag w:uri="urn:schemas-microsoft-com:office:smarttags" w:element="PlaceType">
          <w:r>
            <w:rPr>
              <w:sz w:val="18"/>
              <w:szCs w:val="19"/>
              <w:lang w:val="en"/>
            </w:rPr>
            <w:t>University</w:t>
          </w:r>
        </w:smartTag>
      </w:smartTag>
      <w:r>
        <w:rPr>
          <w:sz w:val="18"/>
          <w:szCs w:val="19"/>
          <w:lang w:val="en"/>
        </w:rPr>
        <w:t>.</w:t>
      </w:r>
    </w:p>
  </w:footnote>
  <w:footnote w:id="7">
    <w:p w:rsidR="00071677" w:rsidRDefault="00071677">
      <w:pPr>
        <w:pStyle w:val="a5"/>
        <w:rPr>
          <w:lang w:val="en"/>
        </w:rPr>
      </w:pPr>
      <w:r>
        <w:rPr>
          <w:rStyle w:val="a4"/>
        </w:rPr>
        <w:footnoteRef/>
      </w:r>
      <w:r>
        <w:rPr>
          <w:lang w:val="en"/>
        </w:rPr>
        <w:t xml:space="preserve"> Rosenau, James N. Distant Proximities: Dynamics Beyond Globalization. </w:t>
      </w:r>
      <w:smartTag w:uri="urn:schemas-microsoft-com:office:smarttags" w:element="place">
        <w:smartTag w:uri="urn:schemas-microsoft-com:office:smarttags" w:element="PlaceName">
          <w:r>
            <w:rPr>
              <w:lang w:val="en"/>
            </w:rPr>
            <w:t>Princeton</w:t>
          </w:r>
        </w:smartTag>
        <w:r>
          <w:rPr>
            <w:lang w:val="en"/>
          </w:rPr>
          <w:t xml:space="preserve"> </w:t>
        </w:r>
        <w:smartTag w:uri="urn:schemas-microsoft-com:office:smarttags" w:element="PlaceType">
          <w:r>
            <w:rPr>
              <w:lang w:val="en"/>
            </w:rPr>
            <w:t>University</w:t>
          </w:r>
        </w:smartTag>
      </w:smartTag>
      <w:r>
        <w:rPr>
          <w:lang w:val="en"/>
        </w:rPr>
        <w:t xml:space="preserve"> Press: 2003.</w:t>
      </w:r>
    </w:p>
  </w:footnote>
  <w:footnote w:id="8">
    <w:p w:rsidR="00071677" w:rsidRDefault="00071677">
      <w:pPr>
        <w:autoSpaceDE w:val="0"/>
        <w:autoSpaceDN w:val="0"/>
        <w:adjustRightInd w:val="0"/>
        <w:rPr>
          <w:sz w:val="18"/>
          <w:szCs w:val="18"/>
          <w:lang w:val="en"/>
        </w:rPr>
      </w:pPr>
      <w:r>
        <w:rPr>
          <w:rStyle w:val="a4"/>
        </w:rPr>
        <w:footnoteRef/>
      </w:r>
      <w:r>
        <w:rPr>
          <w:lang w:val="en"/>
        </w:rPr>
        <w:t xml:space="preserve"> </w:t>
      </w:r>
      <w:r>
        <w:rPr>
          <w:rFonts w:ascii="AGaramond-Regular" w:hAnsi="AGaramond-Regular"/>
          <w:sz w:val="18"/>
          <w:szCs w:val="18"/>
          <w:lang w:val="en"/>
        </w:rPr>
        <w:t>Ca</w:t>
      </w:r>
      <w:r>
        <w:rPr>
          <w:sz w:val="18"/>
          <w:szCs w:val="18"/>
          <w:lang w:val="en"/>
        </w:rPr>
        <w:t>stells, Manuel. 1997. The Power of Identity: The Information Age–Economy, Society and</w:t>
      </w:r>
    </w:p>
    <w:p w:rsidR="00071677" w:rsidRDefault="00071677">
      <w:pPr>
        <w:tabs>
          <w:tab w:val="left" w:pos="1080"/>
        </w:tabs>
        <w:rPr>
          <w:lang w:val="uk-UA"/>
        </w:rPr>
      </w:pPr>
      <w:r>
        <w:rPr>
          <w:sz w:val="18"/>
          <w:lang w:val="en"/>
        </w:rPr>
        <w:t xml:space="preserve">Culture. </w:t>
      </w:r>
      <w:smartTag w:uri="urn:schemas-microsoft-com:office:smarttags" w:element="City">
        <w:r>
          <w:rPr>
            <w:sz w:val="18"/>
            <w:lang w:val="en"/>
          </w:rPr>
          <w:t>Cambridge</w:t>
        </w:r>
      </w:smartTag>
      <w:r>
        <w:rPr>
          <w:sz w:val="18"/>
          <w:lang w:val="en"/>
        </w:rPr>
        <w:t xml:space="preserve">, </w:t>
      </w:r>
      <w:smartTag w:uri="urn:schemas-microsoft-com:office:smarttags" w:element="State">
        <w:r>
          <w:rPr>
            <w:sz w:val="18"/>
            <w:lang w:val="en"/>
          </w:rPr>
          <w:t>MA</w:t>
        </w:r>
      </w:smartTag>
      <w:r>
        <w:rPr>
          <w:sz w:val="18"/>
          <w:lang w:val="en"/>
        </w:rPr>
        <w:t xml:space="preserve"> &amp; </w:t>
      </w:r>
      <w:smartTag w:uri="urn:schemas-microsoft-com:office:smarttags" w:element="City">
        <w:smartTag w:uri="urn:schemas-microsoft-com:office:smarttags" w:element="place">
          <w:r>
            <w:rPr>
              <w:sz w:val="18"/>
              <w:lang w:val="en"/>
            </w:rPr>
            <w:t>Oxford</w:t>
          </w:r>
        </w:smartTag>
      </w:smartTag>
      <w:r>
        <w:rPr>
          <w:sz w:val="18"/>
          <w:lang w:val="en"/>
        </w:rPr>
        <w:t>: Blackwell.</w:t>
      </w:r>
    </w:p>
  </w:footnote>
  <w:footnote w:id="9">
    <w:p w:rsidR="00071677" w:rsidRDefault="00071677">
      <w:pPr>
        <w:autoSpaceDE w:val="0"/>
        <w:autoSpaceDN w:val="0"/>
        <w:adjustRightInd w:val="0"/>
        <w:rPr>
          <w:rFonts w:ascii="AGaramond-Italic" w:hAnsi="AGaramond-Italic"/>
          <w:sz w:val="18"/>
          <w:szCs w:val="22"/>
          <w:lang w:val="en"/>
        </w:rPr>
      </w:pPr>
      <w:r>
        <w:rPr>
          <w:rStyle w:val="a4"/>
        </w:rPr>
        <w:footnoteRef/>
      </w:r>
      <w:r>
        <w:rPr>
          <w:lang w:val="en"/>
        </w:rPr>
        <w:t xml:space="preserve"> </w:t>
      </w:r>
      <w:r>
        <w:rPr>
          <w:rFonts w:ascii="AGaramond-Regular" w:hAnsi="AGaramond-Regular"/>
          <w:sz w:val="18"/>
          <w:szCs w:val="22"/>
          <w:lang w:val="en"/>
        </w:rPr>
        <w:t>Merlyna Lim</w:t>
      </w:r>
      <w:r>
        <w:rPr>
          <w:sz w:val="18"/>
          <w:szCs w:val="22"/>
          <w:lang w:val="en"/>
        </w:rPr>
        <w:t>.</w:t>
      </w:r>
      <w:r>
        <w:rPr>
          <w:rFonts w:ascii="AGaramond-Italic" w:hAnsi="AGaramond-Italic"/>
          <w:i/>
          <w:iCs/>
          <w:sz w:val="18"/>
          <w:szCs w:val="22"/>
          <w:lang w:val="en"/>
        </w:rPr>
        <w:t xml:space="preserve"> </w:t>
      </w:r>
      <w:r>
        <w:rPr>
          <w:rFonts w:ascii="AGaramond-Italic" w:hAnsi="AGaramond-Italic"/>
          <w:sz w:val="18"/>
          <w:szCs w:val="22"/>
          <w:lang w:val="en"/>
        </w:rPr>
        <w:t xml:space="preserve">Islamic Radicalism and Anti-Americanism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Garamond-Italic" w:hAnsi="AGaramond-Italic"/>
              <w:sz w:val="18"/>
              <w:szCs w:val="22"/>
              <w:lang w:val="en"/>
            </w:rPr>
            <w:t>Indonesia</w:t>
          </w:r>
        </w:smartTag>
      </w:smartTag>
      <w:r>
        <w:rPr>
          <w:rFonts w:ascii="AGaramond-Italic" w:hAnsi="AGaramond-Italic"/>
          <w:sz w:val="18"/>
          <w:szCs w:val="22"/>
          <w:lang w:val="en"/>
        </w:rPr>
        <w:t>: The Role of the</w:t>
      </w:r>
    </w:p>
    <w:p w:rsidR="00071677" w:rsidRDefault="00071677">
      <w:pPr>
        <w:autoSpaceDE w:val="0"/>
        <w:autoSpaceDN w:val="0"/>
        <w:adjustRightInd w:val="0"/>
        <w:rPr>
          <w:sz w:val="18"/>
          <w:lang w:val="en"/>
        </w:rPr>
      </w:pPr>
      <w:r>
        <w:rPr>
          <w:sz w:val="18"/>
          <w:lang w:val="en"/>
        </w:rPr>
        <w:t xml:space="preserve">Internet. // Policy Studies 18. - </w:t>
      </w:r>
      <w:smartTag w:uri="urn:schemas-microsoft-com:office:smarttags" w:element="place">
        <w:smartTag w:uri="urn:schemas-microsoft-com:office:smarttags" w:element="City">
          <w:r>
            <w:rPr>
              <w:sz w:val="18"/>
              <w:szCs w:val="22"/>
              <w:lang w:val="en"/>
            </w:rPr>
            <w:t>East-West Center</w:t>
          </w:r>
        </w:smartTag>
        <w:r>
          <w:rPr>
            <w:sz w:val="18"/>
            <w:szCs w:val="22"/>
            <w:lang w:val="en"/>
          </w:rPr>
          <w:t xml:space="preserve"> </w:t>
        </w:r>
        <w:smartTag w:uri="urn:schemas-microsoft-com:office:smarttags" w:element="State">
          <w:r>
            <w:rPr>
              <w:sz w:val="18"/>
              <w:szCs w:val="22"/>
              <w:lang w:val="en"/>
            </w:rPr>
            <w:t>Washington</w:t>
          </w:r>
        </w:smartTag>
      </w:smartTag>
      <w:r>
        <w:rPr>
          <w:sz w:val="18"/>
          <w:szCs w:val="22"/>
          <w:lang w:val="en"/>
        </w:rPr>
        <w:t>, 2005</w:t>
      </w:r>
    </w:p>
  </w:footnote>
  <w:footnote w:id="10">
    <w:p w:rsidR="00071677" w:rsidRDefault="00071677">
      <w:pPr>
        <w:pStyle w:val="a5"/>
        <w:rPr>
          <w:lang w:val="en"/>
        </w:rPr>
      </w:pPr>
      <w:r>
        <w:rPr>
          <w:rStyle w:val="a4"/>
        </w:rPr>
        <w:footnoteRef/>
      </w:r>
      <w:r>
        <w:rPr>
          <w:lang w:val="en"/>
        </w:rPr>
        <w:t xml:space="preserve"> Boutaleb A. Information Policy in Islam. // Islam Today. </w:t>
      </w:r>
      <w:r>
        <w:t>Rabat</w:t>
      </w:r>
      <w:r>
        <w:rPr>
          <w:lang w:val="en"/>
        </w:rPr>
        <w:t xml:space="preserve">.  – 1986. - #4. – </w:t>
      </w:r>
      <w:r>
        <w:t>P</w:t>
      </w:r>
      <w:r>
        <w:rPr>
          <w:lang w:val="en"/>
        </w:rPr>
        <w:t xml:space="preserve">. 8-10. </w:t>
      </w:r>
    </w:p>
  </w:footnote>
  <w:footnote w:id="11">
    <w:p w:rsidR="00071677" w:rsidRDefault="00071677">
      <w:pPr>
        <w:pStyle w:val="a5"/>
      </w:pPr>
      <w:r>
        <w:rPr>
          <w:rStyle w:val="a4"/>
        </w:rPr>
        <w:footnoteRef/>
      </w:r>
      <w:r>
        <w:t xml:space="preserve"> Льюис Л. Что не так? Путь Запада и Ближнего Востока: прогресс и традиционализм. – М.: Олимп-бизнес, 2003. – С. 52-53, 161.  </w:t>
      </w:r>
    </w:p>
  </w:footnote>
  <w:footnote w:id="12">
    <w:p w:rsidR="00071677" w:rsidRDefault="00071677">
      <w:pPr>
        <w:pStyle w:val="a5"/>
        <w:rPr>
          <w:lang w:val="uk-UA"/>
        </w:rPr>
      </w:pPr>
      <w:r>
        <w:rPr>
          <w:rStyle w:val="a4"/>
        </w:rPr>
        <w:footnoteRef/>
      </w:r>
      <w:r>
        <w:t xml:space="preserve"> Закария Ф. Будущее свободы: нелиберальная демократия в США и за их пределами. – М.: Ладомир, 2004. – С. 152. </w:t>
      </w:r>
    </w:p>
  </w:footnote>
  <w:footnote w:id="13">
    <w:p w:rsidR="00071677" w:rsidRDefault="00071677">
      <w:pPr>
        <w:pStyle w:val="a5"/>
        <w:rPr>
          <w:lang w:val="uk-UA"/>
        </w:rPr>
      </w:pPr>
      <w:r>
        <w:rPr>
          <w:rStyle w:val="a4"/>
        </w:rPr>
        <w:footnoteRef/>
      </w:r>
      <w:r>
        <w:t xml:space="preserve"> </w:t>
      </w:r>
      <w:r>
        <w:rPr>
          <w:lang w:val="uk-UA"/>
        </w:rPr>
        <w:t xml:space="preserve">Модестов С. А.  Геополитика ислама. – М.: Молодая  гвардия, 2003. – С. 150-152. </w:t>
      </w:r>
    </w:p>
  </w:footnote>
  <w:footnote w:id="14">
    <w:p w:rsidR="00071677" w:rsidRDefault="00071677">
      <w:pPr>
        <w:pStyle w:val="a5"/>
        <w:rPr>
          <w:sz w:val="18"/>
          <w:lang w:val="en"/>
        </w:rPr>
      </w:pPr>
      <w:r>
        <w:rPr>
          <w:rStyle w:val="a4"/>
        </w:rPr>
        <w:footnoteRef/>
      </w:r>
      <w:r>
        <w:rPr>
          <w:lang w:val="en"/>
        </w:rPr>
        <w:t xml:space="preserve"> Resolution No.1/5 Inf (COMIAC) On The Islamic States Information Strategy.  – </w:t>
      </w:r>
      <w:smartTag w:uri="urn:schemas-microsoft-com:office:smarttags" w:element="City">
        <w:r>
          <w:rPr>
            <w:lang w:val="en"/>
          </w:rPr>
          <w:t>Dakar</w:t>
        </w:r>
      </w:smartTag>
      <w:r>
        <w:rPr>
          <w:lang w:val="en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lang w:val="en"/>
            </w:rPr>
            <w:t>Republic</w:t>
          </w:r>
        </w:smartTag>
        <w:r>
          <w:rPr>
            <w:lang w:val="en"/>
          </w:rPr>
          <w:t xml:space="preserve"> of </w:t>
        </w:r>
        <w:smartTag w:uri="urn:schemas-microsoft-com:office:smarttags" w:element="PlaceName">
          <w:r>
            <w:rPr>
              <w:lang w:val="en"/>
            </w:rPr>
            <w:t>Senegal</w:t>
          </w:r>
        </w:smartTag>
      </w:smartTag>
      <w:r>
        <w:rPr>
          <w:lang w:val="en"/>
        </w:rPr>
        <w:t>. – 1996 – March 27-28.</w:t>
      </w:r>
      <w:r>
        <w:rPr>
          <w:sz w:val="18"/>
          <w:lang w:val="en"/>
        </w:rPr>
        <w:t xml:space="preserve">  </w:t>
      </w:r>
    </w:p>
  </w:footnote>
  <w:footnote w:id="15">
    <w:p w:rsidR="00071677" w:rsidRDefault="00071677">
      <w:pPr>
        <w:spacing w:line="240" w:lineRule="atLeast"/>
        <w:rPr>
          <w:sz w:val="18"/>
          <w:lang w:val="en-GB"/>
        </w:rPr>
      </w:pPr>
      <w:r>
        <w:rPr>
          <w:rStyle w:val="a4"/>
        </w:rPr>
        <w:footnoteRef/>
      </w:r>
      <w:r>
        <w:rPr>
          <w:sz w:val="18"/>
          <w:lang w:val="en-GB"/>
        </w:rPr>
        <w:t xml:space="preserve"> </w:t>
      </w:r>
      <w:r>
        <w:rPr>
          <w:sz w:val="20"/>
          <w:lang w:val="en-GB"/>
        </w:rPr>
        <w:t xml:space="preserve">Bunt Gary R. Virtually Islamic: Computer Mediated Communication and Cyber Islamic Environments.  – </w:t>
      </w:r>
      <w:smartTag w:uri="urn:schemas-microsoft-com:office:smarttags" w:element="City">
        <w:r>
          <w:rPr>
            <w:sz w:val="20"/>
            <w:lang w:val="en-GB"/>
          </w:rPr>
          <w:t>Cardiff</w:t>
        </w:r>
      </w:smartTag>
      <w:r>
        <w:rPr>
          <w:sz w:val="20"/>
          <w:lang w:val="en-GB"/>
        </w:rPr>
        <w:t xml:space="preserve">: </w:t>
      </w:r>
      <w:smartTag w:uri="urn:schemas-microsoft-com:office:smarttags" w:element="place">
        <w:smartTag w:uri="urn:schemas-microsoft-com:office:smarttags" w:element="PlaceType">
          <w:r>
            <w:rPr>
              <w:sz w:val="20"/>
              <w:lang w:val="en-GB"/>
            </w:rPr>
            <w:t>University</w:t>
          </w:r>
        </w:smartTag>
        <w:r>
          <w:rPr>
            <w:sz w:val="20"/>
            <w:lang w:val="en-GB"/>
          </w:rPr>
          <w:t xml:space="preserve"> Of </w:t>
        </w:r>
        <w:smartTag w:uri="urn:schemas-microsoft-com:office:smarttags" w:element="PlaceName">
          <w:r>
            <w:rPr>
              <w:sz w:val="20"/>
              <w:lang w:val="en-GB"/>
            </w:rPr>
            <w:t>Wales</w:t>
          </w:r>
        </w:smartTag>
      </w:smartTag>
      <w:r>
        <w:rPr>
          <w:sz w:val="20"/>
          <w:lang w:val="en-GB"/>
        </w:rPr>
        <w:t xml:space="preserve"> Press, 2000. – P.48-49.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48E" w:rsidRDefault="0069448E" w:rsidP="0007167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9448E" w:rsidRDefault="0069448E" w:rsidP="0069448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48E" w:rsidRDefault="0069448E" w:rsidP="0007167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E2572">
      <w:rPr>
        <w:rStyle w:val="aa"/>
        <w:noProof/>
      </w:rPr>
      <w:t>2</w:t>
    </w:r>
    <w:r>
      <w:rPr>
        <w:rStyle w:val="aa"/>
      </w:rPr>
      <w:fldChar w:fldCharType="end"/>
    </w:r>
  </w:p>
  <w:p w:rsidR="0069448E" w:rsidRDefault="0069448E" w:rsidP="0069448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524E8"/>
    <w:multiLevelType w:val="hybridMultilevel"/>
    <w:tmpl w:val="D622677A"/>
    <w:lvl w:ilvl="0" w:tplc="1F6CE1E6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ECD4FA3"/>
    <w:multiLevelType w:val="hybridMultilevel"/>
    <w:tmpl w:val="A8044DE0"/>
    <w:lvl w:ilvl="0" w:tplc="FD10E3CC">
      <w:numFmt w:val="bullet"/>
      <w:lvlText w:val="-"/>
      <w:lvlJc w:val="left"/>
      <w:pPr>
        <w:tabs>
          <w:tab w:val="num" w:pos="2237"/>
        </w:tabs>
        <w:ind w:left="2237" w:hanging="13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48E"/>
    <w:rsid w:val="00071677"/>
    <w:rsid w:val="000758C9"/>
    <w:rsid w:val="001E7F75"/>
    <w:rsid w:val="00276F7E"/>
    <w:rsid w:val="003A5EA3"/>
    <w:rsid w:val="0069448E"/>
    <w:rsid w:val="00876E8E"/>
    <w:rsid w:val="00E602C1"/>
    <w:rsid w:val="00E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F040F-29AA-44E2-A229-90644DD6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color w:val="00000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footnote text"/>
    <w:basedOn w:val="a"/>
    <w:semiHidden/>
    <w:rPr>
      <w:sz w:val="20"/>
      <w:szCs w:val="20"/>
    </w:rPr>
  </w:style>
  <w:style w:type="paragraph" w:styleId="a6">
    <w:name w:val="Body Text"/>
    <w:basedOn w:val="a"/>
    <w:pP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styleId="a7">
    <w:name w:val="Body Text Indent"/>
    <w:basedOn w:val="a"/>
    <w:pPr>
      <w:ind w:firstLine="720"/>
    </w:pPr>
    <w:rPr>
      <w:rFonts w:ascii="Tahoma" w:hAnsi="Tahoma" w:cs="Tahoma"/>
      <w:sz w:val="18"/>
      <w:szCs w:val="18"/>
    </w:rPr>
  </w:style>
  <w:style w:type="character" w:styleId="a8">
    <w:name w:val="Emphasis"/>
    <w:basedOn w:val="a0"/>
    <w:qFormat/>
    <w:rPr>
      <w:i/>
      <w:iCs/>
    </w:rPr>
  </w:style>
  <w:style w:type="paragraph" w:styleId="2">
    <w:name w:val="Body Text Indent 2"/>
    <w:basedOn w:val="a"/>
    <w:pPr>
      <w:ind w:firstLine="900"/>
      <w:jc w:val="both"/>
    </w:pPr>
    <w:rPr>
      <w:lang w:val="uk-UA"/>
    </w:rPr>
  </w:style>
  <w:style w:type="paragraph" w:styleId="3">
    <w:name w:val="Body Text Indent 3"/>
    <w:basedOn w:val="a"/>
    <w:pPr>
      <w:spacing w:line="360" w:lineRule="auto"/>
      <w:ind w:left="902"/>
      <w:jc w:val="both"/>
    </w:pPr>
    <w:rPr>
      <w:sz w:val="28"/>
    </w:rPr>
  </w:style>
  <w:style w:type="paragraph" w:styleId="a9">
    <w:name w:val="header"/>
    <w:basedOn w:val="a"/>
    <w:rsid w:val="0069448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Геополитические концепции мусульманских стран и их информационно-пропагандистское обеспечение</vt:lpstr>
    </vt:vector>
  </TitlesOfParts>
  <Company>Computer &amp; Company</Company>
  <LinksUpToDate>false</LinksUpToDate>
  <CharactersWithSpaces>16473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Геополитические концепции мусульманских стран и их информационно-пропагандистское обеспечение</dc:title>
  <dc:subject/>
  <dc:creator>Соломія Зінько</dc:creator>
  <cp:keywords/>
  <dc:description/>
  <cp:lastModifiedBy>admin</cp:lastModifiedBy>
  <cp:revision>2</cp:revision>
  <dcterms:created xsi:type="dcterms:W3CDTF">2014-03-29T01:27:00Z</dcterms:created>
  <dcterms:modified xsi:type="dcterms:W3CDTF">2014-03-29T01:27:00Z</dcterms:modified>
</cp:coreProperties>
</file>