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6" w:rsidRDefault="00A43DF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br/>
      </w:r>
      <w:r>
        <w:br/>
      </w:r>
    </w:p>
    <w:p w:rsidR="00550466" w:rsidRDefault="00A43DF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50466" w:rsidRDefault="00A43DF2">
      <w:pPr>
        <w:pStyle w:val="a3"/>
      </w:pPr>
      <w:r>
        <w:t>Геро I Железный (нем. </w:t>
      </w:r>
      <w:r>
        <w:rPr>
          <w:i/>
          <w:iCs/>
        </w:rPr>
        <w:t>Gero</w:t>
      </w:r>
      <w:r>
        <w:t>, ок. 900—20 мая 965) — маркграф Восточной Саксонской марки с 937, сын графа Титмара (ок. 850—932/937) и Хильдегарды Мерзебургской</w:t>
      </w:r>
    </w:p>
    <w:p w:rsidR="00550466" w:rsidRDefault="00A43DF2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550466" w:rsidRDefault="00A43DF2">
      <w:pPr>
        <w:pStyle w:val="a3"/>
      </w:pPr>
      <w:r>
        <w:t>Геро при жизни старшего брата Зигфрида был графом в Северной Тюрингии (в районе Магдебурга), Швабии (в районе Кведлинбурга / Ашерлебена), Хассегау (район Мерзебурга / Эйслебена), Фризонофельде, Морацанигау (район Флеминга), Серимунте (район Бернбурга/Дессау) и Цитцигау (район Делитша/Биттерфельда). После смерти брата он в 937 году получил от императора Оттона I наместничество («легацию») с резиденцией в Магдебурге, которое вскоре преобразовалось в Восточную Саксонскую марку. Его владения располагались от реки Зале и среднего течения Эльбы до реки Одер. Назначение Геро послужило непосредственной причиной мятежа в 938 году Танкмара (ум. 938), старшего сводного брата императора Оттона, ожидавшего получить эти земли как материнское наследство.</w:t>
      </w:r>
    </w:p>
    <w:p w:rsidR="00550466" w:rsidRDefault="00A43DF2">
      <w:pPr>
        <w:pStyle w:val="a3"/>
      </w:pPr>
      <w:r>
        <w:t>Геро вместе с маркграфом Германом Биллунгом был одной из главных опор императора Оттона I на востоке Германии. В 954 году он помог императору подавить восстание герцога Людольфа. В ходе восточной экспансии или, как ее впоследствии назвали, "натиска на Восток", Геро подчинил много славянских земель на восточной границе Саксонии, вплоть до Одера, значительно расширив владения, сдерживал нападения вендов, а в 962/963 году даже предпринял поход в Польшу. В 962/963 году Геро также подчинил Нижний Лаузиц (Лужица) и Сельпули. Геро основал в завоеванных землях епископства Хавельберг и Бранденбург, фактически являясь их правителем. Сопротивление славянских племен вылилось в 939 и 955 годах в массовые восстания. При столкновении с войском славян в 963 году в Нижних Лужицах саксонские феодалы понесли ощутимые потери, сам Геро был тяжело ранен и после этого отошел от политики. Незадолго до смерти предпринял паломничество в Рим.</w:t>
      </w:r>
    </w:p>
    <w:p w:rsidR="00550466" w:rsidRDefault="00A43DF2">
      <w:pPr>
        <w:pStyle w:val="a3"/>
      </w:pPr>
      <w:r>
        <w:t>После его смерти в 965 году разросшаяся марка Геро была разделена на Северную марку (Nordmark) вокруг Бранденбурга, Восточную (Ostmark) или Лужицкую (Lausitz) марку и марку в устье Зале, просуществовавшую лишь короткое время, а также маркграфские округа в Мерзебурге, Цайце и Мейсене. Поскольку германизация этих земель шла быстрыми темпами, преемники Оттона вскоре упростили эту марковую систему, сократив число маркграфств с шести, существовавших в конце правления Оттона, до трех: прежней Северной марки, Саксонской марки (идентичной марке Лаузиц) и Мейсенской (Meissen) марки.</w:t>
      </w:r>
    </w:p>
    <w:p w:rsidR="00550466" w:rsidRDefault="00A43DF2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550466" w:rsidRDefault="00A43DF2">
      <w:pPr>
        <w:pStyle w:val="a3"/>
        <w:rPr>
          <w:b/>
          <w:bCs/>
        </w:rPr>
      </w:pPr>
      <w:r>
        <w:t xml:space="preserve">Жена: </w:t>
      </w:r>
      <w:r>
        <w:rPr>
          <w:b/>
          <w:bCs/>
        </w:rPr>
        <w:t>Юдит</w:t>
      </w:r>
    </w:p>
    <w:p w:rsidR="00550466" w:rsidRDefault="00A43DF2">
      <w:pPr>
        <w:pStyle w:val="a3"/>
      </w:pPr>
      <w:r>
        <w:t>Дети</w:t>
      </w:r>
    </w:p>
    <w:p w:rsidR="00550466" w:rsidRDefault="00A43DF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Зигфрид</w:t>
      </w:r>
      <w:r>
        <w:t xml:space="preserve"> (925/930—24 июня 959) — граф в Северной Тюрингии</w:t>
      </w:r>
    </w:p>
    <w:p w:rsidR="00550466" w:rsidRDefault="00A43DF2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Геро</w:t>
      </w:r>
      <w:r>
        <w:t xml:space="preserve"> (930/935—ранее 16 октября 959)</w:t>
      </w:r>
    </w:p>
    <w:p w:rsidR="00550466" w:rsidRDefault="00A43DF2">
      <w:pPr>
        <w:pStyle w:val="a3"/>
        <w:rPr>
          <w:b/>
          <w:bCs/>
        </w:rPr>
      </w:pPr>
      <w:r>
        <w:rPr>
          <w:b/>
          <w:bCs/>
        </w:rPr>
        <w:t>Первоисточники</w:t>
      </w:r>
    </w:p>
    <w:p w:rsidR="00550466" w:rsidRDefault="00A43DF2">
      <w:pPr>
        <w:pStyle w:val="a3"/>
        <w:numPr>
          <w:ilvl w:val="0"/>
          <w:numId w:val="3"/>
        </w:numPr>
        <w:tabs>
          <w:tab w:val="left" w:pos="707"/>
        </w:tabs>
      </w:pPr>
      <w:r>
        <w:t xml:space="preserve">Саксонский анналист. Хроника (745—1039 гг.). </w:t>
      </w:r>
    </w:p>
    <w:p w:rsidR="00550466" w:rsidRDefault="00A43DF2">
      <w:pPr>
        <w:pStyle w:val="21"/>
        <w:numPr>
          <w:ilvl w:val="0"/>
          <w:numId w:val="0"/>
        </w:numPr>
      </w:pPr>
      <w:r>
        <w:t>Литература</w:t>
      </w:r>
    </w:p>
    <w:p w:rsidR="00550466" w:rsidRDefault="00A43DF2">
      <w:pPr>
        <w:pStyle w:val="a3"/>
      </w:pPr>
      <w:r>
        <w:t>Первоисточники</w:t>
      </w:r>
    </w:p>
    <w:p w:rsidR="00550466" w:rsidRDefault="00A43DF2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Титмар Мерзебургский.</w:t>
      </w:r>
      <w:r>
        <w:t xml:space="preserve"> Хроника / Пер. с лат. И. В. Дьяконова. — 2-е издание, исправленное. — М.: SPSL — «Русская панорама», 2009. — 254 с. — (MEDIÆVALIA: средневековые литературные памятники и источники). — 1 500 экз. — ISBN 978-5-93165-222-1</w:t>
      </w:r>
    </w:p>
    <w:p w:rsidR="00550466" w:rsidRDefault="00A43DF2">
      <w:pPr>
        <w:pStyle w:val="a3"/>
      </w:pPr>
      <w:r>
        <w:t>Исследования</w:t>
      </w:r>
    </w:p>
    <w:p w:rsidR="00550466" w:rsidRDefault="00A43DF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Балакин В. Д.</w:t>
      </w:r>
      <w:r>
        <w:t xml:space="preserve"> Творцы Священной Римской империи. — М.: Молодая гвардия, 2004. — 356 с. — (Жизнь замечательных людей: Серия биографий; Вып. 1095 (895)). — 5000 экз. — ISBN 5-235-02660-8</w:t>
      </w:r>
    </w:p>
    <w:p w:rsidR="00550466" w:rsidRDefault="00A43DF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Бульст-Тиле Мария Луиза, Йордан Карл, Флекенштейн Йозеф.</w:t>
      </w:r>
      <w:r>
        <w:t xml:space="preserve"> Священная Римская империя: эпоха становления / Пер. с нем. Дробинской К.Л., Неборской Л.Н. под редакцией Ермаченко И.О. — СПб.: Евразия, 2008. — 480 с. — 1000 экз. — ISBN 978-5-8071-310-9</w:t>
      </w:r>
    </w:p>
    <w:p w:rsidR="00550466" w:rsidRDefault="00A43DF2">
      <w:pPr>
        <w:pStyle w:val="a3"/>
        <w:spacing w:after="0"/>
      </w:pPr>
      <w:r>
        <w:t>Источник: http://ru.wikipedia.org/wiki/Геро_I_Железный</w:t>
      </w:r>
      <w:bookmarkStart w:id="0" w:name="_GoBack"/>
      <w:bookmarkEnd w:id="0"/>
    </w:p>
    <w:sectPr w:rsidR="0055046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DF2"/>
    <w:rsid w:val="00550466"/>
    <w:rsid w:val="00A43DF2"/>
    <w:rsid w:val="00D1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398B-FBA7-4BE7-AAF3-6A8A3E59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2014-04-15T19:49:00Z</dcterms:created>
  <dcterms:modified xsi:type="dcterms:W3CDTF">2014-04-15T19:49:00Z</dcterms:modified>
</cp:coreProperties>
</file>