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D5" w:rsidRPr="003B1BE5" w:rsidRDefault="00A514D5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B1BE5">
        <w:rPr>
          <w:b/>
          <w:sz w:val="28"/>
          <w:szCs w:val="28"/>
        </w:rPr>
        <w:t>С</w:t>
      </w:r>
      <w:r w:rsidR="003B1BE5" w:rsidRPr="003B1BE5">
        <w:rPr>
          <w:b/>
          <w:sz w:val="28"/>
          <w:szCs w:val="28"/>
        </w:rPr>
        <w:t>одержание</w:t>
      </w:r>
    </w:p>
    <w:p w:rsidR="00A514D5" w:rsidRPr="003B1BE5" w:rsidRDefault="00A514D5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1.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Анализ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состояния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(внешнее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окружение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ресурсов)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2.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Краткая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характеристика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3.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пути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4.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Список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литературы</w:t>
      </w:r>
    </w:p>
    <w:p w:rsidR="00A514D5" w:rsidRPr="003B1BE5" w:rsidRDefault="00A514D5" w:rsidP="003B1BE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A3AB1" w:rsidRPr="003B1BE5" w:rsidRDefault="003B1BE5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1.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Анализ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состояния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и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развития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жилищно-коммунального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хозяйства</w:t>
      </w:r>
      <w:r w:rsidR="00895C47">
        <w:rPr>
          <w:b/>
          <w:sz w:val="28"/>
          <w:szCs w:val="28"/>
        </w:rPr>
        <w:t xml:space="preserve"> </w:t>
      </w:r>
      <w:r w:rsidR="00A514D5" w:rsidRPr="003B1BE5">
        <w:rPr>
          <w:b/>
          <w:sz w:val="28"/>
          <w:szCs w:val="28"/>
        </w:rPr>
        <w:t>Екатеринбурга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(внешнее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окружение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сферы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учета</w:t>
      </w:r>
      <w:r w:rsidR="00895C47">
        <w:rPr>
          <w:b/>
          <w:sz w:val="28"/>
          <w:szCs w:val="28"/>
        </w:rPr>
        <w:t xml:space="preserve"> </w:t>
      </w:r>
      <w:r w:rsidR="008A3AB1" w:rsidRPr="003B1BE5">
        <w:rPr>
          <w:b/>
          <w:sz w:val="28"/>
          <w:szCs w:val="28"/>
        </w:rPr>
        <w:t>ресурсов)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Основные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составляют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30%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страны.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Они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оцениваются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остаточной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балансовой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стоимости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4,8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трлн.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руб.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рынке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работают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52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тыс.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4,2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занятых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работников.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Нормативная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годовая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г.г.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составила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400,0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млрд.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руб.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Жилищный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обслуживаемый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оценивается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среднерыночным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150,0-300,0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трлн.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руб.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Основная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масса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67%)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находится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граждан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24%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образований.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Функции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разделены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путем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служб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Службами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охвачено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практически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100%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территории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где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рынка.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Частные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появились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только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вновь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построенном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энергоэффективном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старом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фонде.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Договоры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техническое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50%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многоквартирных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домов.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Создано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800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товариществ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288)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функционирует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000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жилищно-строительных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кооперативов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471),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самостоятельно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своим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жильем.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Уровень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оплаты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стоимости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прошедшие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возрос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58%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2001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81,5%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Продолжается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демонополизации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комплексе.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25%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водо-,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тепло-,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электроснабжения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смешанную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совместной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участием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иностранного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капитала,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13%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теплоисточников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принадлежит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четверти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отпускаемого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приходится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Реформа,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выбранной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подпрограмме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«Реформирование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модернизация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стратегией,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нацелена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высокой,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неоправданной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затратности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эффективности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страны.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Меры,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принимаемые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открывают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дорогу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бизнесу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инвестициям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деятельности.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настоящее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коренного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улучшения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положения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отрасли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привлечение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внебюджетных,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долгосрочных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заемных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средств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совершенствование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регулирования.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помещений,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независимо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получали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единый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набор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единым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нормативам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тарифам.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Проблемы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модернизации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отрасли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заключаются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партнерстве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власти,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бизнеса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(потребителей):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создание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инвестиционной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привлекательности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рисков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участия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бизнеса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совершенствование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механизмов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регулирования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стабилизации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перехода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затратного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механизма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стимулирующему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принципу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содержания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отрасли.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концепции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положен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ряд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принципов,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рыночным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именно: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должен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выбора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поставщика;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ответственность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поставщиков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(правовая,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экономическая)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предоставляемых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исходя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обоснованных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потребностей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рынке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информированность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рынке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разработка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минимального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стандарта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оплата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учитываемых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8A3AB1" w:rsidRPr="003B1BE5" w:rsidRDefault="008A3AB1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B1BE5">
        <w:rPr>
          <w:b/>
          <w:sz w:val="28"/>
          <w:szCs w:val="28"/>
        </w:rPr>
        <w:t>2.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Краткая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характеристика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жилищно-коммунального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хозяйства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г.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Екатеринбурга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Жилищно-коммунальное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совокупность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bCs/>
          <w:sz w:val="28"/>
          <w:szCs w:val="28"/>
        </w:rPr>
        <w:t>жизнеобеспечения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инженерной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представляющих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тепло-,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электро-,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газо-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канализации,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санитарной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очистки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сервиса,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хозяйством.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Основными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задачами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функционирования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надежное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достаточном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электрической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газом,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стабильное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функционирование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канализации,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устойчивая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жилищно-сервисных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служб,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специализированных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Система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гидроузла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производительностью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660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тыс.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куб.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сутки,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266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водопроводных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станций,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протяженность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водопровода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1725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находящихся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70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процентов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амортизировано.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Система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канализации: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протяженность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1450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насосных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станций.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Согласно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«Генеральному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округа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образования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«город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период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2025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года»,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водохозяйственный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баланс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2015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застройки,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централизованных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источников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теплоснабжения,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соцкультбыта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коммунально-бытовых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планируется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положительный,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запасом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куб.м/год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мощности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существующих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источников.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2015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планируется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водопотребления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232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220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завышенного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водопотребления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150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132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должно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произойти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сокращения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потерь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сетях,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поквартирного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гражданами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Одновременно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предполагается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уменьшение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подачи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исходной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промышленные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увеличения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водооборота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повторного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технической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проходить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увеличение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водопотребления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соцкультбыта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коммунально-бытовых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существующего.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Планируется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забора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327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т.ч.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поверхностных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источников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301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279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планируется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скважин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увеличить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забор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подземных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источников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Ключевым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водоотведения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ЕМУП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«Водоканал».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подготавливаемой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питьевой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высоким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требованиям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надежности.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Однако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техническое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состояние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разводящих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потребительских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секторе)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позволяет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говорить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надлежащем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питьевой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качественного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бесперебойного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канализации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продолжать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реализацию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мероприятий,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связанных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с: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оптимизацией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гидравлических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режимов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планово-предупредительных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ремонтов;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питьевой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посредством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санации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замены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существующих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реконструкцией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насосных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канализации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современных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насосов.</w:t>
      </w:r>
      <w:r w:rsidRPr="003B1BE5">
        <w:rPr>
          <w:sz w:val="28"/>
          <w:szCs w:val="28"/>
        </w:rPr>
        <w:tab/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Являясь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крупным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энергетических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ресурсов,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менее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испытывает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острую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срочной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модернизации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своего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направлении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эффективности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энергоресурсов,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Принятый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«Генеральный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округа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образования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«город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период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2025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определяет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одним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факторов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производственного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(85%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потребления)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30-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40%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уровня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настоящее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отопление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составляет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0,24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Гкал/кв.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Стратегическим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показатель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2015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должен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быть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снижен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0.19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Гкал/кв.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энергоносители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актуальность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проблемы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энергоресурсов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непрерывно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повышается.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Снижение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энергоресурсов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натуральных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показателях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позволит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снизить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стоимость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перекладке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трубопроводов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существующей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пропускной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способности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трубопроводов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без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перекладки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большие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диаметры.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Сложившаяся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схема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водоснабжением)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отоплением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зданий</w:t>
      </w:r>
      <w:r w:rsidR="00895C47">
        <w:rPr>
          <w:sz w:val="28"/>
          <w:szCs w:val="28"/>
        </w:rPr>
        <w:t xml:space="preserve">  </w:t>
      </w:r>
      <w:r w:rsidRPr="003B1BE5">
        <w:rPr>
          <w:sz w:val="28"/>
          <w:szCs w:val="28"/>
        </w:rPr>
        <w:t>формировалась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без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подомовых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поквартирных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настоящее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поставляемых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энергоресурсов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организован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следующим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образом: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теплоснабжение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102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теплоисточников,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установками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коммерческого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(УКУТ);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границах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балансовой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принадлежности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(например,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ОАО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«ТГК-9»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ЕМУП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«Екатеринбургэнерго»)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установлены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технологические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узлы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количестве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275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шт.;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установлено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порядка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1800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УКУТ;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холодному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организован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порядка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95%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фонда;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данным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ЕМУП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«ЕРЦ»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оплата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показаниям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поквартирных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владельцами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19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тыс.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квартир,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установлено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4,5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тыс.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Холодное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зданий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экономические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интересы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согласованы.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Отсутствует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подход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подомовых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вводах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отопления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существующих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домах.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необоснованное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отнесение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затрат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потерям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ЦТП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зданий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фондом.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Балансовая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принадлежность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участникам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(поставщикам,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потребителям,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компаниям,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сферы)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отрицательно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влияет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рабочее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состояние,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порядок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сбор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представление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учета.</w:t>
      </w:r>
      <w:r w:rsidR="00895C47">
        <w:rPr>
          <w:sz w:val="28"/>
          <w:szCs w:val="28"/>
        </w:rPr>
        <w:t xml:space="preserve"> 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показывает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опыт,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проведении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мероприятий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сокращению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нерациональных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помещениях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переходе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жителями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фактическое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водопотребление,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исходя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показаний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счетчиков,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платит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меньше,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утвержденным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нормативным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ставкам.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принятым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апреля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1996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Федеральным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законом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«Об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энергосбережении»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28-ФЗ,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начиная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отпуск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всех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видов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учета.</w:t>
      </w:r>
    </w:p>
    <w:p w:rsidR="008A3AB1" w:rsidRPr="003B1BE5" w:rsidRDefault="008A3AB1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Общее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(холодной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горячей)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составляет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240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170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куб.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Потери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водоснабжения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(непроизводительные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утечки)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составляют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70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млн.куб.м</w:t>
      </w:r>
      <w:r w:rsidR="00895C47">
        <w:rPr>
          <w:sz w:val="28"/>
          <w:szCs w:val="28"/>
        </w:rPr>
        <w:t xml:space="preserve"> 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год.</w:t>
      </w:r>
      <w:r w:rsidR="00895C47">
        <w:rPr>
          <w:sz w:val="28"/>
          <w:szCs w:val="28"/>
        </w:rPr>
        <w:t xml:space="preserve"> </w:t>
      </w:r>
    </w:p>
    <w:p w:rsidR="005E0149" w:rsidRPr="003B1BE5" w:rsidRDefault="005E0149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247278" w:rsidRPr="003B1BE5" w:rsidRDefault="00247278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B1BE5">
        <w:rPr>
          <w:b/>
          <w:sz w:val="28"/>
          <w:szCs w:val="28"/>
        </w:rPr>
        <w:t>3.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Основные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пути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реформирования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жилищно-коммунального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хозяйства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Важнейшим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элементом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должно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конкурентной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среды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позволит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выбирать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организацию,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уровень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наиболее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низким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ценам.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преодоления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негативных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последствий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монопольного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доминирующего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положения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технологически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обусловленного)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путем: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произведенные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потребленные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применения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санкций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нарушение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обязательств;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привлечения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равноправной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оказания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Контроль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наличием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соблюдением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производителями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надзор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состоянием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государственного,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указанных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выполнением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обязательных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обеспечивающих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экологическую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безопасность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могут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осуществляться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государственной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инспекции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Необходимой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предпосылкой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демонополизация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деятельности,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возможно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относятся: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привлечение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альтернативные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автономные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жизнеобеспечения,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связанные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инженерной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(крышные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котельные,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газоснабжение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емкостного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баллонного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другие);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выполнение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отдельных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(ремонт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прочистка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уборка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мусора,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лифтового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подобное);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проектно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изыскательские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Органам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целесообразно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ускорить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разгосударствления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функционирующих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равноправие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организационно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конкурсной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основе.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действия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естественных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монополий,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связанных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сложившейся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применять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дополнительные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методы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антимонопольного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воздействия.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связи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исполнительной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власти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через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службы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государственную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инспекцию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рекомендуется: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осуществлять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контроль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путем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введения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оценки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объективности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затрат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естественных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монополистов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прибыли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участие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региональных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энергетических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комиссий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всех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заинтересованных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сторон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(органы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защите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антимонопольные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другие)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установлении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поставщиков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топливно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энергетического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повышать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организационно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правовую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экономическую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независимость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перехода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контролировать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рамках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гарантированного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уровне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стандартов;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способствовать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внедрению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приборов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индивидуального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регулирования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энергоресурсов.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Ключевой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проблемой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этапа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совершенствование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обусловленное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появлением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организационно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Появление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видов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обусловлено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потребностями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методах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инвестирования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ограниченности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бюджетных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средств.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наряду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диалогом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«заказчик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подрядчик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(предприятие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хозяйства)»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формируются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сложные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многосторонние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взаимоотношения,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участниками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являются: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инвестиционные,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эксплуатационные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финансирование,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строительство,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содержание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ими;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собственники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представляющие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компании;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потребители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владельцы,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наниматели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арендаторы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помещений,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товарищества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Следует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виду,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направлено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самостоятельности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ответственности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обеспечивающих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непосредственное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имеющих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правовые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возможности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только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текущей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эксплуатационной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деятельности,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решении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указанных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проблем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особое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внимание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уделить: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проведению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преобразований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ценообразования,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направленных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эффективного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функционирования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формированию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структур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(службы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товарищества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другие),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представляющих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интересы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всех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защищающих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введению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всех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этапах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включая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домовладельца,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производителя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потребителя;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завершению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передачи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ведомственных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могут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быть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положены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рациональное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разделение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взаимоотношений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домовладельцем,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инженерной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органом,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уполномоченным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государственный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контроль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предоставлением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сохранностью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независимо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принадлежности.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выборе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варианта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целесообразно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руководствоваться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принципом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домовладельцу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решать,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принадлежащую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недвижимость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ею.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Органам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стремиться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формированию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территории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образования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единой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политики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Подрядные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несут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ответственность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соблюдение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нормативно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технических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требований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содержанию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эффективное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использование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ограниченных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ресурсов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качественном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надежном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сохранности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Основные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подотраслей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целесообразно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подразделять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две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группы.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Одна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(так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называемые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технологические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фонды)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включает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инженерную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сети,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котельные,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насосные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станции,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очистные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сооружения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Вторая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(производственные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фонды)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состоит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обеспечивающих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группы.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Сюда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входят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гаражи,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мастерские,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производственные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здания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Собственник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передавать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хозяйственное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ведение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оперативное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подрядчикам.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Объекты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обслуживаются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акционерными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обществами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сохранении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контрольного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пакета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акций.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акционировании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необходимо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учитывать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порядок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приватизации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производственной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технологической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фондов.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Организации,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специализирующиеся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помимо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прочего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рациональное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распределение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ресурсов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производителями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Собственник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домовладелец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выполнять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либо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нанять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специализированную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организацию,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быть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(служба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заказчика),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стороннюю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организацию,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частную.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поручению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сбор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платежей,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контроль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исполнением,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найма.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Функцией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обслуживающей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является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своевременное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качественное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выполнение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оговоренных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Муниципальные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самостоятельные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жестко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закреплять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соответствующей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территориальной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единицей.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позволит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стимулировать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только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компаниями,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целесообразно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частных,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(предоставление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нежилых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помещений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без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взимания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арендной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платы,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равные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служебной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площади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подобное).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Службы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выполняют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роль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(товарищество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жилищно-строительные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кооперативы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подобное)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может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быть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нанята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специализированная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привлекающая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условиях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ремонтно-эксплуатационные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Подрядные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освобождаются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несвойственных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регистрационно-учетных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паспортно-учетной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работы,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сбора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платежей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оформления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льгот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субсидий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других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социального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Объекты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могут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обслуживаться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различных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форм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наличии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лицензии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инженерной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инфраструктуры.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небольших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пунктах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заказчика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содержанию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целесообразно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осуществлять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подразделению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местного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самоуправления,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заключает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содержание,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техническую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эксплуатацию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указанных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новом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этапе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система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включает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себя: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объектов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назначения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(включая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обслуживание),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заключаемый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числе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конкурсной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основе;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нанимателем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(владельцем)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помещения;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хозяйствующими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субъектами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(например,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водо-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теплоснабжающими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организациями);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предоставляющими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потребителями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E0149" w:rsidRPr="003B1BE5" w:rsidRDefault="00247278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B1BE5">
        <w:rPr>
          <w:b/>
          <w:sz w:val="28"/>
          <w:szCs w:val="28"/>
        </w:rPr>
        <w:t>4.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Ход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жилищно-коммунальной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реформы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г.</w:t>
      </w:r>
      <w:r w:rsidR="00895C47">
        <w:rPr>
          <w:b/>
          <w:sz w:val="28"/>
          <w:szCs w:val="28"/>
        </w:rPr>
        <w:t xml:space="preserve"> </w:t>
      </w:r>
      <w:r w:rsidRPr="003B1BE5">
        <w:rPr>
          <w:b/>
          <w:sz w:val="28"/>
          <w:szCs w:val="28"/>
        </w:rPr>
        <w:t>Екатеринбурга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Первый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этап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завершится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когда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сфера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демонополизирована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открыта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конкуренции.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крупных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районных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РЭМПов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предполагается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выделить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самостоятельные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окончательно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разделены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начнут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подбираться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исключительно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конкурсном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порядке.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Тогда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стартует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процесс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приватизации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муниципальных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Районным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управлениям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переданы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функции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инспекций,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следят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чтобы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подрядчики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ущемляли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интересов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населения.</w:t>
      </w:r>
      <w:r w:rsidR="00895C47">
        <w:rPr>
          <w:sz w:val="28"/>
          <w:szCs w:val="28"/>
        </w:rPr>
        <w:t xml:space="preserve"> 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Изменятся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населения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подрядчиками.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Так,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текст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типового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оказание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предполагается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включить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описание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механизма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общего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имущества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Частичную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ответственность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имущество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будут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сами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жители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дома.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Оплату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услуги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будет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собирать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единый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центр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(ЕРЦ)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непосредственно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поручению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администрации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города.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Практика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товариществ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собственников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(ТСЖ)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кондоминиумов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получит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широкое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развитие,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причем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власти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намерены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всячески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способствовать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созданию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объединений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ТСЖ.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Стоит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отметить,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настоящее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действует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230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ТСЖ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жилищно-строительных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кооперативов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(ЖСК),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предполагается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трансформировать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ТСЖ.</w:t>
      </w:r>
      <w:r w:rsidR="00895C47">
        <w:rPr>
          <w:sz w:val="28"/>
          <w:szCs w:val="28"/>
        </w:rPr>
        <w:t xml:space="preserve"> </w:t>
      </w:r>
    </w:p>
    <w:p w:rsidR="00247278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Жилищным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настоящее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время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11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управляющих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компаний,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ведении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которых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находится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12,96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миллиона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квадратных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метров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жилья.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Упомянутыми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компаниями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заключены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договора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обслуживание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фонда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29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подрядными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организациями.</w:t>
      </w:r>
    </w:p>
    <w:p w:rsidR="003B1BE5" w:rsidRDefault="003B1BE5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C05D87" w:rsidRPr="003B1BE5" w:rsidRDefault="003B1BE5" w:rsidP="003B1BE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7278" w:rsidRPr="003B1BE5">
        <w:rPr>
          <w:b/>
          <w:sz w:val="28"/>
          <w:szCs w:val="28"/>
        </w:rPr>
        <w:t>Список</w:t>
      </w:r>
      <w:r w:rsidR="00895C47">
        <w:rPr>
          <w:b/>
          <w:sz w:val="28"/>
          <w:szCs w:val="28"/>
        </w:rPr>
        <w:t xml:space="preserve"> </w:t>
      </w:r>
      <w:r w:rsidR="00247278" w:rsidRPr="003B1BE5">
        <w:rPr>
          <w:b/>
          <w:sz w:val="28"/>
          <w:szCs w:val="28"/>
        </w:rPr>
        <w:t>использованной</w:t>
      </w:r>
      <w:r w:rsidR="00895C47">
        <w:rPr>
          <w:b/>
          <w:sz w:val="28"/>
          <w:szCs w:val="28"/>
        </w:rPr>
        <w:t xml:space="preserve"> </w:t>
      </w:r>
      <w:r w:rsidR="00247278" w:rsidRPr="003B1BE5">
        <w:rPr>
          <w:b/>
          <w:sz w:val="28"/>
          <w:szCs w:val="28"/>
        </w:rPr>
        <w:t>литературы</w:t>
      </w:r>
    </w:p>
    <w:p w:rsidR="00247278" w:rsidRPr="003B1BE5" w:rsidRDefault="00247278" w:rsidP="003B1BE5">
      <w:pPr>
        <w:spacing w:line="360" w:lineRule="auto"/>
        <w:ind w:firstLine="720"/>
        <w:jc w:val="both"/>
        <w:rPr>
          <w:sz w:val="28"/>
          <w:szCs w:val="28"/>
        </w:rPr>
      </w:pP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1.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Конституция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РФ.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Историко-правовой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комментарий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Б.А.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Страшуна.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М.: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«НОРМА»,2002.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2.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Гражданский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кодекс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РФ.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М.: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«ЭКМОС»,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Pr="003B1BE5">
        <w:rPr>
          <w:sz w:val="28"/>
          <w:szCs w:val="28"/>
        </w:rPr>
        <w:t>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3.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Федеральный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закон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декабря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184-ФЗ</w:t>
      </w:r>
      <w:r w:rsidR="00895C47">
        <w:rPr>
          <w:sz w:val="28"/>
          <w:szCs w:val="28"/>
        </w:rPr>
        <w:t xml:space="preserve"> </w:t>
      </w:r>
    </w:p>
    <w:p w:rsidR="00247278" w:rsidRPr="003B1BE5" w:rsidRDefault="00895C47" w:rsidP="003B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278" w:rsidRPr="003B1BE5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247278" w:rsidRPr="003B1BE5">
        <w:rPr>
          <w:sz w:val="28"/>
          <w:szCs w:val="28"/>
        </w:rPr>
        <w:t>техническом</w:t>
      </w:r>
      <w:r>
        <w:rPr>
          <w:sz w:val="28"/>
          <w:szCs w:val="28"/>
        </w:rPr>
        <w:t xml:space="preserve"> </w:t>
      </w:r>
      <w:r w:rsidR="00247278" w:rsidRPr="003B1BE5">
        <w:rPr>
          <w:sz w:val="28"/>
          <w:szCs w:val="28"/>
        </w:rPr>
        <w:t>регулировании».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4.Федеральный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закон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декабря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2008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210-ФЗ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«Об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основах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регулирования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тарифов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организаций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комплекса».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5.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Постановление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Правительства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ноября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2001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797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подпрограмме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«Реформирование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модернизация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Российской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Федерации»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федеральной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целевой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программы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«Жилище»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2002-2010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годы».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6.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Постановление</w:t>
      </w:r>
      <w:r w:rsidR="00895C47">
        <w:rPr>
          <w:sz w:val="28"/>
          <w:szCs w:val="28"/>
        </w:rPr>
        <w:t xml:space="preserve">  </w:t>
      </w:r>
      <w:r w:rsidRPr="003B1BE5">
        <w:rPr>
          <w:sz w:val="28"/>
          <w:szCs w:val="28"/>
        </w:rPr>
        <w:t>Правительства</w:t>
      </w:r>
      <w:r w:rsidR="00895C47">
        <w:rPr>
          <w:sz w:val="28"/>
          <w:szCs w:val="28"/>
        </w:rPr>
        <w:t xml:space="preserve">  </w:t>
      </w:r>
      <w:r w:rsidRPr="003B1BE5">
        <w:rPr>
          <w:sz w:val="28"/>
          <w:szCs w:val="28"/>
        </w:rPr>
        <w:t>Свердловской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области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июня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353-ПП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концепции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реформирования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комплекса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Свердловской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области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Pr="003B1BE5">
        <w:rPr>
          <w:sz w:val="28"/>
          <w:szCs w:val="28"/>
        </w:rPr>
        <w:t>-2010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мерах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повышению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эффективности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работы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предприятий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жилищно-коммунального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году».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7.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Думы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10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июня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2007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40/6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Стратегическом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плане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Екатеринбурга».</w:t>
      </w:r>
    </w:p>
    <w:p w:rsidR="00247278" w:rsidRPr="003B1BE5" w:rsidRDefault="00247278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8.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Решение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Екатеринбургской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городской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Думы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22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февраля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71/4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«Об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утверждении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перечня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городских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целевых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программ,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подлежащих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разработке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2005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году».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9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Блохин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А.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Что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делать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частнику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//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Жилищно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коммунальное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хозяйство.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="009E2D04" w:rsidRPr="003B1BE5">
        <w:rPr>
          <w:sz w:val="28"/>
          <w:szCs w:val="28"/>
        </w:rPr>
        <w:t>2008</w:t>
      </w:r>
      <w:r w:rsidRPr="003B1BE5">
        <w:rPr>
          <w:sz w:val="28"/>
          <w:szCs w:val="28"/>
        </w:rPr>
        <w:t>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11.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10.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Болотин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В.В.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Финансовые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проблемы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реформы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//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Финансы.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</w:t>
      </w:r>
      <w:r w:rsidR="009E2D04" w:rsidRPr="003B1BE5">
        <w:rPr>
          <w:sz w:val="28"/>
          <w:szCs w:val="28"/>
        </w:rPr>
        <w:t>8</w:t>
      </w:r>
      <w:r w:rsidRPr="003B1BE5">
        <w:rPr>
          <w:sz w:val="28"/>
          <w:szCs w:val="28"/>
        </w:rPr>
        <w:t>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-№2.</w:t>
      </w:r>
      <w:r w:rsidR="00895C47">
        <w:rPr>
          <w:sz w:val="28"/>
          <w:szCs w:val="28"/>
        </w:rPr>
        <w:t xml:space="preserve"> </w:t>
      </w:r>
    </w:p>
    <w:p w:rsidR="00A514D5" w:rsidRPr="003B1BE5" w:rsidRDefault="00A514D5" w:rsidP="003B1BE5">
      <w:pPr>
        <w:spacing w:line="360" w:lineRule="auto"/>
        <w:jc w:val="both"/>
        <w:rPr>
          <w:sz w:val="28"/>
          <w:szCs w:val="28"/>
        </w:rPr>
      </w:pPr>
      <w:r w:rsidRPr="003B1BE5">
        <w:rPr>
          <w:sz w:val="28"/>
          <w:szCs w:val="28"/>
        </w:rPr>
        <w:t>11.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Гордиенко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И.Ю.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Межбюджетные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отношения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расчет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нормативных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расходов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на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//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Журнал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руководителя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и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главного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бухгалтера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ЖКХ.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–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200</w:t>
      </w:r>
      <w:r w:rsidR="009E2D04" w:rsidRPr="003B1BE5">
        <w:rPr>
          <w:sz w:val="28"/>
          <w:szCs w:val="28"/>
        </w:rPr>
        <w:t>8</w:t>
      </w:r>
      <w:r w:rsidRPr="003B1BE5">
        <w:rPr>
          <w:sz w:val="28"/>
          <w:szCs w:val="28"/>
        </w:rPr>
        <w:t>.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-</w:t>
      </w:r>
      <w:r w:rsidR="00895C47">
        <w:rPr>
          <w:sz w:val="28"/>
          <w:szCs w:val="28"/>
        </w:rPr>
        <w:t xml:space="preserve"> </w:t>
      </w:r>
      <w:r w:rsidRPr="003B1BE5">
        <w:rPr>
          <w:sz w:val="28"/>
          <w:szCs w:val="28"/>
        </w:rPr>
        <w:t>№12.</w:t>
      </w:r>
      <w:bookmarkStart w:id="0" w:name="_GoBack"/>
      <w:bookmarkEnd w:id="0"/>
    </w:p>
    <w:sectPr w:rsidR="00A514D5" w:rsidRPr="003B1BE5" w:rsidSect="003B1BE5">
      <w:pgSz w:w="11906" w:h="16838" w:code="9"/>
      <w:pgMar w:top="1134" w:right="851" w:bottom="1134" w:left="1701" w:header="851" w:footer="102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6A" w:rsidRDefault="00F0426A">
      <w:r>
        <w:separator/>
      </w:r>
    </w:p>
  </w:endnote>
  <w:endnote w:type="continuationSeparator" w:id="0">
    <w:p w:rsidR="00F0426A" w:rsidRDefault="00F0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6A" w:rsidRDefault="00F0426A">
      <w:r>
        <w:separator/>
      </w:r>
    </w:p>
  </w:footnote>
  <w:footnote w:type="continuationSeparator" w:id="0">
    <w:p w:rsidR="00F0426A" w:rsidRDefault="00F0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772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516C4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B1FF9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65C7D"/>
    <w:multiLevelType w:val="hybridMultilevel"/>
    <w:tmpl w:val="3FFC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A4E4F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7F5F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D365F"/>
    <w:multiLevelType w:val="multilevel"/>
    <w:tmpl w:val="2D6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B1"/>
    <w:rsid w:val="00062FB7"/>
    <w:rsid w:val="00235DEB"/>
    <w:rsid w:val="00241792"/>
    <w:rsid w:val="00247278"/>
    <w:rsid w:val="002F2A24"/>
    <w:rsid w:val="003B1BE5"/>
    <w:rsid w:val="00493FC4"/>
    <w:rsid w:val="0051794D"/>
    <w:rsid w:val="005B6940"/>
    <w:rsid w:val="005E0149"/>
    <w:rsid w:val="006B131D"/>
    <w:rsid w:val="007B248A"/>
    <w:rsid w:val="00814072"/>
    <w:rsid w:val="00895C47"/>
    <w:rsid w:val="008A3AB1"/>
    <w:rsid w:val="009E2D04"/>
    <w:rsid w:val="00A514D5"/>
    <w:rsid w:val="00C05D87"/>
    <w:rsid w:val="00C83334"/>
    <w:rsid w:val="00F0426A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46B22-A655-460F-815F-755543C3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B1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24727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rsid w:val="008A3AB1"/>
    <w:pPr>
      <w:widowControl w:val="0"/>
      <w:spacing w:line="360" w:lineRule="auto"/>
      <w:ind w:firstLine="16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8A3AB1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rsid w:val="008A3AB1"/>
    <w:pPr>
      <w:widowControl w:val="0"/>
      <w:spacing w:line="300" w:lineRule="auto"/>
      <w:ind w:left="800" w:right="800"/>
      <w:jc w:val="center"/>
    </w:pPr>
    <w:rPr>
      <w:b/>
      <w:sz w:val="32"/>
    </w:rPr>
  </w:style>
  <w:style w:type="paragraph" w:styleId="a5">
    <w:name w:val="header"/>
    <w:basedOn w:val="a"/>
    <w:link w:val="a6"/>
    <w:uiPriority w:val="99"/>
    <w:rsid w:val="008A3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A3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A3AB1"/>
    <w:rPr>
      <w:rFonts w:cs="Times New Roman"/>
    </w:rPr>
  </w:style>
  <w:style w:type="paragraph" w:styleId="aa">
    <w:name w:val="Body Text Indent"/>
    <w:basedOn w:val="a"/>
    <w:link w:val="ab"/>
    <w:uiPriority w:val="99"/>
    <w:rsid w:val="008A3A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247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Квартира</Company>
  <LinksUpToDate>false</LinksUpToDate>
  <CharactersWithSpaces>26579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Руслан</dc:creator>
  <cp:keywords/>
  <dc:description/>
  <cp:lastModifiedBy>admin</cp:lastModifiedBy>
  <cp:revision>2</cp:revision>
  <cp:lastPrinted>2006-12-26T12:06:00Z</cp:lastPrinted>
  <dcterms:created xsi:type="dcterms:W3CDTF">2014-03-06T03:52:00Z</dcterms:created>
  <dcterms:modified xsi:type="dcterms:W3CDTF">2014-03-06T03:52:00Z</dcterms:modified>
</cp:coreProperties>
</file>