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632570" w:rsidRDefault="00632570">
      <w:pPr>
        <w:pStyle w:val="2"/>
      </w:pPr>
      <w:r>
        <w:t xml:space="preserve">КУБАНСКИЙ ГОСУДАРСТВЕННЫЙ АГРАРНЫЙ </w:t>
      </w:r>
    </w:p>
    <w:p w:rsidR="00632570" w:rsidRDefault="00632570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УНИВЕРСИТЕТ</w:t>
      </w: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632570" w:rsidRDefault="00632570">
      <w:pPr>
        <w:pStyle w:val="21"/>
      </w:pPr>
      <w:r>
        <w:t>Юридический факультет</w:t>
      </w:r>
    </w:p>
    <w:p w:rsidR="00632570" w:rsidRDefault="00632570">
      <w:pPr>
        <w:pStyle w:val="21"/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кафедра экологического</w:t>
      </w:r>
    </w:p>
    <w:p w:rsidR="00632570" w:rsidRDefault="00632570">
      <w:pPr>
        <w:autoSpaceDE w:val="0"/>
        <w:autoSpaceDN w:val="0"/>
        <w:adjustRightInd w:val="0"/>
        <w:ind w:left="5940"/>
        <w:rPr>
          <w:b/>
          <w:bCs/>
          <w:i/>
          <w:iCs/>
        </w:rPr>
      </w:pPr>
      <w:r>
        <w:rPr>
          <w:b/>
          <w:bCs/>
          <w:i/>
          <w:iCs/>
        </w:rPr>
        <w:t xml:space="preserve">  и земельного права</w:t>
      </w: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i/>
          <w:iCs/>
        </w:rPr>
      </w:pPr>
    </w:p>
    <w:p w:rsidR="00632570" w:rsidRDefault="00632570">
      <w:pPr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Реферат на тему:</w:t>
      </w:r>
    </w:p>
    <w:p w:rsidR="00632570" w:rsidRDefault="00632570">
      <w:pPr>
        <w:autoSpaceDE w:val="0"/>
        <w:autoSpaceDN w:val="0"/>
        <w:adjustRightInd w:val="0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 xml:space="preserve"> «ЖИВОТНЫЙ МИР КАК ОБЪЕКТ ОХРАНЫ И ИСПОЛЬЗОВАНИЯ»</w:t>
      </w: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 xml:space="preserve">        </w:t>
      </w: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632570" w:rsidRDefault="00632570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20"/>
        </w:rPr>
      </w:pP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  <w:r>
        <w:rPr>
          <w:szCs w:val="20"/>
        </w:rPr>
        <w:t>Выполнил: студент ЮФ – 51</w:t>
      </w: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  <w:r>
        <w:rPr>
          <w:szCs w:val="20"/>
        </w:rPr>
        <w:t>Верхотуров А.Ю.</w:t>
      </w: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  <w:r>
        <w:rPr>
          <w:szCs w:val="20"/>
        </w:rPr>
        <w:t>Проверила: Мягкова Анна Васильевна</w:t>
      </w: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</w:p>
    <w:p w:rsidR="00632570" w:rsidRDefault="00632570">
      <w:pPr>
        <w:autoSpaceDE w:val="0"/>
        <w:autoSpaceDN w:val="0"/>
        <w:adjustRightInd w:val="0"/>
        <w:ind w:left="5400"/>
        <w:rPr>
          <w:szCs w:val="20"/>
        </w:rPr>
      </w:pPr>
    </w:p>
    <w:p w:rsidR="00632570" w:rsidRDefault="00632570">
      <w:pPr>
        <w:pStyle w:val="1"/>
      </w:pPr>
      <w:r>
        <w:t>К р а с н о д а р  2002</w:t>
      </w:r>
    </w:p>
    <w:p w:rsidR="00632570" w:rsidRDefault="00632570"/>
    <w:p w:rsidR="00632570" w:rsidRDefault="00632570"/>
    <w:p w:rsidR="00632570" w:rsidRDefault="00632570">
      <w:pPr>
        <w:jc w:val="center"/>
      </w:pPr>
    </w:p>
    <w:p w:rsidR="00632570" w:rsidRDefault="00632570">
      <w:pPr>
        <w:jc w:val="center"/>
      </w:pPr>
    </w:p>
    <w:p w:rsidR="00632570" w:rsidRDefault="00632570">
      <w:pPr>
        <w:jc w:val="center"/>
      </w:pPr>
      <w:r>
        <w:t>ПЛАН:</w:t>
      </w:r>
    </w:p>
    <w:p w:rsidR="00632570" w:rsidRDefault="00632570"/>
    <w:p w:rsidR="00632570" w:rsidRDefault="00632570">
      <w:pPr>
        <w:pStyle w:val="a4"/>
        <w:tabs>
          <w:tab w:val="clear" w:pos="4677"/>
          <w:tab w:val="clear" w:pos="9355"/>
        </w:tabs>
      </w:pPr>
      <w:r>
        <w:t>ВВЕДЕНИЕ</w:t>
      </w:r>
    </w:p>
    <w:p w:rsidR="00632570" w:rsidRDefault="00632570"/>
    <w:p w:rsidR="00632570" w:rsidRDefault="00632570">
      <w:pPr>
        <w:numPr>
          <w:ilvl w:val="0"/>
          <w:numId w:val="4"/>
        </w:numPr>
      </w:pPr>
      <w:r>
        <w:t>Государственное управление и контроль в области охраны и использования животного мира.</w:t>
      </w:r>
    </w:p>
    <w:p w:rsidR="00632570" w:rsidRDefault="00632570">
      <w:pPr>
        <w:ind w:left="360"/>
      </w:pPr>
    </w:p>
    <w:p w:rsidR="00632570" w:rsidRDefault="00632570">
      <w:pPr>
        <w:numPr>
          <w:ilvl w:val="0"/>
          <w:numId w:val="4"/>
        </w:numPr>
      </w:pPr>
      <w:r>
        <w:t>Право пользования объектами животного мира.</w:t>
      </w:r>
    </w:p>
    <w:p w:rsidR="00632570" w:rsidRDefault="00632570"/>
    <w:p w:rsidR="00632570" w:rsidRDefault="00632570">
      <w:pPr>
        <w:numPr>
          <w:ilvl w:val="0"/>
          <w:numId w:val="4"/>
        </w:numPr>
      </w:pPr>
      <w:r>
        <w:t>Правовая охрана животного мира.</w:t>
      </w:r>
    </w:p>
    <w:p w:rsidR="00632570" w:rsidRDefault="00632570"/>
    <w:p w:rsidR="00632570" w:rsidRDefault="00632570">
      <w:pPr>
        <w:pStyle w:val="a4"/>
        <w:tabs>
          <w:tab w:val="clear" w:pos="4677"/>
          <w:tab w:val="clear" w:pos="9355"/>
        </w:tabs>
      </w:pPr>
      <w:r>
        <w:t>ЗАКЛЮЧЕНИЕ</w:t>
      </w: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  <w:r>
        <w:t>СПИСОК НОРМАТИВНЫХ АКТОВ И ИСПОЛЬЗОВАННОЙ ЛИТЕРАТУРЫ.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  <w:r>
        <w:t>Приложение</w:t>
      </w: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</w:pPr>
      <w:r>
        <w:tab/>
        <w:t>ВВЕДЕНИЕ</w:t>
      </w:r>
    </w:p>
    <w:p w:rsidR="00632570" w:rsidRDefault="00632570">
      <w:pPr>
        <w:pStyle w:val="a4"/>
        <w:tabs>
          <w:tab w:val="clear" w:pos="4677"/>
          <w:tab w:val="clear" w:pos="9355"/>
        </w:tabs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  <w:r>
        <w:tab/>
        <w:t>Животный мир является составной частью природной среды и выступает как неотъемлемое звено в цепи экологических систем, необходимый компонент в процессе круговорота веществ и энергии природы, активно виляющий на функционирование естественных сообществ, структуру и естественное плодородие почв, формирование растительного покрова, биологические  свойства воды и качество окружающей природной среды в целом. Вместе с тем животный мир имеет большое экономическое значение как источник получения пищевых продуктов, промышленного, технического, лекарственного сырья и других материальных ценностей и поэтому выступает как природный ресурс для зверобойного, китобойного, рыболовного и других видов промысла. Отдельные виды животных имеют большое культурное, научное, эстетическое, воспитательное, научное значение.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  <w:r>
        <w:tab/>
        <w:t>Объектом использования и охраны животного мира выступают лишь дикие животные (млекопитающие, птицы, пресмыкающиеся, земноводные, рыбы, а также моллюски, насекомые и др.), обитающие в состоянии естественной свободы на суше, в воде, атмосфере, в почве, постоянно или временно населяющие территорию страны. Не являются таковым объектом сельскохозяйственные и другие домашние животные, а также дикие животные содержащиеся в неволе или полуневоле для хозяйственных, культурных, научных, эстетических или иных целей. Они являются существом, принадлежащим на праве собственности государству, общественным организациям, гражданам, и используются и охраняются в соответствии с законодательством, касающимся государственной и личной собственности.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  <w:r>
        <w:tab/>
        <w:t>Особенностью животного мира является то, что данный объект возобновляем, но для этого необходимо соблюдение определенных условий, непосредственно связанных с охраной животных. При истреблении, нарушении условий их существования определенные виды животных могут окончательно исчезнуть, и их возобновление будет невозможно. И наоборот, поддержание условий существования животного мира, регулирование численности животных, принятие мер к разведению исчезающих видов, способствует их восстановлению и возобновлению. Животный мир поддается преобразовательной деятельности человека: возможно одомашнивание диких животных, скрещивание и выведение новых видов, выращивание в искусственных условиях отдельных видов животных и переселение их в естественные места обитания.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1. ГОСУДАРСТВЕННОЕ УПРАВЛЕНИЕ И КОНТРОЛЬ В ОБЛАСТИ ОХРАНЫ И ИСПОЛЬЗОВАНИЯ ЖИВОТНОГО МИРА.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left="708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  <w:r>
        <w:tab/>
        <w:t>В соответствии с Конституцией РФ вопросы владения, пользования и распоряжения животным миром на территории Российской Федерации относятся к совместному ведению РФ и субъектов Федерации. Вопросы, не отнесенные к исключительному ведению России и совместному ведению РФ и её субъектов, относятся в соответствии с ч.4 ст. 76 Конституции РФ к предмету собственного правового регулирования субъектов РФ.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  <w:r>
        <w:tab/>
        <w:t>К области регулирования отношений по охране и использованию животного мира относятся: распоряжение животным миром; определение общих мероприятий и установление основных положений, правил и норм в этой области; разработка и утверждение общественных планов по охране и рациональному использованию животного мира; установление систем государственного учета животных и их использования и порядка ведения государственного кадастра животного мира (ст.14 Федерального Закона «О животном мире» от 24 апреля 1995 г.); государственный мониторинг объектов животного мира (ст.15 Закона); нормирование в области использования и охраны животного мира и среды его обитания (ст.17 Закона); государственный контроль за охраной и использованием животного мира и установление порядка его осуществления (ст.16 Закона); решение других вопросов.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  <w:r>
        <w:tab/>
        <w:t>Для обеспечения охраны и организации рационального использования животного мира, в соответствии с законом «О животном мире», проводится государственный учет животных и их использования, и ведется государственный кадастр животного мира, содержащий совокупность сведений о географическом распространении видов (групп видов) животных, их численности, характеристики необходимых им угодий, современного хозяйствования, путем использования животных и другие необходимые данные.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jc w:val="both"/>
      </w:pPr>
      <w:r>
        <w:tab/>
        <w:t>Государственный кадастр животного мира включает требования и данные государственного учета животных и их использования по количественным и качественным показателям, а также сведения, необходимые для обеспечения охраны животного мира, планирования, размещения и специализации охотничьего и рыбного хозяйства и других отраслей народного хозяйства, осуществления иных мероприятий, связанных, с использованием животного мира, оценки ресурсов и прогноза состояния животного мира, организации проведения мероприятий по регулированию численности отдельных видов диких животных.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>К животным, подлежащим учету и занесению в кадастр, относятся животные, являющиеся в установленном порядке объектами охоты, промысловые водные беспозвоночные и промысловые морские млекопитающие, насекомые (вредители леса и растений и полезные для леса и сельскохозяйственных культур), животные, занесенные в Красную книгу, занесенные в перечни, утвержденные Академией наук РФ и Министерством здравоохранения РФ, а так же находящиеся на территории государственных заповедников и природных национальных парков. Наряду с дикими животными, объектом государственного кадастра животного мира, признаны так же необходимые для животных угодья (земельные, водные, лесные), что обусловлено неразрывной органической связью животного мира со средой его обитания и интересами обеспечения животных необходимыми условиями существования и в первую очередь кормами.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По экологическим и экономическим соображениям общество заинтересовано также в регулировании численности животного мира. Закон о животном мире предусматривает, что объекты животного мира, численность которых подлежит регулированию, а так же порядок регулирования определяется специально уполномоченными государственными органами по охране, контролю и регулированию использования объектов животного мира и среды обитания. Регулирование численности отдельных объектов животного мира должно осуществляться способами, исключающими причинение вреда другим объектам животного мира и обеспечивающим сохранность среды их обитания с учетом заключений научных организаций, решающих проблемы в данной области, и по согласованию со специально уполномоченными государственными органами, осуществляющими охрану земельных, водных и лесных ресурсов. 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Важнейшим организационно-правовым средством обеспечения рационального использования и охраны животного мира является </w:t>
      </w:r>
      <w:r>
        <w:rPr>
          <w:b/>
          <w:bCs/>
          <w:i/>
          <w:iCs/>
        </w:rPr>
        <w:t>государственный контроль.</w:t>
      </w:r>
      <w:r>
        <w:t xml:space="preserve"> Государственный контроль за охраной и использованием животного мира имеет своей задачей обеспечить выполнение всеми министерствами, государственными комитетами, общественными предприятиями, учреждениями и организациями, а так же гражданами обязанностей по охране животного мира, соблюдение установленного порядка пользования животным миром и иных правил, установленных законодательством об охране и использованию животного мира.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Наряду с государственным контролем осуществляется также ведомственный контроль за охраной и использованием животного мира теми органами, в ведении которых находятся предприятия, учреждения, пользующиеся объектами животного мира. 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В борьбе с браконьерством активную роль играют органы внутренних дел. Совместно с государственными органами контроль за охраной и использованием животного мира производится и обществами рыболовов и охотников, общественными инспекциями по охране животного мира, создаваемых при органах охотнадзора и рыбоохраны. 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>2. ПРАВО ПОЛЬЗОВАНИЯ ОБЪЕКТАМИ ЖИВОТНОГО МИРА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>Пользователями животного мира, в соответствии с законом могут быть государственные, общественные предприятия, учреждения, организации и граждане. Они могут осуществлять следующие виды пользования животным миром: охоту, рыболовство (включая добывание беспозвоночных и морских млекопитающих, не относящихся к объектам охоты и рыболовства); в научных, культурно-просветительских, воспитательных и эстетических целях; использование полезных свойств жизнедеятельности животных – почвообразователей, естественных санитаров среди опылителей растений и др.; в целях получения продуктов жизнедеятельности животных.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Наиболее распространенными видами пользования животным миром являются </w:t>
      </w:r>
      <w:r>
        <w:rPr>
          <w:i/>
          <w:iCs/>
        </w:rPr>
        <w:t>охота</w:t>
      </w:r>
      <w:r>
        <w:t xml:space="preserve"> и </w:t>
      </w:r>
      <w:r>
        <w:rPr>
          <w:i/>
          <w:iCs/>
        </w:rPr>
        <w:t>рыболовство</w:t>
      </w:r>
      <w:r>
        <w:t>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rPr>
          <w:b/>
          <w:bCs/>
          <w:i/>
          <w:iCs/>
        </w:rPr>
        <w:t>Охота</w:t>
      </w:r>
      <w:r>
        <w:t xml:space="preserve"> определяется как разрешенный законом вид деятельности, заключающийся в преследовании с целью добычи и в добыче (отстрел, отлов) диких зверей и птиц, находящихся в состоянии естественной свободы, лицом, имеющим право на охоту. Охота включает промысловое добывание диких зверей и птиц, а так же любительскую и спортивную охоту. Нахождение в охотничьих угодьях с оружием, собаками, ловчими птицами, капканами и другими орудиями охоты либо с добытой продукцией приравнивается к охоте.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Правовое регулирование охоты осуществляется на основе как закона «О животном мире», так и некоторых специальных нормативно-правовых актов, включая Положение об охоте и охотничьем хозяйстве, утвержденное постановлением Советом Министров РСФСР от 10 октября 1960 года (с последующими изменениями и дополнениями), Типовые правила охоты в РСФСР 1988 года и др.  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>Правом охоты с охотничьим огнестрельным оружием, другими разрешенными орудиями охоты, а так же с охотничьими собаками и ловчими птицами пользуются все граждане РФ, достигшие 18 лет, являющиеся членами обществ охотников, сдавшие испытания по охотничьему минимуму и уплатившие государственную пошлину в установленном размере.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rPr>
          <w:b/>
          <w:bCs/>
          <w:i/>
          <w:iCs/>
        </w:rPr>
        <w:t>Рыболовство</w:t>
      </w:r>
      <w:r>
        <w:t xml:space="preserve"> – промысловый лов рыбы, добывание водных беспозвоночных и морских млекопитающих, а также  любительский и спортивный лов рыбы и добывание водных беспозвоночных – осуществляется в установленном порядке.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>Наиболее общим специальным актом, регулирующим рыболовство, является Положение об охране рыбных запасов и о регулировании рыболовства в водоемах СССР, утвержденное постановлением Совета Министров СССР от 15 сентября 1958 года, с последующими изменениями и дополнениями.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Различается рыболовство </w:t>
      </w:r>
      <w:r>
        <w:rPr>
          <w:i/>
          <w:iCs/>
        </w:rPr>
        <w:t>промысловое</w:t>
      </w:r>
      <w:r>
        <w:t xml:space="preserve">, </w:t>
      </w:r>
      <w:r>
        <w:rPr>
          <w:i/>
          <w:iCs/>
        </w:rPr>
        <w:t>спортивное</w:t>
      </w:r>
      <w:r>
        <w:t xml:space="preserve"> и </w:t>
      </w:r>
      <w:r>
        <w:rPr>
          <w:i/>
          <w:iCs/>
        </w:rPr>
        <w:t>любительское</w:t>
      </w:r>
      <w:r>
        <w:t>. Причем в законодательстве не установлены формальные критерии, разграничивающие спортивное и любительское рыболовство. Отсутствуют в нем и различия в их правовом регулировании.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>Все водоемы, которые используются или могут использоваться для промысловой добычи рыбы либо имеют значение для воспроизводства рыбных запасов, считаются рыбохозяйственными. Перечень водных объектов, предназначенных для сохранения воспроизводства и добычи рыбных ресурсов, определяются Правительством РФ и исполнительными органами субъектов РФ.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t xml:space="preserve"> </w:t>
      </w:r>
      <w:r>
        <w:rPr>
          <w:b/>
          <w:bCs/>
          <w:i/>
          <w:iCs/>
        </w:rPr>
        <w:t>Промысловая</w:t>
      </w:r>
      <w:r>
        <w:t xml:space="preserve"> добыча производится на рыбохозяйственных участках, предоставляемых в пользование по договорам и лицензиям юридическим и физическим лицам.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  <w:r>
        <w:rPr>
          <w:b/>
          <w:bCs/>
          <w:i/>
          <w:iCs/>
        </w:rPr>
        <w:t>Любительский</w:t>
      </w:r>
      <w:r>
        <w:t xml:space="preserve"> лов и </w:t>
      </w:r>
      <w:r>
        <w:rPr>
          <w:b/>
          <w:bCs/>
          <w:i/>
          <w:iCs/>
        </w:rPr>
        <w:t>спортивный</w:t>
      </w:r>
      <w:r>
        <w:t xml:space="preserve"> лов рыбы осуществляется для личного потребления бесплатно во всех водоемах, за исключением заповедников, рыбопитомников, прудовых и других культурных рыбных хозяйств, с соблюдением установленных правил рыболовства и водопользования.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632570" w:rsidRDefault="00632570">
      <w:pPr>
        <w:pStyle w:val="a4"/>
        <w:numPr>
          <w:ilvl w:val="0"/>
          <w:numId w:val="4"/>
        </w:numPr>
        <w:tabs>
          <w:tab w:val="clear" w:pos="4677"/>
          <w:tab w:val="clear" w:pos="9355"/>
        </w:tabs>
        <w:spacing w:line="360" w:lineRule="auto"/>
        <w:jc w:val="both"/>
      </w:pPr>
      <w:r>
        <w:t>ПРАВОВАЯ ОХРАНА ЖИВОТНОГО МИРА.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Правовое регулирование использования и охраны объектов животного мира осуществляется посредством установления видов и способов пользования животным миром, установления ограничений и запретов на использование объектов животного мира, охраны среды обитания объектов животного мира. В частности, сохранение объектов животного мира может быть достигнуто путем изменения вида пользования животным миром с запрещением изъятия объектов животного мира из среды обитания и организации использования этих объектов без изъятия в культурно-просветительских целях, рекреационных и эстетических целях, включая организацию экологического туризма.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  <w:rPr>
          <w:lang w:val="en-US"/>
        </w:rPr>
      </w:pPr>
      <w:r>
        <w:t>Так как, возможности сохранения объектов животного мира и среды их обитания во многом зависят от условий осуществления разнообразной хозяйственной деятельности человека, регулирование соответствующих отношений особо предусмотрено в гл.</w:t>
      </w:r>
      <w:r>
        <w:rPr>
          <w:lang w:val="en-US"/>
        </w:rPr>
        <w:t>III</w:t>
      </w:r>
      <w:r>
        <w:t xml:space="preserve"> Закона «О животном мире». Здесь установлено общее правило, в соответствии с которым любая деятельность, влекущая за собой изменение среды обитания объектов животного мира и ухудшение условий их размножения, нагула, отдыха, путей миграции, должна осуществляться с соблюдением требований, обеспечивающих охрану животного мира. Хозяйственная деятельность, связанная с использованием объектов животного мира, должна осуществляться таким образом, что бы разрешенные к использованию объекты животного мира не ухудшали собственную среду обитания и не причиняли вреда сельскому, водному и лесному хозяйству.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 xml:space="preserve">Общие правила рассматриваемого закона развиты в постановлении Правительства РФ от 16 августа 1996 года, утвердившем «Требования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электропередачи». Требования регламентируют производственную деятельность в целях предотвращения гибели объектов животного мира, обитающих в условиях естественной свободы, в результате изменения среды обитания и нарушения путей миграции; попадания в водозаборные сооружения, узлы производственного оборудования, под движущийся транспорт и сельскохозяйственные машины; столкновения с проводами и электрошока, воздействия электромагнитных полей, шума, вибрации. 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С учетом специфичности вредных воздействий достаточно полно в названном постановлении регламентированы требования по охране животного мира при осуществлении сельскохозяйственных, лесопромышленных и лесохозяйственных, промышленных и водохозяйственных производственных процессов, эксплуатации транспортных магистралей и объектов, трубопроводов, при проектировании, строительстве и эксплуатации линий связи и электропередачи.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Так, при осуществлении сельскохозяйственных производственных процессов не допускается применение технологий и механизмов, вызывающих массовую гибель объектов животного мира или изменение среды их обитания. При производстве полевых сельскохозяйственных работ необходимо использовать технологию, специально оборудованную сельскохозяйственную технику, порядок работ, исключающие возможность гибели животных.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При создании и эксплуатации ирригационных и мелиоративных сооружений в местах естественного обитания, на путях миграции и в местах сезонной концентрации объектов животного мира необходимо обеспечивать условия для свободного и безопасного их передвижения через указанные сооружения, оснащать водозаборные сооружения и каналы гидромелиоративных систем специальными защитными устройствами.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В целях охраны животного мира устанавливается более жесткий режим использования животных в заповедниках, заказниках и других особо охраняемых территориях. Здесь запрещены виды пользования животным миром и другая деятельность, несовместимая с целями заповедования.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Большое значение имеет охрана редких и находящихся под угрозой исчезновения отдельных видов животных. Такие животные заносятся в Красную книгу. Действия, могущие привести к гибели этих животных, сокращению их численности или нарушению среды обитания, не допускаются.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ЗАКЛЮЧЕНИЕ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Если рассмотреть ситуацию с охраной животных в Краснодарском Крае, то можно отметить, что у нас имеется достаточно большое количество неблагоприятных факторов, оказывающих воздействие на животный мир. К ним можно отнести нарушения правил применения ядохимикатов и минеральных удобрений, загрязнение окружающей природной среды, вырубка лесов, в т.ч. и на территории заказников и национального парка, сплошная распашка степей, посадка монокультур, строительство и эксплуатация гидротехнических сооружений, резкое изменение уровня воды в водоемах, выжигание растительных остатков на полях и зарослей тростника.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Эти, а также сложившиеся за последние годы социально-экономические условия (в т.ч. резко усиливающееся браконьерство) привели к снижению численности в крае основных видов охотничье-промысловых животных. За последние 10 лет численность кабана сократилась на 57%, оленя на 62%, косули на 65%. Актуальным стал вопрос о запрещении охоты на копытных на территории края.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Продолжает снижаться численность таких ценных пушных животных, как ондатра, енот-полоскун, куница. С отменой государственной монополии на пушнину уровень заготовок стремительно сократился, а фактическую добычу определить невозможно, т.к. этим видом деятельности стали заниматься значительное количество фирм и граждан. Необходимо срочно рассмотреть вопрос о лицензировании этого деятельности.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В последние годы значительно возросла нагрузка на охотничьи угодья. К началу 2001 года число охотников в крае составляло свыше 100 тыс. человек. Настораживает деятельность некоторых новых общественных охотничьих организаций, которые не имея охотничьих угодий выдают охотничьи билеты и собирают членские взносы.  Никакой информации в государственные органы о своей деятельности они не представляют.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К сожалению местные природоохранные службы, при выявлении таких фактов, далеко не всегда могут принять действенные меры. В связи с этим необходимо усилить координацию всех государственных служб с привлечением основных охотопользователей и создать краевой совет по охотничьему хозяйству. Огромное значение для охотничьего хозяйства края имеют государственные охотничьи заказники. При площади заказников 4,2% от всех охотугодий края здесь сосредоточено около трети всех копытных животных.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Необходимо продолжать работы по увеличению площади заказников, соблюдению режимов их деятельности, улучшению финансирования. В связи с резким подорожанием кормов, горюче-смазочных материалов, транспорта практически прекращены работы по разведению и расселению охотничьих животных. Значительно сократились объемы биотехнических и охранных мероприятий. Ослаблена работа по борьбе с вредными хищниками, что в ближайшие годы может привести к увеличению гибели домашних животных. В настоящее время осуществляется охрана только охотничьих животных, в условиях устаревшей правовой базы.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По-прежнему не регламентируется, в большинстве случаев, добывание животных, не относящихся к объектам охоты и рыболовства, большинства насекомых, непромысловых птиц, в т.ч. занесенных в Красную книгу России. Практически бесконтрольно развивается промышленная заготовка водных беспозвоночных, заготовка змеиного яда, сбор коллекций редких и исчезающих видов птиц, насекомых.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Эти проблемы заслуживают пристального изучения и должны попасть в поле зрения, начавшихся в комитете работ по лицензированию отдельных видов деятельности.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И в завершение, можно сказать, что возрастание угрозы экологической катастрофы в глобальном масштабе вызывает осознание настоятельной необходимости рационализации экологопользования и координации усилий в охране окружающей среды в рамках всего международного общества.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 xml:space="preserve">Утрата любого биологического вида дикой природы, наносит ущерб интересам общества, ведет к невосполнимым потерям генофонда, таит в себе опасность разрушения целых экосистем, ослабление защитных функций биосферы. </w:t>
      </w: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</w:p>
    <w:p w:rsidR="00632570" w:rsidRDefault="00632570">
      <w:pPr>
        <w:pStyle w:val="a4"/>
        <w:tabs>
          <w:tab w:val="clear" w:pos="4677"/>
          <w:tab w:val="clear" w:pos="9355"/>
        </w:tabs>
        <w:spacing w:line="360" w:lineRule="auto"/>
        <w:ind w:firstLine="720"/>
        <w:jc w:val="both"/>
      </w:pPr>
      <w:r>
        <w:t>СПИСОК НОРМАТИВНЫХ АКТОВ И ИСПОЛЬЗОВАННОЙ ЛИТЕРАТУРЫ.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>Конституция Российской Федерации от 12 декабря 1993 года.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 xml:space="preserve">Об охране окружающей среды: ФЗ РФ от 20 декабря 2001 года. // Российская газета. 2002. 12 января. 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>О животном мире: ФЗ РФ от 24 апреля 1995 г. N 52-ФЗ // СЗ РФ. 1995 г. № 17. ст.1462.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>О континентальном шельфе Российской Федерации: ФЗ РФ от 30 ноября 1995 г. № 187-ФЗ с изменениями и дополнениями от 10 февраля 1999 г. // Российская газета. 1995. 7 декабря.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>Об исключительной экономической зоне Российской Федерации: ФЗ РФ от 17 декабря 1998 г. N 191- ФЗ // СЗ РФ. 1998 г. № 51. ст. 6273.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  <w:rPr>
          <w:color w:val="000000"/>
          <w:szCs w:val="18"/>
        </w:rPr>
      </w:pPr>
      <w:r>
        <w:t xml:space="preserve">"О специально уполномоченных государственных органах по охране, контролю и регулированию использования объектов животного мира и среды их обитания" Постановление Правительства РФ от 19 января 1998 г. N 67 // Российская газета </w:t>
      </w:r>
      <w:r>
        <w:rPr>
          <w:color w:val="000000"/>
          <w:szCs w:val="18"/>
        </w:rPr>
        <w:t>1998. 31 января.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>"Об утверждении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электропередачи" Постановление Правительства РФ от 13 августа 1996 г. N 997 // СЗ РФ. 1996 г., N 37, ст. 4290.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 xml:space="preserve">"О перечне объектов животного мира, отнесенных к объектам охоты" Постановление Правительства РФ от 26 декабря 1995 г. N 1289 </w:t>
      </w:r>
      <w:r>
        <w:rPr>
          <w:color w:val="000000"/>
          <w:szCs w:val="18"/>
        </w:rPr>
        <w:t>с изменениями и дополнениями от 23 ноября 1996г. и от 30 июля 1998 г.</w:t>
      </w:r>
      <w:r>
        <w:t xml:space="preserve"> / Российская газета </w:t>
      </w:r>
      <w:r>
        <w:rPr>
          <w:color w:val="000000"/>
          <w:szCs w:val="18"/>
        </w:rPr>
        <w:t xml:space="preserve">1996. 15 февраля. 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 xml:space="preserve"> "О порядке ведения государственного учета, государственного кадастра и государственного мониторинга объектов животного мира" Постановление Правительства РФ от 10 ноября 1996 г. N 1342 // СЗ РФ. </w:t>
      </w:r>
      <w:r>
        <w:rPr>
          <w:color w:val="000000"/>
          <w:szCs w:val="18"/>
        </w:rPr>
        <w:t>1996 г., N 47, ст. 5335.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rPr>
          <w:color w:val="000000"/>
          <w:szCs w:val="18"/>
        </w:rPr>
        <w:t>Ерофеев Б.В. Земельное право. М., 1998.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>Экологическое право // Под ред. Петрова В.В. М., 1995</w:t>
      </w:r>
    </w:p>
    <w:p w:rsidR="00632570" w:rsidRDefault="00632570">
      <w:pPr>
        <w:pStyle w:val="a4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jc w:val="both"/>
      </w:pPr>
      <w:r>
        <w:t xml:space="preserve"> Земельное право России // Под ред. Петрова В.В. М., 1995</w:t>
      </w:r>
      <w:bookmarkStart w:id="0" w:name="_GoBack"/>
      <w:bookmarkEnd w:id="0"/>
    </w:p>
    <w:sectPr w:rsidR="00632570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70" w:rsidRDefault="00632570">
      <w:r>
        <w:separator/>
      </w:r>
    </w:p>
  </w:endnote>
  <w:endnote w:type="continuationSeparator" w:id="0">
    <w:p w:rsidR="00632570" w:rsidRDefault="0063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70" w:rsidRDefault="00632570">
      <w:r>
        <w:separator/>
      </w:r>
    </w:p>
  </w:footnote>
  <w:footnote w:type="continuationSeparator" w:id="0">
    <w:p w:rsidR="00632570" w:rsidRDefault="0063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70" w:rsidRDefault="00632570">
    <w:pPr>
      <w:pStyle w:val="a4"/>
      <w:framePr w:wrap="around" w:vAnchor="text" w:hAnchor="margin" w:xAlign="center" w:y="1"/>
      <w:rPr>
        <w:rStyle w:val="a5"/>
      </w:rPr>
    </w:pPr>
  </w:p>
  <w:p w:rsidR="00632570" w:rsidRDefault="00632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70" w:rsidRDefault="0077152A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32570" w:rsidRDefault="00632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598"/>
    <w:multiLevelType w:val="hybridMultilevel"/>
    <w:tmpl w:val="5F4C3B10"/>
    <w:lvl w:ilvl="0" w:tplc="1DDE0F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1914970"/>
    <w:multiLevelType w:val="hybridMultilevel"/>
    <w:tmpl w:val="937A2E62"/>
    <w:lvl w:ilvl="0" w:tplc="B846C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95D4F"/>
    <w:multiLevelType w:val="hybridMultilevel"/>
    <w:tmpl w:val="E2CAE1B8"/>
    <w:lvl w:ilvl="0" w:tplc="51582A94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0F1B3C11"/>
    <w:multiLevelType w:val="hybridMultilevel"/>
    <w:tmpl w:val="D2AA657E"/>
    <w:lvl w:ilvl="0" w:tplc="4D680A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5FC3A82"/>
    <w:multiLevelType w:val="hybridMultilevel"/>
    <w:tmpl w:val="BEE4D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3B06EE"/>
    <w:multiLevelType w:val="hybridMultilevel"/>
    <w:tmpl w:val="445AA6CA"/>
    <w:lvl w:ilvl="0" w:tplc="B2A4DC7C">
      <w:start w:val="10"/>
      <w:numFmt w:val="bullet"/>
      <w:lvlText w:val="-"/>
      <w:lvlJc w:val="left"/>
      <w:pPr>
        <w:tabs>
          <w:tab w:val="num" w:pos="845"/>
        </w:tabs>
        <w:ind w:left="84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52A"/>
    <w:rsid w:val="00632570"/>
    <w:rsid w:val="0077152A"/>
    <w:rsid w:val="00A6564A"/>
    <w:rsid w:val="00EC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2D439-D10B-4C7E-BDC7-658E77D2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before="240"/>
      <w:ind w:firstLine="320"/>
      <w:jc w:val="both"/>
    </w:pPr>
    <w:rPr>
      <w:szCs w:val="20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firstLine="360"/>
      <w:jc w:val="both"/>
    </w:pPr>
    <w:rPr>
      <w:szCs w:val="20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before="100" w:line="280" w:lineRule="auto"/>
      <w:ind w:firstLine="900"/>
      <w:jc w:val="both"/>
    </w:pPr>
    <w:rPr>
      <w:szCs w:val="20"/>
    </w:rPr>
  </w:style>
  <w:style w:type="paragraph" w:styleId="21">
    <w:name w:val="Body Text 2"/>
    <w:basedOn w:val="a"/>
    <w:semiHidden/>
    <w:pPr>
      <w:jc w:val="center"/>
    </w:pPr>
    <w:rPr>
      <w:b/>
      <w:bCs/>
      <w:i/>
      <w:iCs/>
      <w:spacing w:val="24"/>
      <w:sz w:val="32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lock Text"/>
    <w:basedOn w:val="a"/>
    <w:semiHidden/>
    <w:pPr>
      <w:autoSpaceDE w:val="0"/>
      <w:autoSpaceDN w:val="0"/>
      <w:adjustRightInd w:val="0"/>
      <w:ind w:left="97" w:right="97" w:firstLine="97"/>
      <w:jc w:val="both"/>
    </w:pPr>
    <w:rPr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механических повреждений</vt:lpstr>
    </vt:vector>
  </TitlesOfParts>
  <Company>КубГАУ</Company>
  <LinksUpToDate>false</LinksUpToDate>
  <CharactersWithSpaces>21233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механических повреждений</dc:title>
  <dc:subject/>
  <dc:creator>Верхотуров Антон Юрьевич</dc:creator>
  <cp:keywords/>
  <dc:description/>
  <cp:lastModifiedBy>Irina</cp:lastModifiedBy>
  <cp:revision>2</cp:revision>
  <cp:lastPrinted>2002-01-31T15:46:00Z</cp:lastPrinted>
  <dcterms:created xsi:type="dcterms:W3CDTF">2014-08-06T16:54:00Z</dcterms:created>
  <dcterms:modified xsi:type="dcterms:W3CDTF">2014-08-06T16:54:00Z</dcterms:modified>
</cp:coreProperties>
</file>