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FF" w:rsidRDefault="006518FF">
      <w:pPr>
        <w:pStyle w:val="1"/>
        <w:jc w:val="center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ГИГИЕНА ДЕТЕЙ И ПОДРОСТКОВ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1. Методы исследования и оценки состояния здоровья детей и подростков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2. Методы исследования и оценки физического развития детей и подростков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3. Гигиеническая оценка организации физического воспитания в детских учреждениях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4. Гигиенические основы учебно-воспитательного процесса в детских учреждениях.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5. Диагностика готовности детей к обучению в школе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6. Гигиена учебного процесса в общеобразовательной школе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Тема 1. Методы исследования и оценки состояния здоровья детей и подростков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Практическая значимость темы: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По данным ВОЗ (1990) состояние здоровья детей является одной из наиболее актуальных проблем во всем мире. Ее важность во многом обусловлена прогрессирующим ухудшением состояния окружающей среды. Организм ребенка, находящийся в процессе развития, в большей степени подвержен влиянию как благоприятных, так и не благоприятных факторов, более быстро и остро реагирует на изменение окружающей среды. При изучении влияния различных факторов важно определить их комплексы воздействия, а также выяснить каким образом при их комбинации модифицируется влияние каждого фактора. Интегральным результатом воздействия окружающей среды на детское население является уровень и качество здоровья детей. Врач педиатр должен уметь определить эти два показателя, определить состояние здоровья ДиП.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Цель занятия: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1. Усвоить определение понятия, здоровья населения и здоровья индивидуума.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2. Изучить факторы, формирующие здоровье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3. Ознакомиться с показателями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4. Освоить методы медицинского контроля за состоянием здоровья ДиП.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5. Усвоить критерии и группы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6. Научиться комплексной оценки состояния здоровья ДиП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Вопросы теории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1. Определение понятия “здоровье” по ВОЗ.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2. Критерии оценки состояния здоровья индивидуума.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3. Факторы, формирующие здоровье ДиП.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4. Показатели, характеризующие состояние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5. Группы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6. Организация и порядок проведения медосмотров</w:t>
      </w:r>
      <w:r>
        <w:rPr>
          <w:rFonts w:ascii="Arial" w:hAnsi="Arial"/>
          <w:sz w:val="20"/>
        </w:rPr>
        <w:br/>
        <w:t>а) периодичность мед. осмотров</w:t>
      </w:r>
      <w:r>
        <w:rPr>
          <w:rFonts w:ascii="Arial" w:hAnsi="Arial"/>
          <w:sz w:val="20"/>
        </w:rPr>
        <w:br/>
        <w:t>б) этапы мед. осмотров</w:t>
      </w:r>
      <w:r>
        <w:rPr>
          <w:rFonts w:ascii="Arial" w:hAnsi="Arial"/>
          <w:sz w:val="20"/>
        </w:rPr>
        <w:br/>
        <w:t>в) объем мед. исследований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7. Комплексная оценка состояния здоровья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Практические навыки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Студент должен уметь определять группу здоровья и проводить комплексную оценку состояния здоровья ДиП.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Литература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1. Гигиена детей и подростков под ред. В. Н. Кардатенко - М. - Медицина - 1980 - с. 41-115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2. Руководство к лабораторным занятиям по гигиене ДиП - под ред. В. Н. Кардашенко - М., Медицина - 1983 - С. 7-51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Задание на самоподготовку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1. На основании литературы и приведенного учебного материала изучитьфакторы, формирующие здоровье ДиП, критерии и группы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2. Освоить мед. контроль за состоянием здоровья ДиП. Овладеть методикой комплексной оценки состояния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Учебный материал для самоподготовки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b/>
          <w:i/>
          <w:sz w:val="20"/>
        </w:rPr>
        <w:t xml:space="preserve">1. Показатели оценки состояния здоровья, факторы формирования здоровья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Здоровье является критерием --------- взаимоотношений детского организма с окружающей средой. Оно формируется под влиянием сложного комплекса биологических, экологических и социальных факторов.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Поэтому, для гигиенистов наиболее близким по духу является определение здоровья, принятое Уставом ВОЗ “Здоровье - это состояние полного физического, духовного и социального благополучия, характеризующееся динамическим равновесием организма с окружающей средой, а также отсутствием в нем болезней и физических дефектов”.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Здоровье, как мера жизненности, способности организма к оптимальному функционированию, характеризуется в этом случае не только отсутствием клинически выраженной симптоматики болезней, но и отсутствием начальных их проявлений, состояний предболезни, и так называемой, “малой патологии”, выявляемых часто на уровне функциональных, легко обратимых изменений, свидетельствующих о снижении общей сопротивляемости организма к воздействию неблагоприятных факторов окружающей среды.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Выявляемые по итогам демографических исследований показатели здоровья (заболеваемость, смертность, инвалидность и др.) - это лишь видимая вершина айсберга, подводную часть которого составляют предпатологические (донозологические) состояния, отражающие стадии движения от здоровья к болезни. Изучение этих состояний, как основы определения “уровня” здоровья здорового ребенка является предметом гигиенической диагностики (“гигиенического мониторинга”), изучающей среду, здоровье и связь между ними. Именно здоровье коллектива выступает в этом случае критерием донозологической диагностики, “маркером” отрицательного влияния среды на человека, критерием эффективности всей профилактической работы, проводимой органами санитарно-эпидемиологической службы.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Чтобы приблизить первичную профилактику к основной задаче - увеличению продолжительности жизни людей, гигиеническая диагностика, имея 3 объекта исследования (состояние здоровья, среду обитания, их взаимосвязь), призвана идентифицировать стадии шкалы здоровья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полное здоровье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практическое здоровье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предболезнь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Это необходимо для предотвращения перехода состояний в различные заболевания.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Взаимодействие гигиенической диагностики и диспансеризации должно осуществляться в 4 этапа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1 этап - изучение экологической ситуации, условий жизнедеятельности, образа жизни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2 этап - медицинское обследование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3 этап - оздоровительные мероприятия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4 этап - динамическое диспансерное наблюдение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Всесторонняя оценка характера развития и состояния здоровья ребенка требует обязательного учета физического и нервно-психического развития, степени и гармоничности полноценности функционального состояния его организма.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Наличие методов диагностики предпатологических (донозологических) состояний, количественная оценка глубины и степени обратимости этих процессов, могут стать научной основой таких профилактических мер, которые будут соответствовать задачам первичной и вторичной профилактики. Исходя из этого, профилактика становится направленной не на предупреждение конкретных заболеваний, а на снижение вероятности их развития в целом. Выделяют следующие факторы влияющие на состояние здоровья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Схема 1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Факторы, формирующие здоровье детского населения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</w:tblGrid>
      <w:tr w:rsidR="006518FF">
        <w:tc>
          <w:tcPr>
            <w:tcW w:w="2205" w:type="dxa"/>
          </w:tcPr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Социально экономические условия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</w:tr>
      <w:tr w:rsidR="006518FF"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Окружающая среда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Наследственность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физическое воспитание</w:t>
            </w:r>
          </w:p>
        </w:tc>
      </w:tr>
      <w:tr w:rsidR="006518FF"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</w:tr>
      <w:tr w:rsidR="006518FF">
        <w:tc>
          <w:tcPr>
            <w:tcW w:w="2205" w:type="dxa"/>
          </w:tcPr>
          <w:p w:rsidR="006518FF" w:rsidRDefault="004C1185">
            <w:pPr>
              <w:pStyle w:val="1"/>
              <w:rPr>
                <w:sz w:val="20"/>
              </w:rPr>
            </w:pPr>
            <w:r>
              <w:rPr>
                <w:noProof/>
                <w:snapToGrid/>
                <w:sz w:val="20"/>
              </w:rPr>
              <w:pict>
                <v:line id="_x0000_s1027" style="position:absolute;z-index:251657216;mso-position-horizontal-relative:text;mso-position-vertical-relative:text" from="94.75pt,1.45pt" to="209.95pt,1.45pt" o:allowincell="f">
                  <w10:wrap type="topAndBottom"/>
                </v:line>
              </w:pict>
            </w:r>
            <w:r w:rsidR="006518FF">
              <w:rPr>
                <w:sz w:val="20"/>
              </w:rPr>
              <w:t>Условия быта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Состояние здоровья детского населения</w:t>
            </w:r>
          </w:p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смертность</w:t>
            </w:r>
          </w:p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заболеваемость</w:t>
            </w:r>
          </w:p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инвалидность</w:t>
            </w:r>
          </w:p>
          <w:p w:rsidR="006518FF" w:rsidRDefault="006518F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физ. развитие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Режим дня</w:t>
            </w:r>
          </w:p>
        </w:tc>
      </w:tr>
      <w:tr w:rsidR="006518FF">
        <w:tc>
          <w:tcPr>
            <w:tcW w:w="2205" w:type="dxa"/>
          </w:tcPr>
          <w:p w:rsidR="006518FF" w:rsidRDefault="004C1185">
            <w:pPr>
              <w:pStyle w:val="1"/>
              <w:jc w:val="center"/>
              <w:rPr>
                <w:sz w:val="20"/>
              </w:rPr>
            </w:pPr>
            <w:r>
              <w:rPr>
                <w:noProof/>
                <w:snapToGrid/>
                <w:sz w:val="20"/>
              </w:rPr>
              <w:pict>
                <v:line id="_x0000_s1032" style="position:absolute;left:0;text-align:left;z-index:251658240;mso-position-horizontal-relative:text;mso-position-vertical-relative:text" from="94.75pt,12.15pt" to="209.95pt,12.15pt" o:allowincell="f">
                  <w10:wrap type="topAndBottom"/>
                </v:line>
              </w:pic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Условия обучения</w:t>
            </w:r>
          </w:p>
        </w:tc>
      </w:tr>
      <w:tr w:rsidR="006518FF"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Медико-санитарная помощь </w:t>
            </w:r>
          </w:p>
        </w:tc>
        <w:tc>
          <w:tcPr>
            <w:tcW w:w="2205" w:type="dxa"/>
          </w:tcPr>
          <w:p w:rsidR="006518FF" w:rsidRDefault="006518FF">
            <w:pPr>
              <w:pStyle w:val="1"/>
              <w:rPr>
                <w:sz w:val="20"/>
              </w:rPr>
            </w:pPr>
          </w:p>
        </w:tc>
      </w:tr>
    </w:tbl>
    <w:p w:rsidR="006518FF" w:rsidRDefault="006518FF">
      <w:pPr>
        <w:pStyle w:val="1"/>
        <w:rPr>
          <w:sz w:val="20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Необходимо обратить внимание на роль таких факторов, влияющих на формирование здоровья, как биологический (возраст матери, состояние ее здоровья, длина тела, число родов, масса ребенка при рождении, наличие отклонений в акте - ---------- - и раннем постнатальном периодах и др. 0 и социальных (площадь квартиры, подушевой доход, образование родителей, общественное и семейное воспитание ребенка, режим дня в т. ч. продолжительность сна и пребывание на открытом воздухе).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b/>
          <w:i/>
          <w:sz w:val="20"/>
        </w:rPr>
        <w:t xml:space="preserve">2. Медицинский контроль за состоянием здоровья детей.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Одной из важнейших задач врача-педиатра является контроль за формированием и динамикой состояния здоровья ДиП.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Контроль за динамикой состояния здоровья регламентируется приказом МЗ РФ от 14. 03. 95 № 60 “Об утверждении инструкции по проведению профилактических осмотров детей дошкольного и школьного возрастов на основе медико-экономических нормативов”.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Контроль за состоянием здоровья в настоящее время проводится на основе массовых скрининг-тестов и представляет собой новый принцип организации углубленных осмотров детей и подростков. Он проводится в несколько этапов: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1 этап - обследование всех детей по скрининг-программе, которое проводится в основном медицинской сестрой детского учреждения;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2 этап - обследование детей, выполненных по скрининг-тестам, врачом детского учреждения;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3 этап - обследование узкими специалистами поликлиники детей, направленных из дошкольного учреждения (школы) на консультацию.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Данный принцип организации медосмотра обеспечивает значительное повышение роли среднего мед. персонала детского учреждения в контроле за состоянием здоровья детей, а также обеспечивает рациональное использование рабочего времени врачей и узких специалистов при дифференцированном контроле за состоянием здоровья детей.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Скрининг-программа включает в себя: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1. Анкетный тест - опрос родителей или учащихся с помощью специальной анкеты. Опрос направлен на выявление анамнестических данных и жалоб, характерных для изменений в нервной, сердечно-сосудистой, пищеварительной, мочевыделительной системах, а также типичных для заболеваний носоглотки и аллергических заболеваний и состояний (приложение 1).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 данной анкете в виде простых вопросов сгруппированы основные “ключевые” жалобы, возникающие у детей и подростков при наличии отклонений в состоянии здоровья по ведущим системам. При обследовании дошкольников и учащихся 1-4 классов анкету заполняют родители, с 5 класса - сами учащиеся.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Вопросы направлены на выявление возможной патологии со стороны нервной системы - возможной патологии со стороны сердечно-сосудистой системы, - со стороны носоглотки, - органов пищеварения, - почек, - аллергии.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Результаты анкетного опроса обобщаются медсестрой, которая отмечает знаком (+) номера вопросов, на которые получен положительный ответ. После этого врач детского учреждения анализирует результаты опроса и отбирает детей, нуждающихся в обследовании, и после их осмотра решает вопрос о необходимости консультации узких специалистов для дополнительных обследований.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2. Индивидуальная оценка физического развития по шкалам регрессии.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3. Измерение артериального давления (у учащихся младших классов - с учетом возрастных поправок на стандартную манжетку) для выявления гипертонических и гипотонических состояний.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Объективизация значений артериального давления у детей 8-12 лет достигается только при использовании “возрастных” манжеток или дополнительных расчетов с поправкой на размер окружности плеча каждого ребенка, которая тесно коррелирует с массой тела. Величины поправок, стандартизованные на базе индивидуальной оценки физического развития детей, приведены в таблице: </w:t>
      </w: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Поправки (в мм рт. ст.) к цифрам систолического* давления, полученного при измерении стандартной манжеткой (для детей 8-12 лет с разной массой тела)</w:t>
      </w: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</w:p>
    <w:p w:rsidR="006518FF" w:rsidRDefault="006518FF">
      <w:pPr>
        <w:pStyle w:val="1"/>
        <w:rPr>
          <w:rFonts w:ascii="Arial" w:hAnsi="Arial"/>
          <w:sz w:val="20"/>
          <w:lang w:val="en-US"/>
        </w:rPr>
      </w:pPr>
    </w:p>
    <w:p w:rsidR="006518FF" w:rsidRDefault="006518FF">
      <w:pPr>
        <w:pStyle w:val="1"/>
        <w:rPr>
          <w:sz w:val="20"/>
          <w:lang w:val="en-US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Таблица 1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605"/>
        <w:gridCol w:w="1605"/>
        <w:gridCol w:w="1605"/>
      </w:tblGrid>
      <w:tr w:rsidR="00773419" w:rsidTr="00773419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Возраст (в годах)</w:t>
            </w:r>
          </w:p>
        </w:tc>
        <w:tc>
          <w:tcPr>
            <w:tcW w:w="481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Масса тела по отношению к стандарту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18FF"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13**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518FF" w:rsidRDefault="006518FF">
      <w:pPr>
        <w:pStyle w:val="1"/>
        <w:rPr>
          <w:sz w:val="20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Примечание: * - цифры диастолического давления следует рассматривать без поправок, т. к. различия в значении диастолического давления при изменении стандартной и возрастной манжетками несущественны.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** - у детей 13 лет и старше (независимо от массы тела) истинные цифры артериального давления при изменении стандартной и возрастной манжетками не отличаются.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Артериальное давление измеряется общепринятым способом - сидя, на правой руке, после 10-минутного отдыха, по методу Короткова. Для большей точности рекомендуется 3-х кратное измерение с фиксацией показателей последнего измерения.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Выявление нарушений опорно-двигательного аппарата с помощью комбинированного визуального инструментального исследования.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Тест для выявления нарушений осанки.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Данное тестовое обследование проводится врачом детского учреждения и включает осмотр ребенка с ответом на 10 вопросов тест-карты (таблица 2).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Таблица 2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Тестовая карта для выявления нарушений осанки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695"/>
      </w:tblGrid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1. Явное повреждение органов движения связанное с врожденными пороками, травмой, болезнью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Голова, шея отклонены от средней линии: плечи, лопатки, бедра установлены несимметрично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Грудная клетка “сапожника”, “деформированная”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4. Чрезмерное уменьшение или увеличение физиологической кривизны позвоночника: шейного лордоза, грудного кифоза, поясничного лордоза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5. Чрезмерное отставание лопаток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6. Чрезмерное выпячивание живота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Нарушение осей нижних конечностей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(О-образное, Х-образное) 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8. Неравенство треугольников талии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9. Вальгусное положение пятки или обеих пяток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6518FF"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10. Явное отклонение в походке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</w:tbl>
    <w:p w:rsidR="006518FF" w:rsidRDefault="006518FF">
      <w:pPr>
        <w:pStyle w:val="1"/>
        <w:rPr>
          <w:sz w:val="20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Обследование проводится в следующем порядке: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Осмотр в фас. Положение - руки вдоль туловища. Определяются форма ног, положение головы, шеи, симметрия плеч, равенство треугольников талии (треугольник талии - это просвет треугольной формы между внутренней поверхностью рук и туловищем, с вершиной треугольника на уровне талии, в норме треугольники должны быть одинаковыми по форме и равными по величине).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Осмотр сбоку. Положение - руки вдоль туловища. Определяются форма грудной клетки, живота, выступление лопаток, форма спины.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Осмотр со спины. Положение - руки вдоль туловища. Определяются симметрия углов лопаток, форма позвоночника, форма ног, ось пяток (вальгусная, варусная, нормальная).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 конце обследования ребенку предлагается сделать несколько шагов для выявления возможных нарушений в походке.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В процессе проводимого осмотра заполняется тестовая карта, по которой дается оценка выявленных нарушений осанки: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· нормальная оценка - отрицательные ответы на все вопросы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· некоторые отклонения требующие наблюдения школьно-дошкольного педиатра - положительные ответы на один или несколько вопросов от 3-х до 7 номера включительно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· значительное нарушение осанки - положительные ответы на 1, 2, 8, 9, 10 вопросы (один или несколько). Дети, отнесенные к данной группе подлежат обязательному направлению к ортопеду.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i/>
          <w:sz w:val="20"/>
        </w:rPr>
        <w:t xml:space="preserve">Тест для выявления истинного сколиоза.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К истинным сколиозам относятся только те, которые сопровождаются торсией, или поворотом позвоночника относительно оси, при которой остистые отростки позвонков уклоняются в ту или иную сторону от средней полоски, образуя выпуклость, видимую при наклоне туловища.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Основным приемом для выявления истинного сколиоза считается осмотр со сгибанием позвоночника и наклоном туловища вперед: наклон туловища проводится медленно, при этом руки свободно свисают вниз, ноги выпрямлены. При наличии сколиоза определяется асимметричное реберное выбухание в грудном отделе и мышечный валик в поясничном отделе.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Для более точного выявления торсии позвонков осмотр следует проводить в двух положениях: спереди и сзади.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При осмотре сзади (ребенок стоит спиной к врачу), наклоняя туловище ребенка от себя, можно выявить торсию позвоночников в грудопоясничном отделах позвоночника.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Тест для выявления плоскостопия - плантография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i/>
          <w:sz w:val="20"/>
        </w:rPr>
        <w:t>Выявление предмиопии с помощью теста А. А. Малиновского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Данный тест применяется у дошкольников в возрасте 6 лет и учащихся 11-х классов.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Обычно обследование остроты зрения, осуществляемое по специальным диагностическим таблицам Сивцева-Головина, выявляет в основном наличие уже развившейся патологии зрения. Тест А. А. Малиновского позволяет выявить детей с предрасположенностью к миопии.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Выявление предмиопии с помощью теста А. А. Малиновского включает 2 исследовательских этапа.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· определение остроты зрения (по общепринятой методике)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· выявление детей с предмиопией среди контингента с нормальной остротой зрения.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Методика обследования: после определения обычным способом остроты зрения, к глазу ребенка с нормальной остротой подносится линза, сила которой соответствует средней рефракции глаз для детей данного возраста, и вновь определяется острота зрения (общепринятым способом по буквенным таблицам, ребенок сидит на стуле на расстоянии 5 м от таблицы (каждый глаз обследуется раздельно, при закрытом щитком другом глазе. Для тестирования используют линзы + 1,0 Д в детской оправе, с расстоянием между оптическими осями глаз 56-58 мм.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Оценка результатов: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t ребенок, глядя через линзу, читает правильно 9-10 строчку таблицы - тест отрицательный (нормальная возрастная рефракция);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t ребенок, глядя через линзу, не может правильно прочитать буквы 9-10 строчки или вообще их различить - тест положительный (усиление возрастной рефракции - предмиопическое состояние)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Дети с предмиопией рассматриваются как “группа риска” по миопии, т. к. у них в 80 раз чаще, чем у остальных, развивается миопия. Эти дети должны направляться к офтальмологу для особого наблюдения и периодического контроля. Обследование тестом Малиновского проводит медсестра детского учреждения. Детям с отрицательным тестом Малиновского исследование остроты зрения в школе можно проводить 1 раз в 3 года, т. е. в 4-7-10 классах.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i/>
          <w:sz w:val="20"/>
        </w:rPr>
        <w:t xml:space="preserve">Тест для выявления нарушений цветового зрения (для школьников).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Нарушения цветоощущения играет роль при выборе профессии (шофер, аппаратчик и др.), причем, имея зачастую наследственный характер, чаще выявляются у мальчиков.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Для исследования цветового зрения используются специальные полихроматические таблицы Рабкина. В этих таблицах из кружков различных цветов, но одинаковых различают лица с нормальным цветовым зрением.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Для использования используются только I-XIII полихроматические таблицы (первая серия - основная). Исследование проводится при естественном освещении (обследуемый сидит спиной к окну, исследователь - лицом к окну). Таблицы предъявляются вертикально с расстояния 1 м по 5-6 сек. каждая.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Оценка результатов: неправильное различие даже отдельных таблиц - аномалия цветового зрения. Школьник направляется на консультацию к офтальмологу.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Исследование цветового зрения проводится в 4-м классе школы в преддверии профориентационного выбора.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i/>
          <w:sz w:val="20"/>
        </w:rPr>
        <w:t xml:space="preserve">Лабораторные скрининг-тесты для выявления скрининг-протеинурии и глюкозурии.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Белок и глюкоза в моче определяются медсестрой детского учреждения с помощью специальных диагностических реактивных полосок, по изменению окраски которых судят о наличии и даже ориентировочной концентрации их в моче.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Все дети со следами белка в моче направляются на дополнительное обследование для выявления причин протеинурии, а со следами глюкозы в моче на консультацию к эндокринологу.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Повышение качества и информативности медосмотров достигается также предварительным проведением всем детям лабораторных исследований: общего анализа крови и кала на яйца глистов (не более, чем за 2-3 недели до осмотра), но на сегодняшний день эти рекомендации носят лишь пожелательный характер.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 программу медосмотров школьников включается функциональная проба сердечно-сосудистой системы с нагрузкой для определения степени ее тренированности и возможной нагрузки при занятиях физической культурой и спортом. Детям 8-10 лет с виде нагрузки предлагается 20 приседаний, 10-11 лет 25 приседаний, мальчикам 12-14 лет - 30 приседаний за 30 секунд.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 зависимости от характера сдвигов после функциональных проб различают благоприятную и неблагоприятную реакцию сердечно-сосудистой системы.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Благоприятной реакцией считается учащение пульса в пределах 50-70% от исходного уровня, увеличение систолического давления на 10-15 мм, умеренное увеличение пульсового давления на 20-35 мм и восстановление всех показателей в течении 2-3 минут.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Неблагоприятной реакцией считается значительное (более 70%) учащение пульса, уменьшение систолического и пульсового давления по сравнению с исходным уровнем, либо резкое увеличение систолического давления (на 25-40 мм и более) на фоне повышения диастолического, при замедленном восстановительном периоде. Снижение частоты пульса и систолического давления в период восстановления (2-3 мин. ) ниже исходных данных, также рассматривается как неблагоприятная реакция.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b/>
          <w:i/>
          <w:sz w:val="20"/>
        </w:rPr>
        <w:t xml:space="preserve">3. Комплексная оценка состояния здоровья детей и подростков. Критерии и группы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Комплексная оценка состояния здоровья детей введена приказом МЗ РФ № 60 от 19 января 1983 “О дальнейшем совершенствовании амбулаторно-поликлинической помощи детскому населению в городах”, дается на основании учета результатов медицинского осмотра и текущего наблюдения за ребенком, путем анализа 4-х основных критериев здоровья: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наличие или отсутствие в момент обследования хронических заболеваний и степень их клинических проявлений;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функциональное состояние основных органов и систем: сердечно-сосудистой, дыхательной, кровеносной, нервной и др. ;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резистентность организма, проявляющаяся количеством и длительностью заболеваний по обращаемости за предыдущий ко времени медосмотра год;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уровень физического и нервно-психического развития и степень их гармоничности.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В соответствии с указанными критериями, у каждого индивидуума определяется группа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Таблица 3.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Распределение обследуемых по группам здоровья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386"/>
        <w:gridCol w:w="2551"/>
        <w:gridCol w:w="1920"/>
        <w:gridCol w:w="1908"/>
      </w:tblGrid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Группа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Хроническая патология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Функциональное состояние основных систем и органов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Резистентность и реактивность организма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Физическое и нервно-психическое развитие</w:t>
            </w:r>
          </w:p>
        </w:tc>
      </w:tr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Без отклонений.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Единичный кариес зубов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Острые заболевания за предшествовавший наблюдению период отсутствовали или протекали эпизодически, легко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Хорошее (нормальное), гармоничное физическое развитие. Нервно-психический статус соответствует возрасту</w:t>
            </w:r>
          </w:p>
        </w:tc>
      </w:tr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Наличие функциональных отклонений (пониженное содержание гемоглобина, гипертонические и гипотонические реакции и т. д.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Кариес зубов - субкомпенсированная форма, аномалия прикуса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Заболеваемость частые и продолжительные острые заболевания с последующим затяжным реконвалесцентным периодом – вялость, повышенная возбудимость, нарушение сна и аппетита, субфебрилитет и т. д. 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Нормальное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(1 ст. )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ухудшенное (2 ст. )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плохое (3ст. ) или общая задержка (4ст)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физ. развитие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нормальное или нерезко выраженное отставание нервно-психического развития. </w:t>
            </w:r>
          </w:p>
        </w:tc>
      </w:tr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Наличие хронической патологии в стадии компенсации, врожденных дефектов развития органов и систем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Наличие функциональных отклонений в патологически измененной системе органа без клинических проявлений, функциональных отклонений в др. органах и системах. Кариес зубов - декомпенсированная форма. 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Заболеваемость - редкие, нетяжелые по характеру течения обострение основного хронического заболевания без выраженного ухудшения общего состояния и самочувствия.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Редкие интеркуррентные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Все степени ФР. Нормальное или с нерезко выраженным отстаиванием нервно-психическое развитие нормальное или отстает</w:t>
            </w:r>
          </w:p>
        </w:tc>
      </w:tr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Наличие хронической патологии в стадии субкомпенсации врожденных дефектов развития органов и систем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Наличие функциональных отклонений патологически измененного органа, системы и других органов и систем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Заболеваемость - частые обострения основного хронического заболевания редкие и частые острые заболевания с нарушением общего состояния и самочувствия после обострения или с затяжным реконвалесцентным периодом после интеркуррентного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Все степени физического развития. Нервно-психическое развитие нормальное или отстает </w:t>
            </w:r>
          </w:p>
        </w:tc>
      </w:tr>
      <w:tr w:rsidR="006518FF"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Наличие тяжелой хронической патологии в стадии декомпенсации или тяжелого врожденного порока, предрешающих инвалидность индивидуума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Резко выраженные или врожденные функциональные отклонения патологически измененного органа, системы, др. органов и систем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Заболеваемость - частые тяжелые обострения основного хронического заболевания, частые острые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Все степени физического развития.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Нервно-психическое развитие нормальное или отстает</w:t>
            </w:r>
          </w:p>
        </w:tc>
      </w:tr>
    </w:tbl>
    <w:p w:rsidR="006518FF" w:rsidRDefault="006518FF">
      <w:pPr>
        <w:pStyle w:val="1"/>
        <w:rPr>
          <w:sz w:val="20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Дети I группы здоровья наблюдаются врачом в обычные сроки, установленные для профилактических медосмотров здоровых детей.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Дети II группы здоровья (“группа риска”) наблюдаются врачом в сроки, устанавливаемые для каждого ребенка, в соответствии со степенью риска в отношении формирования у них хронической патологии, выраженности функциональных отношений и степени резистентности.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Часто болеющие дети, дети, перенесшие острую пневмонию, болезнь Боткина и др. хотя и относятся ко II группе здоровья, в периоде реконвалесценции берутся на диспансерный учет по ф. № 30.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Дети III, IV, V групп берутся на диспансерный учет по ф. № 30 и порядок их медицинского обслуживания определяется специальными методическими указаниями (М. 1968, 1974, Харьков, 1982; Фрунзе, 1985).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По результатам оценки состояния здоровья, уровня физического развития и физической подготовленности, обследуемые лица выделяются в медицинские группы,. регулирующие объем их занятий по курсу физического воспитания. Медицинская характеристика указанных групп приводится в таблице 4. При выведении медицинской группы, врач должен ответить на следующие вопросы: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может ли обследуемый выполнить требования, предъявляемые учебными программами по физическому воспитанию, или ему необходимы ограничения и какие?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- нуждается ли обследуемый в занятиях физическими упражнениями с лечебной целью (корригирующей гимнастикой и т. д. )?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может ли обследуемый заниматься в спортивных секциях, участвовать в тренировочных занятиях и состязаниях, в каких именно и при каких условиях.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Таблица 4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Группы для занятий по курсу физического воспитания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582"/>
        <w:gridCol w:w="3402"/>
      </w:tblGrid>
      <w:tr w:rsidR="006518FF"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Наименование группы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Допускаемые мероприятия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b/>
                <w:i/>
                <w:sz w:val="20"/>
              </w:rPr>
              <w:t>Медицинская характеристика группы</w:t>
            </w:r>
          </w:p>
        </w:tc>
      </w:tr>
      <w:tr w:rsidR="006518FF"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Занятия по программе физического воспитания в полном объеме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Сдача норм БГТО, ГТО I, ГТО II ступени последовательно.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Занятия в одной из спортивных секций (общей физической подготовки, легкой атлетики, гимнастики и др. ), участие в соревновании по одному виду спорта.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Лица без отклонений в физическом развитии, состоянии здоровья, а также лица с незначительными отклонениями в состоянии здоровья, но с достаточной физической подготовленностью. </w:t>
            </w:r>
          </w:p>
        </w:tc>
      </w:tr>
      <w:tr w:rsidR="006518FF"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 Занятия по программе физического воспитания при условии более постепенного прохождения их с отсрочкой сдачи контрольных испытаний и норм БГТО, ГТО I ступени на срок до 1 года, сдача норм ГТО II ступени с особого разрешения врача. </w:t>
            </w:r>
          </w:p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Занятия в секции общей физической подготовки.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Лица, имеющие незначительные отклонения в физическом развитии и состоянии здоровья без достаточной степени физической подготовленности. </w:t>
            </w:r>
          </w:p>
        </w:tc>
      </w:tr>
      <w:tr w:rsidR="006518FF"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Занятия по особой программе или по отдельным видам государственных программ, причем срок подготовки удлиняется, а нормативы снижаются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8FF" w:rsidRDefault="006518F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Лица, имеющие значительные отклонения в состоянии здоровья постоянного или временного характера, не мешающие выполнению обычной программы производственной работы, но являющиеся противопоказанием к занятиям по государственным программам в общих группах. </w:t>
            </w:r>
          </w:p>
        </w:tc>
      </w:tr>
    </w:tbl>
    <w:p w:rsidR="006518FF" w:rsidRDefault="006518FF">
      <w:pPr>
        <w:pStyle w:val="1"/>
        <w:rPr>
          <w:sz w:val="20"/>
        </w:rPr>
      </w:pP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Запрещать занятия по физическому воспитанию врач должен в крайних случаях, когда он сомневается в их пользе и успехе. В зависимости от состояния здоровья ребенка врач после консультации со специалистами назначает конкретные виды упражнений, определяет их продолжительность и осуществляет систематическое наблюдение за реакциями и здоровьем детей.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Самостоятельная работа студентов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Оценка качества самоподготовки студентов по результатам устного или письменного тестирования.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Выполнение рефератов на темы: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Состояние здоровья детей и подростков на современном этапе.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Влияние на состояние здоровья детей социальной среды.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- Влияние на состояние здоровья природных факторов окружающей среды.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Решение ситуационных задач (анализ результатов медицинского осмотра, оценка состояния здоровья, выявление факторов риска, определение группы здоровья, группы для физического воспитания, составление индивидуального комплекса лечебно-оздоровительных мероприятий и т. д.)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Контрольные вопросы по теме: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1. Определение понятия “здоровье индивидуума” и “здоровье населения”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2. Факторы, формирующие здоровье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>3. Показатели и критерии здоровья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4. Медицинский контроль за состоянием здоровья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5. Организация и порядок проведения медицинских осмотров.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6. Комплексная оценка состояния здоровья детей и подростков.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7. Распределение обследуемых по группам здоровья.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8. Группы для занятий по курсу физического воспитания. </w:t>
      </w:r>
    </w:p>
    <w:p w:rsidR="006518FF" w:rsidRDefault="006518FF">
      <w:pPr>
        <w:pStyle w:val="1"/>
        <w:rPr>
          <w:sz w:val="20"/>
        </w:rPr>
      </w:pPr>
      <w:r>
        <w:rPr>
          <w:rFonts w:ascii="Arial" w:hAnsi="Arial"/>
          <w:sz w:val="20"/>
        </w:rPr>
        <w:t xml:space="preserve">©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sz w:val="20"/>
        </w:rPr>
        <w:t>Медицинский Вестник</w:t>
      </w:r>
      <w:r>
        <w:rPr>
          <w:rFonts w:ascii="Arial" w:hAnsi="Arial"/>
          <w:i/>
          <w:sz w:val="20"/>
        </w:rPr>
        <w:t>» № 10</w:t>
      </w:r>
      <w:r>
        <w:rPr>
          <w:rFonts w:ascii="Arial" w:hAnsi="Arial"/>
          <w:sz w:val="20"/>
        </w:rPr>
        <w:t xml:space="preserve">`98 г. </w:t>
      </w:r>
      <w:r>
        <w:rPr>
          <w:rFonts w:ascii="Arial" w:hAnsi="Arial"/>
          <w:i/>
          <w:sz w:val="20"/>
        </w:rPr>
        <w:t>(65)</w:t>
      </w:r>
    </w:p>
    <w:p w:rsidR="006518FF" w:rsidRDefault="006518FF">
      <w:pPr>
        <w:pStyle w:val="1"/>
        <w:jc w:val="center"/>
        <w:rPr>
          <w:sz w:val="20"/>
        </w:rPr>
      </w:pPr>
      <w:bookmarkStart w:id="0" w:name="_GoBack"/>
      <w:bookmarkEnd w:id="0"/>
    </w:p>
    <w:sectPr w:rsidR="006518FF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230"/>
    <w:rsid w:val="002A3230"/>
    <w:rsid w:val="004C1185"/>
    <w:rsid w:val="006518FF"/>
    <w:rsid w:val="007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9F7342C-2E79-42A6-B46C-1D8FA97F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ГИГИЕНА ДЕТЕЙ И ПОДРОСТКОВ</vt:lpstr>
    </vt:vector>
  </TitlesOfParts>
  <Company> </Company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ДЕТЕЙ И ПОДРОСТКОВ</dc:title>
  <dc:subject/>
  <dc:creator>Катя</dc:creator>
  <cp:keywords/>
  <cp:lastModifiedBy>admin</cp:lastModifiedBy>
  <cp:revision>2</cp:revision>
  <dcterms:created xsi:type="dcterms:W3CDTF">2014-02-07T07:44:00Z</dcterms:created>
  <dcterms:modified xsi:type="dcterms:W3CDTF">2014-02-07T07:44:00Z</dcterms:modified>
</cp:coreProperties>
</file>