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90044">
        <w:rPr>
          <w:sz w:val="28"/>
          <w:szCs w:val="28"/>
        </w:rPr>
        <w:t>ХРИСТИАНСКИЙ ГУМАНИТАРНО-ЭКОНОМИЧЕСКИЙ ОТКРЫТЫЙ УНИВЕРСИТЕТ</w:t>
      </w:r>
    </w:p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90044">
        <w:rPr>
          <w:b/>
          <w:bCs/>
          <w:sz w:val="28"/>
          <w:szCs w:val="28"/>
        </w:rPr>
        <w:t>РЕФЕРАТ</w:t>
      </w:r>
    </w:p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7666" w:rsidRPr="00990044" w:rsidRDefault="001F02E0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90044">
        <w:rPr>
          <w:sz w:val="28"/>
          <w:szCs w:val="28"/>
        </w:rPr>
        <w:t>студентки 5 курса</w:t>
      </w:r>
      <w:r w:rsidR="00990044" w:rsidRPr="00990044">
        <w:rPr>
          <w:sz w:val="28"/>
          <w:szCs w:val="28"/>
        </w:rPr>
        <w:t xml:space="preserve"> </w:t>
      </w:r>
      <w:r w:rsidR="00967666" w:rsidRPr="00990044">
        <w:rPr>
          <w:sz w:val="28"/>
          <w:szCs w:val="28"/>
        </w:rPr>
        <w:t>гуманитарного факультета</w:t>
      </w:r>
    </w:p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F02E0" w:rsidRPr="00990044" w:rsidRDefault="001F02E0" w:rsidP="0007178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0044">
        <w:rPr>
          <w:b/>
          <w:sz w:val="28"/>
          <w:szCs w:val="28"/>
        </w:rPr>
        <w:t>КАМИНСКОЙ</w:t>
      </w:r>
    </w:p>
    <w:p w:rsidR="001F02E0" w:rsidRPr="00990044" w:rsidRDefault="001F02E0" w:rsidP="00071781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0044">
        <w:rPr>
          <w:b/>
          <w:sz w:val="28"/>
          <w:szCs w:val="28"/>
        </w:rPr>
        <w:t>ЛАРИСЫ</w:t>
      </w:r>
      <w:r w:rsidR="00997968">
        <w:rPr>
          <w:b/>
          <w:sz w:val="28"/>
          <w:szCs w:val="28"/>
        </w:rPr>
        <w:t xml:space="preserve"> </w:t>
      </w:r>
      <w:r w:rsidRPr="00990044">
        <w:rPr>
          <w:b/>
          <w:sz w:val="28"/>
          <w:szCs w:val="28"/>
        </w:rPr>
        <w:t>ЛЕОНИДОВНЫ</w:t>
      </w:r>
    </w:p>
    <w:p w:rsidR="001F02E0" w:rsidRPr="00990044" w:rsidRDefault="001F02E0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90044">
        <w:rPr>
          <w:sz w:val="28"/>
          <w:szCs w:val="28"/>
        </w:rPr>
        <w:t xml:space="preserve">Учебная дисциплина: </w:t>
      </w:r>
      <w:r w:rsidRPr="00990044">
        <w:rPr>
          <w:b/>
          <w:bCs/>
          <w:sz w:val="28"/>
          <w:szCs w:val="28"/>
        </w:rPr>
        <w:t>«ПСИХОЛОГИЯ РЕКЛАМЫ»</w:t>
      </w:r>
    </w:p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90044">
        <w:rPr>
          <w:sz w:val="28"/>
          <w:szCs w:val="28"/>
        </w:rPr>
        <w:t xml:space="preserve">Тема: </w:t>
      </w:r>
      <w:r w:rsidRPr="00990044">
        <w:rPr>
          <w:b/>
          <w:bCs/>
          <w:sz w:val="28"/>
          <w:szCs w:val="28"/>
        </w:rPr>
        <w:t>«ГИПНОТИЧЕСКИЙ ПОДХОД В РЕКЛАМЕ»</w:t>
      </w:r>
    </w:p>
    <w:p w:rsidR="00967666" w:rsidRPr="00990044" w:rsidRDefault="009676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67666" w:rsidRPr="00990044" w:rsidRDefault="009676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67666" w:rsidRPr="00990044" w:rsidRDefault="009676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071781" w:rsidRPr="00990044" w:rsidRDefault="00967666" w:rsidP="0007178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en-US"/>
        </w:rPr>
      </w:pPr>
      <w:r w:rsidRPr="00990044">
        <w:rPr>
          <w:sz w:val="28"/>
          <w:szCs w:val="28"/>
        </w:rPr>
        <w:t>«Защищен»___________</w:t>
      </w:r>
    </w:p>
    <w:p w:rsidR="00967666" w:rsidRPr="00990044" w:rsidRDefault="00967666" w:rsidP="0007178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en-US"/>
        </w:rPr>
      </w:pPr>
      <w:r w:rsidRPr="00990044">
        <w:rPr>
          <w:sz w:val="28"/>
          <w:szCs w:val="28"/>
        </w:rPr>
        <w:t xml:space="preserve"> «Оценка»___________</w:t>
      </w:r>
    </w:p>
    <w:p w:rsidR="00071781" w:rsidRPr="00990044" w:rsidRDefault="00071781" w:rsidP="0007178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en-US"/>
        </w:rPr>
      </w:pPr>
    </w:p>
    <w:p w:rsidR="00967666" w:rsidRPr="00990044" w:rsidRDefault="009676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67666" w:rsidRPr="00990044" w:rsidRDefault="009676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71781" w:rsidRPr="00990044" w:rsidRDefault="0007178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071781" w:rsidRPr="00990044" w:rsidRDefault="0007178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071781" w:rsidRPr="00990044" w:rsidRDefault="001F02E0" w:rsidP="00071781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lang w:val="en-US"/>
        </w:rPr>
      </w:pPr>
      <w:r w:rsidRPr="00990044">
        <w:rPr>
          <w:b/>
          <w:bCs/>
          <w:sz w:val="28"/>
          <w:szCs w:val="28"/>
        </w:rPr>
        <w:t>Одесса-2008</w:t>
      </w:r>
      <w:r w:rsidR="00967666" w:rsidRPr="00990044">
        <w:rPr>
          <w:b/>
          <w:bCs/>
          <w:sz w:val="28"/>
          <w:szCs w:val="28"/>
        </w:rPr>
        <w:t>г.</w:t>
      </w:r>
    </w:p>
    <w:p w:rsidR="00967666" w:rsidRPr="00990044" w:rsidRDefault="00967666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en-US"/>
        </w:rPr>
      </w:pPr>
    </w:p>
    <w:p w:rsidR="00967666" w:rsidRPr="00990044" w:rsidRDefault="009676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ПЛАН</w:t>
      </w:r>
    </w:p>
    <w:p w:rsidR="00967666" w:rsidRPr="00990044" w:rsidRDefault="009676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67666" w:rsidRPr="00997968" w:rsidRDefault="009676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ВВЕДЕНИЕ</w:t>
      </w:r>
      <w:r w:rsidR="00997968" w:rsidRPr="00997968">
        <w:rPr>
          <w:sz w:val="28"/>
          <w:szCs w:val="28"/>
        </w:rPr>
        <w:t xml:space="preserve"> 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Гипнотический подход в рекламе</w:t>
      </w:r>
      <w:r w:rsidR="00997968" w:rsidRPr="00997968">
        <w:rPr>
          <w:sz w:val="28"/>
          <w:szCs w:val="28"/>
        </w:rPr>
        <w:t xml:space="preserve"> 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Гипноз в традиционном и современном понятии</w:t>
      </w:r>
      <w:r w:rsidR="00997968" w:rsidRPr="00997968">
        <w:rPr>
          <w:sz w:val="28"/>
          <w:szCs w:val="28"/>
        </w:rPr>
        <w:t xml:space="preserve"> </w:t>
      </w:r>
    </w:p>
    <w:p w:rsidR="00967666" w:rsidRPr="00997968" w:rsidRDefault="00967666" w:rsidP="0099796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Механизм гипнотического подхода в рекламе</w:t>
      </w:r>
      <w:r w:rsidR="00997968">
        <w:rPr>
          <w:sz w:val="28"/>
          <w:szCs w:val="28"/>
        </w:rPr>
        <w:t>.</w:t>
      </w:r>
    </w:p>
    <w:p w:rsidR="00967666" w:rsidRPr="00997968" w:rsidRDefault="009676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990044">
        <w:rPr>
          <w:sz w:val="28"/>
          <w:szCs w:val="28"/>
        </w:rPr>
        <w:t>ЗАКЛЮЧЕНИЕ</w:t>
      </w:r>
      <w:r w:rsidR="00997968">
        <w:rPr>
          <w:sz w:val="28"/>
          <w:szCs w:val="28"/>
          <w:lang w:val="en-US"/>
        </w:rPr>
        <w:t xml:space="preserve"> </w:t>
      </w:r>
    </w:p>
    <w:p w:rsidR="00967666" w:rsidRPr="00997968" w:rsidRDefault="0096766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990044">
        <w:rPr>
          <w:sz w:val="28"/>
          <w:szCs w:val="28"/>
        </w:rPr>
        <w:t>ЛИТЕРАТУРА</w:t>
      </w:r>
      <w:r w:rsidR="00997968">
        <w:rPr>
          <w:sz w:val="28"/>
          <w:szCs w:val="28"/>
          <w:lang w:val="en-US"/>
        </w:rPr>
        <w:t xml:space="preserve"> </w:t>
      </w:r>
    </w:p>
    <w:p w:rsidR="00967666" w:rsidRPr="00990044" w:rsidRDefault="00997968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243DB">
        <w:rPr>
          <w:b/>
          <w:bCs/>
          <w:sz w:val="28"/>
          <w:szCs w:val="28"/>
          <w:lang w:val="en-US"/>
        </w:rPr>
        <w:t xml:space="preserve"> </w:t>
      </w:r>
      <w:r w:rsidR="00967666" w:rsidRPr="00990044">
        <w:rPr>
          <w:b/>
          <w:bCs/>
          <w:sz w:val="28"/>
          <w:szCs w:val="28"/>
        </w:rPr>
        <w:t xml:space="preserve">ВВЕДЕНИЕ 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60893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90044">
        <w:rPr>
          <w:sz w:val="28"/>
          <w:szCs w:val="28"/>
        </w:rPr>
        <w:t>Способы введения человека в гипнотическое состояние были известны еще древним людям, начиная с неандертальцев, и методы гипнотического воздействия передавались из поколения в поколение магами, колдунами, шаманами, жрецами и др.. При этом гипноз использовался как</w:t>
      </w:r>
      <w:r w:rsidR="00997968">
        <w:rPr>
          <w:sz w:val="28"/>
          <w:szCs w:val="28"/>
        </w:rPr>
        <w:t xml:space="preserve"> </w:t>
      </w:r>
      <w:r w:rsidRPr="00990044">
        <w:rPr>
          <w:sz w:val="28"/>
          <w:szCs w:val="28"/>
        </w:rPr>
        <w:t xml:space="preserve">в благородных целях, например, для лечения людей, для обезболивания, так и с целью управления ими, манипулирования, как сейчас часто говорят «зомбирования» </w:t>
      </w:r>
    </w:p>
    <w:p w:rsidR="00860893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90044">
        <w:rPr>
          <w:sz w:val="28"/>
          <w:szCs w:val="28"/>
        </w:rPr>
        <w:t xml:space="preserve">Следует отметить, что очень часто колдуны и шаманы использовали одновременно с гипнозом и специальные химические вещества неорганического, а также животного и растительного происхождения (психотропных препаратов, галлюциногенов и пр.). 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Поэтому сегодня существует множество легенд о гипнозе, на основе которых очень трудно отделить собственно гипнотические, сугубо психические воздействия от воздействия иного рода.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Сегодня много говорят и о применении различных форм гипноза в политической и коммерческой рекламе.</w:t>
      </w:r>
      <w:r w:rsidR="00997968">
        <w:rPr>
          <w:sz w:val="28"/>
          <w:szCs w:val="28"/>
        </w:rPr>
        <w:t xml:space="preserve"> </w:t>
      </w:r>
      <w:r w:rsidRPr="00990044">
        <w:rPr>
          <w:sz w:val="28"/>
          <w:szCs w:val="28"/>
        </w:rPr>
        <w:t>Рассмотрим возможности гипнотического подхода в современной рекламе.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7666" w:rsidRPr="00990044" w:rsidRDefault="00997968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67666" w:rsidRPr="00990044">
        <w:rPr>
          <w:b/>
          <w:bCs/>
          <w:sz w:val="28"/>
          <w:szCs w:val="28"/>
        </w:rPr>
        <w:t>ГИПНОТИЧЕСКИЙ ПОДХОД В РЕКЛАМЕ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90044">
        <w:rPr>
          <w:b/>
          <w:bCs/>
          <w:sz w:val="28"/>
          <w:szCs w:val="28"/>
        </w:rPr>
        <w:t>1.1. Гипноз в традиционном и современном понятии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В психологии, психофизиологии, психотерапии традиционный или классический гипноз рассматривается с научных позиций как особая форма искусственно вызываемого сна и предполагает три стадии, характеризующие его глубину (сонливость, каталепсию, сомнабулизм), а также возможность постгипнотических компульсивных поступков и амнезию. В наше время, в связи с широким распространением НЛП и трансперсональной психологии понятие гипноза трактуется предельно широко.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Известные американские психотерапевты С. Хеллер и Т.Л. Стил рассматривают гипноз как «средство связи» и считают, что гипноз всегда связан с прошлым опытом конкретного человека и, следовательно, он воздействует на людей избирательно и крайне индивидуально. Авторы считают, что классический гипноз и гипноз в современном широком смысле являются лишь различными формами процесса социального влияния (воздействия) одних людей на других.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Многие исследователи, например А. Адлер, считали, что гипноз определяется не какими-то психологическими умениями гипнотизера воздействовать на реципиента, а особыми свойствами последнего, его внушаемостью, то есть некой способностью впасть в гипнотическое состояние. В этом случае гипноз широко распространяется далеко не на всех людей, а огромное большинство из них классическому гипнозу не поддаются вовсе. Автор полагал, что в основе гипноза лежит идея подчинения. Человек может верить, что он хочет быть загипнотизированным, но психологическая готовность к подчинению у него отсутствует. Напротив, другой человек может сопротивляться воздействию, но, тем не менее он подсознательно готов подчиниться гипнотизеру.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Интерес к использованию гипноза в рекламе имел место</w:t>
      </w:r>
      <w:r w:rsidR="00997968">
        <w:rPr>
          <w:sz w:val="28"/>
          <w:szCs w:val="28"/>
        </w:rPr>
        <w:t xml:space="preserve"> </w:t>
      </w:r>
      <w:r w:rsidRPr="00990044">
        <w:rPr>
          <w:sz w:val="28"/>
          <w:szCs w:val="28"/>
        </w:rPr>
        <w:t>в США после второй мировой войны, когда четко обозначился интерес к манипуляции сознанием, особенно в сфере рекламы.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Нетрудно увидеть в покупательском поведении симптомы гипнотического транса. Был сделан естественный вывод: реклама должна провоцировать: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 xml:space="preserve"> трансовую индукцию при виде товара;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совершение импульсивных покупок.</w:t>
      </w:r>
    </w:p>
    <w:p w:rsidR="00997968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90044">
        <w:rPr>
          <w:sz w:val="28"/>
          <w:szCs w:val="28"/>
        </w:rPr>
        <w:t xml:space="preserve">Суггестия или внушение – это процесс воздействия на психику человека, связанный со снижением сознательности и критичности при восприятии внушаемого содержания, не требующий ни развернутого личного анализа, ни оценки. 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Внушение осуществляется с целью создания определенных состояний или побуждений к определенным действиям. Суть внушения состоит в воздействии на чувства человека, а через них – на его волю и разум. Сила воздействия во многом зависит от наглядности, доступности и логичности информации, а также от авторитета суггестора. Эффект особенно силен тогда, когда внушаемое в общем соответствует потребностям и интересам внушаемого. Но разные люди обладают разной степенью внушаемости, уровнем восприимчивости к внушению, субъективной готовностью испытать внушающее воздействие и подчиниться ему.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Психологи утверждают, что внушаемость зависит от ряда факторов, к числу которых относятся:</w:t>
      </w:r>
    </w:p>
    <w:p w:rsidR="00997968" w:rsidRPr="00997968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-неуверенность;</w:t>
      </w:r>
    </w:p>
    <w:p w:rsidR="00997968" w:rsidRPr="00997968" w:rsidRDefault="00997968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666" w:rsidRPr="00990044">
        <w:rPr>
          <w:sz w:val="28"/>
          <w:szCs w:val="28"/>
        </w:rPr>
        <w:t>-робость;</w:t>
      </w:r>
    </w:p>
    <w:p w:rsidR="00967666" w:rsidRPr="00990044" w:rsidRDefault="00997968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666" w:rsidRPr="00990044">
        <w:rPr>
          <w:sz w:val="28"/>
          <w:szCs w:val="28"/>
        </w:rPr>
        <w:t>- низкая самооценка;</w:t>
      </w:r>
    </w:p>
    <w:p w:rsidR="00997968" w:rsidRPr="00997968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-впечатлительность;</w:t>
      </w:r>
    </w:p>
    <w:p w:rsidR="00967666" w:rsidRPr="00990044" w:rsidRDefault="00997968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666" w:rsidRPr="00990044">
        <w:rPr>
          <w:sz w:val="28"/>
          <w:szCs w:val="28"/>
        </w:rPr>
        <w:t>-слабость логического анализа.</w:t>
      </w:r>
    </w:p>
    <w:p w:rsidR="005D28B7" w:rsidRPr="005D28B7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Среди ситуационных факторов внушаемости:</w:t>
      </w:r>
    </w:p>
    <w:p w:rsidR="005D28B7" w:rsidRPr="005D28B7" w:rsidRDefault="00997968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666" w:rsidRPr="00990044">
        <w:rPr>
          <w:sz w:val="28"/>
          <w:szCs w:val="28"/>
        </w:rPr>
        <w:t>-некоторые психические состояния: стресс, заболевание, утомление;</w:t>
      </w:r>
    </w:p>
    <w:p w:rsidR="00967666" w:rsidRPr="00990044" w:rsidRDefault="00997968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666" w:rsidRPr="00990044">
        <w:rPr>
          <w:sz w:val="28"/>
          <w:szCs w:val="28"/>
        </w:rPr>
        <w:t>-низкий уровень осведомленности, компетентности;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-высокая степень значимости;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-неопределенность.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7666" w:rsidRPr="00990044" w:rsidRDefault="00967666" w:rsidP="005D28B7">
      <w:pPr>
        <w:pStyle w:val="a3"/>
        <w:spacing w:before="0" w:beforeAutospacing="0" w:after="0" w:afterAutospacing="0" w:line="360" w:lineRule="auto"/>
        <w:ind w:left="709"/>
        <w:jc w:val="both"/>
        <w:rPr>
          <w:b/>
          <w:bCs/>
          <w:sz w:val="28"/>
          <w:szCs w:val="28"/>
        </w:rPr>
      </w:pPr>
      <w:r w:rsidRPr="00990044">
        <w:rPr>
          <w:b/>
          <w:bCs/>
          <w:sz w:val="28"/>
          <w:szCs w:val="28"/>
        </w:rPr>
        <w:t>Механизм гипнотического подхода в рекламе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67666" w:rsidRPr="00990044" w:rsidRDefault="00997968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666" w:rsidRPr="00990044">
        <w:rPr>
          <w:sz w:val="28"/>
          <w:szCs w:val="28"/>
        </w:rPr>
        <w:t xml:space="preserve">Эдвард Л. Бернейз пишет, что “на создание благоприятного отношения к товарам тратится значительного больше миллионов, чем на создание благоприятного отношения к компаниям, производящим эти товары”. </w:t>
      </w:r>
    </w:p>
    <w:p w:rsidR="005D28B7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90044">
        <w:rPr>
          <w:sz w:val="28"/>
          <w:szCs w:val="28"/>
        </w:rPr>
        <w:t>Конкретность и образность ключевых слов. Использование слов, смысл которых конкретен, содержание которых легко себе представить, существенно повышает эффект внушения. А вот абстрактные понятия резко снижают силу внушения.</w:t>
      </w:r>
    </w:p>
    <w:p w:rsidR="005D28B7" w:rsidRDefault="00997968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67666" w:rsidRPr="00990044">
        <w:rPr>
          <w:sz w:val="28"/>
          <w:szCs w:val="28"/>
        </w:rPr>
        <w:t xml:space="preserve">Конкретность и образность качеств. Произнося слово “яблоко”, вряд ли можно обогатить чье-либо впечатление. Совсем другое дело – качественные признаки: сочное, спелое, румяное, сладкое, нежное или зеленое, мелкое, твердое, кислое, червивое. Разница заметна даже воображаемым вкусовым ощущениям. </w:t>
      </w:r>
    </w:p>
    <w:p w:rsidR="005D28B7" w:rsidRPr="005D28B7" w:rsidRDefault="00997968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666" w:rsidRPr="00990044">
        <w:rPr>
          <w:sz w:val="28"/>
          <w:szCs w:val="28"/>
        </w:rPr>
        <w:t>Избегание отрицательных частиц “нет” и “не”. Психика человека сопротивляется им, настораживая, вызывая сомнения. Одно дело в рекламе лекарственного средства заявить “Вы не будете болеть!” и совсем другое “Оно исцелит вас!”.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 xml:space="preserve">Речевая динамика. Одно из сильнейших средств суггестии. Основные приемы речевой динамики, способны повысить суггестию речи: 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мягкость и сила голоса;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богатство интонаций;</w:t>
      </w:r>
    </w:p>
    <w:p w:rsidR="00860893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90044">
        <w:rPr>
          <w:sz w:val="28"/>
          <w:szCs w:val="28"/>
        </w:rPr>
        <w:t>паузы;</w:t>
      </w:r>
    </w:p>
    <w:p w:rsidR="00967666" w:rsidRPr="00990044" w:rsidRDefault="00997968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666" w:rsidRPr="00990044">
        <w:rPr>
          <w:sz w:val="28"/>
          <w:szCs w:val="28"/>
        </w:rPr>
        <w:t>высокий темп речи;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тембр речи.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Воздействие звукосочетаниями. Возможность целенаправленно воздействовать на человека, на его эмоции при помощи определенных слов и словосочетаний известна с древности. Некоторые из них способны вызвать не только определенные эмоции, но и подсознательно восприниматься как какие-то образы.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Существует множество техник наведения трансового состояния, используемых в рекламном деле: показ трансового поведения, показ готового поведенческого образца того, как надо реагировать на внушение. Тогда в рекламном фильме показывают или в рекламном тексте описывают трансовое поведение одного или нескольких персонажей при встрече с рекламируемым товаром, то тем самым осуществляется проекция того, что реальные люди, покупая именно этот товар, будут кратко временно погружаться в транс.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 xml:space="preserve">Основой рекламного сюжета может стать любая другая техника трансовой индукции. Скажем, можно использовать, и реклама дает тому массу примеров, наведение транса, вызывая возрастную регрессию. В конкретных рекламных продуктах обыгрывается поведение школьников и молодых студентов, взаимоотношения бабушек и внуков. 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Естественные трансовые состояния используются в сюжетах фильмов через показ состояния после пробуждения ( обычно применяют в рекламе кофе и спальной мебели ) и состояния перед засыпанием; в сериях “ отдыха у воды ” (рыбалка, пляж) – персонажи смотрят на водную поверхность показ утомительного путешествия в автомобиле, в автобусе; показ персонажей, рассеянно созерцающих картины природы, рассматривающих небо и на нем – облака. Словесные описания : “ комфорт, уют, покой, расслабленность ”.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Наведение транса через перегрузку сознания достигается в сюжетах фильмах через показ двух одновременно говорящих персонажей, быстрое и хаотичное чередование картины в кадре и в сочетании с быстрой речью.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Разрыв шаблона как гипнотическая техника проводится в фильмах с сюжетами напряженных ситуаций, которые неожиданно приятно разрешаются с участием рекламируемого товара; показ ситуаций, в которых персонаж внезапно “хватают за рукав” и объясняют ему преимущества рекламируемого товара.</w:t>
      </w:r>
      <w:r w:rsidRPr="00990044">
        <w:rPr>
          <w:sz w:val="28"/>
          <w:szCs w:val="28"/>
        </w:rPr>
        <w:br/>
        <w:t>Техника полной неопределенности и непредсказуемости имеет место в сюжетах, когда зритель до последнего момента не догадывается о том, что именно рекламируется. Его состояние в этот момент очень близко к состоянию транса. Полученная на таком фоне ожидания понятная инструкция, встроенная в механизм рекламы, воспринимается с благодарностью.</w:t>
      </w:r>
    </w:p>
    <w:p w:rsidR="005D28B7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90044">
        <w:rPr>
          <w:sz w:val="28"/>
          <w:szCs w:val="28"/>
        </w:rPr>
        <w:t>Наведение транса через искусственные и несуществующие слова облегчается за счет того, что название очень многих новых товаров являются искусственными словами. Рекламный текст обильно засеивается несуществующим словом: каждое новое предложение текста начинается с этого слова – и эффект обеспечен.</w:t>
      </w:r>
    </w:p>
    <w:p w:rsidR="00967666" w:rsidRPr="00990044" w:rsidRDefault="00997968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666" w:rsidRPr="00990044">
        <w:rPr>
          <w:sz w:val="28"/>
          <w:szCs w:val="28"/>
        </w:rPr>
        <w:t xml:space="preserve">Очень эффективна в рекламе техника рассеивания – выделение ключевых слов в рекламном сообщении. Вот простой пример рекламы «эротического телефона». В заголовке текстового сообщения размещена фраза «и не расскаЗыВай Об этом Никому». 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Комментарии излишни.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Хороший способ повышения суггестивности речи, действующий как в структуре техник наведения транса, так и самостоятельно, - персеверация, то есть многократное повторение одинаковых сообщений в одном или нескольких средствах массовой информации.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Если вспомнить массовые шоу Кашпировского и Чумака, то используемый ими гипноз оказался весьма эффективным, учитывая то факт, что рекламируемым товаром в этом случае выступали сами гипнологи, т.е. они фактически использовали гипнотические технологии для саморекламы, и следует признать, это оказалось весьма эффективным.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Несколько лет назад в одной из московских газет появилась «научная» статья, подтверждающая большой гипнотический эффект телевизионных лечебных сеансов известного российского гипнотизера и экстрасенса А. Чумака. В статье говорилось о том, что «лечение» теперь доступно всем, так как оно поставлено на поток некоего производственного цеха по разливу «заряженной» гипнотизером воды. Автор статьи расписал и механизм «заряжения» воды. Вода после этого продавалась в магазинах.</w:t>
      </w:r>
      <w:r w:rsidR="00997968">
        <w:rPr>
          <w:sz w:val="28"/>
          <w:szCs w:val="28"/>
        </w:rPr>
        <w:t xml:space="preserve"> </w:t>
      </w:r>
      <w:r w:rsidRPr="00990044">
        <w:rPr>
          <w:sz w:val="28"/>
          <w:szCs w:val="28"/>
        </w:rPr>
        <w:t>Если сделать небольшие экономические расчеты, то затраты в данном случае заключаются только в аренде</w:t>
      </w:r>
      <w:r w:rsidR="00997968">
        <w:rPr>
          <w:sz w:val="28"/>
          <w:szCs w:val="28"/>
        </w:rPr>
        <w:t xml:space="preserve"> </w:t>
      </w:r>
      <w:r w:rsidRPr="00990044">
        <w:rPr>
          <w:sz w:val="28"/>
          <w:szCs w:val="28"/>
        </w:rPr>
        <w:t>конвейера для разлива воды, дешевых аптечных бутылочках и тишины, записанной на магнитофон (ведь Чумак «заряжал» воду и кремы пассами).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Если</w:t>
      </w:r>
      <w:r w:rsidR="00997968">
        <w:rPr>
          <w:sz w:val="28"/>
          <w:szCs w:val="28"/>
        </w:rPr>
        <w:t xml:space="preserve"> </w:t>
      </w:r>
      <w:r w:rsidRPr="00990044">
        <w:rPr>
          <w:sz w:val="28"/>
          <w:szCs w:val="28"/>
        </w:rPr>
        <w:t>в связи с этим вспомнить также «заряженные лечебные» фотографии Чумака, которые постоянно печатались в некоторых газетах, увеличивая в несколько раз их тиражи, а также публичные «опыты по снижению уровня паров ртути в закрытых помещениях», которые помимо обычных сеансов демонстрировал по телевидению А. Чумак, то без всякого сомнения, можно сделать вывод о высокой эффективности гипноза в рекламе, считает А.Н. Лебедев-Любимов.</w:t>
      </w:r>
    </w:p>
    <w:p w:rsidR="00967666" w:rsidRPr="00990044" w:rsidRDefault="005D28B7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97968">
        <w:rPr>
          <w:sz w:val="28"/>
          <w:szCs w:val="28"/>
        </w:rPr>
        <w:t xml:space="preserve"> </w:t>
      </w:r>
      <w:r w:rsidR="00967666" w:rsidRPr="00990044">
        <w:rPr>
          <w:b/>
          <w:bCs/>
          <w:sz w:val="28"/>
          <w:szCs w:val="28"/>
        </w:rPr>
        <w:t>ЗАКЛЮЧЕНИЕ</w:t>
      </w: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67666" w:rsidRPr="00990044" w:rsidRDefault="00967666" w:rsidP="009979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Таким образом, без сомнения, можно сказать, что существует определенный механизм гипнотического влияния на определенную категорию людей, которые отличаются повышенной внушаемостью. Многие современные исследователи подтверждают применение различных технологий гипноза в рекламе теоретически возможно. Однако эффективность гипнотических воздействий зависит от огромного числа сложно контролируемых факторов, управление которыми очень часто превышает материальные затраты</w:t>
      </w:r>
      <w:r w:rsidR="00997968">
        <w:rPr>
          <w:sz w:val="28"/>
          <w:szCs w:val="28"/>
        </w:rPr>
        <w:t xml:space="preserve"> </w:t>
      </w:r>
      <w:r w:rsidRPr="00990044">
        <w:rPr>
          <w:sz w:val="28"/>
          <w:szCs w:val="28"/>
        </w:rPr>
        <w:t>на обычную рекламу, по сути, дающую такой же эффект. Все зависит от того, что именно собираются рекламировать и какие средства собираются в рекламу вложить. Наиболее подходящим средством в этом случае выступает телевидение, а также стадионы, заполненные людьми с «установкой на чудо».</w:t>
      </w:r>
    </w:p>
    <w:p w:rsidR="00967666" w:rsidRPr="00990044" w:rsidRDefault="005D28B7" w:rsidP="005D28B7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97968">
        <w:rPr>
          <w:sz w:val="28"/>
          <w:szCs w:val="28"/>
        </w:rPr>
        <w:t xml:space="preserve"> </w:t>
      </w:r>
      <w:r w:rsidR="00967666" w:rsidRPr="00990044">
        <w:rPr>
          <w:b/>
          <w:bCs/>
          <w:sz w:val="28"/>
          <w:szCs w:val="28"/>
        </w:rPr>
        <w:t>ЛИТЕРАТУРА</w:t>
      </w:r>
    </w:p>
    <w:p w:rsidR="00967666" w:rsidRPr="00990044" w:rsidRDefault="00967666" w:rsidP="005D28B7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67666" w:rsidRPr="00990044" w:rsidRDefault="00967666" w:rsidP="005D28B7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Лебедев-Любимов А.Н. Психология рекламы.-СПб.: Питер, 2006.</w:t>
      </w:r>
    </w:p>
    <w:p w:rsidR="00967666" w:rsidRPr="00990044" w:rsidRDefault="00967666" w:rsidP="005D28B7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Реклама: внушение и манипуляция: Учебное пособие /Ред.-сост. Д.Я. Райгородский.-Самара: Бахрах, 2001.</w:t>
      </w:r>
    </w:p>
    <w:p w:rsidR="00967666" w:rsidRPr="00990044" w:rsidRDefault="00967666" w:rsidP="005D28B7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Феофанов О.А. Реклама: новые технологии в России.-СПб.: Питер, 200</w:t>
      </w:r>
    </w:p>
    <w:p w:rsidR="00967666" w:rsidRPr="00990044" w:rsidRDefault="00967666" w:rsidP="005D28B7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Чалдин Р.Н. Психология влияния.-СПб.: Питер Ком, 1999.</w:t>
      </w:r>
    </w:p>
    <w:p w:rsidR="00967666" w:rsidRPr="00990044" w:rsidRDefault="00967666" w:rsidP="005D28B7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67666" w:rsidRPr="0099004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A6" w:rsidRDefault="005F41A6">
      <w:r>
        <w:separator/>
      </w:r>
    </w:p>
  </w:endnote>
  <w:endnote w:type="continuationSeparator" w:id="0">
    <w:p w:rsidR="005F41A6" w:rsidRDefault="005F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11" w:rsidRDefault="00364711">
    <w:pPr>
      <w:pStyle w:val="a4"/>
      <w:framePr w:wrap="around" w:vAnchor="text" w:hAnchor="margin" w:xAlign="right" w:y="1"/>
      <w:rPr>
        <w:rStyle w:val="a6"/>
      </w:rPr>
    </w:pPr>
  </w:p>
  <w:p w:rsidR="00364711" w:rsidRDefault="0036471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711" w:rsidRDefault="008A5B0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64711" w:rsidRDefault="0036471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A6" w:rsidRDefault="005F41A6">
      <w:r>
        <w:separator/>
      </w:r>
    </w:p>
  </w:footnote>
  <w:footnote w:type="continuationSeparator" w:id="0">
    <w:p w:rsidR="005F41A6" w:rsidRDefault="005F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15403"/>
    <w:multiLevelType w:val="hybridMultilevel"/>
    <w:tmpl w:val="20CEC1D2"/>
    <w:lvl w:ilvl="0" w:tplc="19EA6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7EE4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E87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7A6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DE5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7747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B2E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4C7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38B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227330D"/>
    <w:multiLevelType w:val="hybridMultilevel"/>
    <w:tmpl w:val="B8F889D6"/>
    <w:lvl w:ilvl="0" w:tplc="7B866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988B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74CD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F0D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04D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347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22AA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3CA1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0EC1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E266D94"/>
    <w:multiLevelType w:val="hybridMultilevel"/>
    <w:tmpl w:val="93B03890"/>
    <w:lvl w:ilvl="0" w:tplc="4D7E6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F80E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8CE0B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7860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D6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40E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948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70C4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729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C285764"/>
    <w:multiLevelType w:val="hybridMultilevel"/>
    <w:tmpl w:val="B6AEB030"/>
    <w:lvl w:ilvl="0" w:tplc="D4DEEFD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2E0"/>
    <w:rsid w:val="00071781"/>
    <w:rsid w:val="001F02E0"/>
    <w:rsid w:val="00364711"/>
    <w:rsid w:val="005243DB"/>
    <w:rsid w:val="005D28B7"/>
    <w:rsid w:val="005F41A6"/>
    <w:rsid w:val="00860893"/>
    <w:rsid w:val="00872CE0"/>
    <w:rsid w:val="008A5B01"/>
    <w:rsid w:val="00967666"/>
    <w:rsid w:val="00990044"/>
    <w:rsid w:val="00997968"/>
    <w:rsid w:val="00B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409651-4E5A-4E70-A06D-4C82AB09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ХРИСТИАНСКИЙ ГУМАНИТАРНО-ЭКОНОМИЧЕСКИЙ ОТКРЫТЫЙ УНИВЕРСИТЕТ   </vt:lpstr>
    </vt:vector>
  </TitlesOfParts>
  <Company>Homebase</Company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ХРИСТИАНСКИЙ ГУМАНИТАРНО-ЭКОНОМИЧЕСКИЙ ОТКРЫТЫЙ УНИВЕРСИТЕТ   </dc:title>
  <dc:subject/>
  <dc:creator>Viktorya</dc:creator>
  <cp:keywords/>
  <dc:description/>
  <cp:lastModifiedBy>admin</cp:lastModifiedBy>
  <cp:revision>2</cp:revision>
  <dcterms:created xsi:type="dcterms:W3CDTF">2014-02-23T15:15:00Z</dcterms:created>
  <dcterms:modified xsi:type="dcterms:W3CDTF">2014-02-23T15:15:00Z</dcterms:modified>
</cp:coreProperties>
</file>