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005" w:rsidRDefault="00E14005" w:rsidP="00247936">
      <w:pPr>
        <w:spacing w:after="0" w:line="360" w:lineRule="auto"/>
        <w:ind w:firstLine="708"/>
        <w:jc w:val="both"/>
        <w:rPr>
          <w:rFonts w:ascii="Times New Roman" w:hAnsi="Times New Roman"/>
          <w:sz w:val="28"/>
          <w:szCs w:val="28"/>
          <w:lang w:val="uk-UA"/>
        </w:rPr>
      </w:pPr>
    </w:p>
    <w:p w:rsidR="006E4214" w:rsidRDefault="006E4214" w:rsidP="0024793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З </w:t>
      </w:r>
      <w:r w:rsidRPr="00F96076">
        <w:rPr>
          <w:rFonts w:ascii="Times New Roman" w:hAnsi="Times New Roman"/>
          <w:sz w:val="28"/>
          <w:szCs w:val="28"/>
          <w:lang w:val="uk-UA"/>
        </w:rPr>
        <w:t>давніх</w:t>
      </w:r>
      <w:r>
        <w:rPr>
          <w:rFonts w:ascii="Times New Roman" w:hAnsi="Times New Roman"/>
          <w:sz w:val="28"/>
          <w:szCs w:val="28"/>
          <w:lang w:val="uk-UA"/>
        </w:rPr>
        <w:t xml:space="preserve">-давен Рівненське Полісся з його різноманітними грунтами, численними річками, потоками, болотами, наповненими багатою флорою та фауною, приваблювало сюди первісних людей, які невпинно та наполегливо прямували на схід ще з часу фінального палеоліту </w:t>
      </w:r>
      <w:r>
        <w:rPr>
          <w:rFonts w:ascii="Times New Roman" w:hAnsi="Times New Roman"/>
          <w:sz w:val="28"/>
          <w:szCs w:val="28"/>
          <w:lang w:val="en-US"/>
        </w:rPr>
        <w:t>[</w:t>
      </w:r>
      <w:r>
        <w:rPr>
          <w:rFonts w:ascii="Times New Roman" w:hAnsi="Times New Roman"/>
          <w:sz w:val="28"/>
          <w:szCs w:val="28"/>
          <w:lang w:val="uk-UA"/>
        </w:rPr>
        <w:t>Залізняк, 2005, Рис. 64-65</w:t>
      </w:r>
      <w:r>
        <w:rPr>
          <w:rFonts w:ascii="Times New Roman" w:hAnsi="Times New Roman"/>
          <w:sz w:val="28"/>
          <w:szCs w:val="28"/>
          <w:lang w:val="en-US"/>
        </w:rPr>
        <w:t>]</w:t>
      </w:r>
      <w:r>
        <w:rPr>
          <w:rFonts w:ascii="Times New Roman" w:hAnsi="Times New Roman"/>
          <w:sz w:val="28"/>
          <w:szCs w:val="28"/>
          <w:lang w:val="uk-UA"/>
        </w:rPr>
        <w:t xml:space="preserve"> і залишали по собі безліч безцінних джерел, артефактів</w:t>
      </w:r>
      <w:r>
        <w:rPr>
          <w:rFonts w:ascii="Times New Roman" w:hAnsi="Times New Roman"/>
          <w:sz w:val="28"/>
          <w:szCs w:val="28"/>
          <w:lang w:val="en-US"/>
        </w:rPr>
        <w:t xml:space="preserve"> (</w:t>
      </w:r>
      <w:r>
        <w:rPr>
          <w:rFonts w:ascii="Times New Roman" w:hAnsi="Times New Roman"/>
          <w:sz w:val="28"/>
          <w:szCs w:val="28"/>
          <w:lang w:val="uk-UA"/>
        </w:rPr>
        <w:t xml:space="preserve">Рис. 1-2). </w:t>
      </w:r>
    </w:p>
    <w:p w:rsidR="006E4214" w:rsidRDefault="006E4214" w:rsidP="0024793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Початки історії дослідження неоліту та енеоліту Рівненського Полісся сяають першої половини </w:t>
      </w:r>
      <w:r>
        <w:rPr>
          <w:rFonts w:ascii="Times New Roman" w:hAnsi="Times New Roman"/>
          <w:sz w:val="28"/>
          <w:szCs w:val="28"/>
          <w:lang w:val="en-US"/>
        </w:rPr>
        <w:t>XX</w:t>
      </w:r>
      <w:r>
        <w:rPr>
          <w:rFonts w:ascii="Times New Roman" w:hAnsi="Times New Roman"/>
          <w:sz w:val="28"/>
          <w:szCs w:val="28"/>
          <w:lang w:val="uk-UA"/>
        </w:rPr>
        <w:t xml:space="preserve"> століття. Так, В. Антонович, а згодом Я. Пастернак, Я. Фітцке, К. Пшемиський, П. Сулімірський, О. Цинкаловський виявили понад 20 пам</w:t>
      </w:r>
      <w:r w:rsidRPr="00B3678B">
        <w:rPr>
          <w:rFonts w:ascii="Times New Roman" w:hAnsi="Times New Roman"/>
          <w:sz w:val="28"/>
          <w:szCs w:val="28"/>
        </w:rPr>
        <w:t>’</w:t>
      </w:r>
      <w:r>
        <w:rPr>
          <w:rFonts w:ascii="Times New Roman" w:hAnsi="Times New Roman"/>
          <w:sz w:val="28"/>
          <w:szCs w:val="28"/>
          <w:lang w:val="uk-UA"/>
        </w:rPr>
        <w:t>яток, що були віднесені до цих епох. Велика заслуга в плані систематизації і введення в науковий обіг всіх пам</w:t>
      </w:r>
      <w:r w:rsidRPr="00B3678B">
        <w:rPr>
          <w:rFonts w:ascii="Times New Roman" w:hAnsi="Times New Roman"/>
          <w:sz w:val="28"/>
          <w:szCs w:val="28"/>
        </w:rPr>
        <w:t>’</w:t>
      </w:r>
      <w:r>
        <w:rPr>
          <w:rFonts w:ascii="Times New Roman" w:hAnsi="Times New Roman"/>
          <w:sz w:val="28"/>
          <w:szCs w:val="28"/>
          <w:lang w:val="uk-UA"/>
        </w:rPr>
        <w:t xml:space="preserve">яток не лишень Рівненського, а й загалом всього Полісся, належить Ю. В. Кухаренку </w:t>
      </w:r>
      <w:r w:rsidRPr="00AC56B6">
        <w:rPr>
          <w:rFonts w:ascii="Times New Roman" w:hAnsi="Times New Roman"/>
          <w:sz w:val="28"/>
          <w:szCs w:val="28"/>
        </w:rPr>
        <w:t>[</w:t>
      </w:r>
      <w:r>
        <w:rPr>
          <w:rFonts w:ascii="Times New Roman" w:hAnsi="Times New Roman"/>
          <w:sz w:val="28"/>
          <w:szCs w:val="28"/>
          <w:lang w:val="uk-UA"/>
        </w:rPr>
        <w:t>Кухаренко, 1962</w:t>
      </w:r>
      <w:r w:rsidRPr="00AC56B6">
        <w:rPr>
          <w:rFonts w:ascii="Times New Roman" w:hAnsi="Times New Roman"/>
          <w:sz w:val="28"/>
          <w:szCs w:val="28"/>
        </w:rPr>
        <w:t>]</w:t>
      </w:r>
      <w:r>
        <w:rPr>
          <w:rFonts w:ascii="Times New Roman" w:hAnsi="Times New Roman"/>
          <w:sz w:val="28"/>
          <w:szCs w:val="28"/>
          <w:lang w:val="uk-UA"/>
        </w:rPr>
        <w:t>. Не менш наполегливо на теренах поліських низин даної області працювали (і успішно, на щастя, продовжують) такі дослідники як  : І. Свєшніков, В. Ісаєнко, В. Пясецький, Д. Телегін, Л. Залізняк та Г. Охріменко.</w:t>
      </w:r>
    </w:p>
    <w:p w:rsidR="006E4214" w:rsidRDefault="006E4214" w:rsidP="0024793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Ще раніше пам</w:t>
      </w:r>
      <w:r w:rsidRPr="00AC56B6">
        <w:rPr>
          <w:rFonts w:ascii="Times New Roman" w:hAnsi="Times New Roman"/>
          <w:sz w:val="28"/>
          <w:szCs w:val="28"/>
          <w:lang w:val="uk-UA"/>
        </w:rPr>
        <w:t>’</w:t>
      </w:r>
      <w:r>
        <w:rPr>
          <w:rFonts w:ascii="Times New Roman" w:hAnsi="Times New Roman"/>
          <w:sz w:val="28"/>
          <w:szCs w:val="28"/>
          <w:lang w:val="uk-UA"/>
        </w:rPr>
        <w:t xml:space="preserve">ятки Рівненського Полісся, як складової Волинського, Д. Телегін відніс до так званого києво-волинського варіанту Дніпро-Донецької культури </w:t>
      </w:r>
      <w:r w:rsidRPr="00E27578">
        <w:rPr>
          <w:rFonts w:ascii="Times New Roman" w:hAnsi="Times New Roman"/>
          <w:sz w:val="28"/>
          <w:szCs w:val="28"/>
          <w:lang w:val="uk-UA"/>
        </w:rPr>
        <w:t>[</w:t>
      </w:r>
      <w:r>
        <w:rPr>
          <w:rFonts w:ascii="Times New Roman" w:hAnsi="Times New Roman"/>
          <w:sz w:val="28"/>
          <w:szCs w:val="28"/>
          <w:lang w:val="uk-UA"/>
        </w:rPr>
        <w:t>Телегін, 1968, С.91</w:t>
      </w:r>
      <w:r w:rsidRPr="00E27578">
        <w:rPr>
          <w:rFonts w:ascii="Times New Roman" w:hAnsi="Times New Roman"/>
          <w:sz w:val="28"/>
          <w:szCs w:val="28"/>
          <w:lang w:val="uk-UA"/>
        </w:rPr>
        <w:t>]</w:t>
      </w:r>
      <w:r>
        <w:rPr>
          <w:rFonts w:ascii="Times New Roman" w:hAnsi="Times New Roman"/>
          <w:sz w:val="28"/>
          <w:szCs w:val="28"/>
          <w:lang w:val="uk-UA"/>
        </w:rPr>
        <w:t xml:space="preserve">. В свою чергу археологи зі Львова називали їх культурою Гребінцево-накольчатої кераміки </w:t>
      </w:r>
      <w:r w:rsidRPr="00E27578">
        <w:rPr>
          <w:rFonts w:ascii="Times New Roman" w:hAnsi="Times New Roman"/>
          <w:sz w:val="28"/>
          <w:szCs w:val="28"/>
          <w:lang w:val="uk-UA"/>
        </w:rPr>
        <w:t>[</w:t>
      </w:r>
      <w:r>
        <w:rPr>
          <w:rFonts w:ascii="Times New Roman" w:hAnsi="Times New Roman"/>
          <w:sz w:val="28"/>
          <w:szCs w:val="28"/>
          <w:lang w:val="uk-UA"/>
        </w:rPr>
        <w:t>Свєшніков, Нікольченко, 1982, С.9; Мацкевой, 1987, С.109</w:t>
      </w:r>
      <w:r w:rsidRPr="00E27578">
        <w:rPr>
          <w:rFonts w:ascii="Times New Roman" w:hAnsi="Times New Roman"/>
          <w:sz w:val="28"/>
          <w:szCs w:val="28"/>
          <w:lang w:val="uk-UA"/>
        </w:rPr>
        <w:t>]</w:t>
      </w:r>
      <w:r>
        <w:rPr>
          <w:rFonts w:ascii="Times New Roman" w:hAnsi="Times New Roman"/>
          <w:sz w:val="28"/>
          <w:szCs w:val="28"/>
          <w:lang w:val="uk-UA"/>
        </w:rPr>
        <w:t>. Однак О. Титовою, а потім Г. Охріменком неолітичні  пам</w:t>
      </w:r>
      <w:r w:rsidRPr="00AC56B6">
        <w:rPr>
          <w:rFonts w:ascii="Times New Roman" w:hAnsi="Times New Roman"/>
          <w:sz w:val="28"/>
          <w:szCs w:val="28"/>
          <w:lang w:val="uk-UA"/>
        </w:rPr>
        <w:t>’</w:t>
      </w:r>
      <w:r>
        <w:rPr>
          <w:rFonts w:ascii="Times New Roman" w:hAnsi="Times New Roman"/>
          <w:sz w:val="28"/>
          <w:szCs w:val="28"/>
          <w:lang w:val="uk-UA"/>
        </w:rPr>
        <w:t xml:space="preserve">ятки цього регіону були виокремлені в єдину Волинську неолітичну культуру (ВНК) </w:t>
      </w:r>
      <w:r w:rsidRPr="00E27578">
        <w:rPr>
          <w:rFonts w:ascii="Times New Roman" w:hAnsi="Times New Roman"/>
          <w:sz w:val="28"/>
          <w:szCs w:val="28"/>
          <w:lang w:val="uk-UA"/>
        </w:rPr>
        <w:t>[</w:t>
      </w:r>
      <w:r>
        <w:rPr>
          <w:rFonts w:ascii="Times New Roman" w:hAnsi="Times New Roman"/>
          <w:sz w:val="28"/>
          <w:szCs w:val="28"/>
          <w:lang w:val="uk-UA"/>
        </w:rPr>
        <w:t>Титова, 1985, С.16; Охріменко, 1991; Охріменко, 1992; Охріменко, 1994; Охріменко, 2001; Охріменко, 2009</w:t>
      </w:r>
      <w:r w:rsidRPr="00E27578">
        <w:rPr>
          <w:rFonts w:ascii="Times New Roman" w:hAnsi="Times New Roman"/>
          <w:sz w:val="28"/>
          <w:szCs w:val="28"/>
          <w:lang w:val="uk-UA"/>
        </w:rPr>
        <w:t>]</w:t>
      </w:r>
      <w:r>
        <w:rPr>
          <w:rFonts w:ascii="Times New Roman" w:hAnsi="Times New Roman"/>
          <w:sz w:val="28"/>
          <w:szCs w:val="28"/>
          <w:lang w:val="uk-UA"/>
        </w:rPr>
        <w:t xml:space="preserve">. </w:t>
      </w:r>
    </w:p>
    <w:p w:rsidR="006E4214" w:rsidRDefault="006E4214" w:rsidP="0024793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Виділення в окрему культуру пам</w:t>
      </w:r>
      <w:r w:rsidRPr="000678E5">
        <w:rPr>
          <w:rFonts w:ascii="Times New Roman" w:hAnsi="Times New Roman"/>
          <w:sz w:val="28"/>
          <w:szCs w:val="28"/>
          <w:lang w:val="uk-UA"/>
        </w:rPr>
        <w:t>’</w:t>
      </w:r>
      <w:r>
        <w:rPr>
          <w:rFonts w:ascii="Times New Roman" w:hAnsi="Times New Roman"/>
          <w:sz w:val="28"/>
          <w:szCs w:val="28"/>
          <w:lang w:val="uk-UA"/>
        </w:rPr>
        <w:t>яток Волинського Полісся викликає сумнів і питання, які стосуються слідуючих аспектів: хронології та періодизації; відносин з такими культурами як Яніславиця (трансформувалася в пізньому мезоліті в Німанську неолітичну культуру) та Лінійно-стрічкової кераміки на ранньому етапі становлення ВНК; подальша етнокультурна еволюція; характерний крем</w:t>
      </w:r>
      <w:r w:rsidRPr="00665C4A">
        <w:rPr>
          <w:rFonts w:ascii="Times New Roman" w:hAnsi="Times New Roman"/>
          <w:sz w:val="28"/>
          <w:szCs w:val="28"/>
          <w:lang w:val="uk-UA"/>
        </w:rPr>
        <w:t>’</w:t>
      </w:r>
      <w:r>
        <w:rPr>
          <w:rFonts w:ascii="Times New Roman" w:hAnsi="Times New Roman"/>
          <w:sz w:val="28"/>
          <w:szCs w:val="28"/>
          <w:lang w:val="uk-UA"/>
        </w:rPr>
        <w:t>яний та керамічний інвентар. Та головне поставлене питання полягало дослідити на основі вище перелічених позицій доцільність виділення і підстави, на яких обгрунтовувалося «створення» Волинської неолітичної культури.</w:t>
      </w:r>
    </w:p>
    <w:p w:rsidR="006E4214" w:rsidRDefault="006E4214" w:rsidP="0024793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Таким чином було здійснено слідуюче дослідження. Г. Охріменком було виділено ареал поширення Волинської неолітичної культури: Волинське (північ Волинської, Рівненської і частина Житомирської областей) і Мале (частина Хмельницької, Львівської та Рівненської областей) Полісся </w:t>
      </w:r>
      <w:r w:rsidRPr="00E27578">
        <w:rPr>
          <w:rFonts w:ascii="Times New Roman" w:hAnsi="Times New Roman"/>
          <w:sz w:val="28"/>
          <w:szCs w:val="28"/>
          <w:lang w:val="uk-UA"/>
        </w:rPr>
        <w:t>[</w:t>
      </w:r>
      <w:r>
        <w:rPr>
          <w:rFonts w:ascii="Times New Roman" w:hAnsi="Times New Roman"/>
          <w:sz w:val="28"/>
          <w:szCs w:val="28"/>
          <w:lang w:val="uk-UA"/>
        </w:rPr>
        <w:t>Охріменко, 2009, С.21</w:t>
      </w:r>
      <w:r w:rsidRPr="00E27578">
        <w:rPr>
          <w:rFonts w:ascii="Times New Roman" w:hAnsi="Times New Roman"/>
          <w:sz w:val="28"/>
          <w:szCs w:val="28"/>
          <w:lang w:val="uk-UA"/>
        </w:rPr>
        <w:t>]</w:t>
      </w:r>
      <w:r>
        <w:rPr>
          <w:rFonts w:ascii="Times New Roman" w:hAnsi="Times New Roman"/>
          <w:sz w:val="28"/>
          <w:szCs w:val="28"/>
          <w:lang w:val="uk-UA"/>
        </w:rPr>
        <w:t>. А також вказується, що вона займала все Правобережжя Прип</w:t>
      </w:r>
      <w:r w:rsidRPr="00A94FA4">
        <w:rPr>
          <w:rFonts w:ascii="Times New Roman" w:hAnsi="Times New Roman"/>
          <w:sz w:val="28"/>
          <w:szCs w:val="28"/>
          <w:lang w:val="uk-UA"/>
        </w:rPr>
        <w:t>’</w:t>
      </w:r>
      <w:r>
        <w:rPr>
          <w:rFonts w:ascii="Times New Roman" w:hAnsi="Times New Roman"/>
          <w:sz w:val="28"/>
          <w:szCs w:val="28"/>
          <w:lang w:val="uk-UA"/>
        </w:rPr>
        <w:t>яті, включно з Київським Поліссям, а окремі її пам</w:t>
      </w:r>
      <w:r w:rsidRPr="00A94FA4">
        <w:rPr>
          <w:rFonts w:ascii="Times New Roman" w:hAnsi="Times New Roman"/>
          <w:sz w:val="28"/>
          <w:szCs w:val="28"/>
          <w:lang w:val="uk-UA"/>
        </w:rPr>
        <w:t>’</w:t>
      </w:r>
      <w:r>
        <w:rPr>
          <w:rFonts w:ascii="Times New Roman" w:hAnsi="Times New Roman"/>
          <w:sz w:val="28"/>
          <w:szCs w:val="28"/>
          <w:lang w:val="uk-UA"/>
        </w:rPr>
        <w:t>ятки поширювалися і на територію Білорусі (лівий берег Прип</w:t>
      </w:r>
      <w:r w:rsidRPr="00A94FA4">
        <w:rPr>
          <w:rFonts w:ascii="Times New Roman" w:hAnsi="Times New Roman"/>
          <w:sz w:val="28"/>
          <w:szCs w:val="28"/>
        </w:rPr>
        <w:t>’</w:t>
      </w:r>
      <w:r>
        <w:rPr>
          <w:rFonts w:ascii="Times New Roman" w:hAnsi="Times New Roman"/>
          <w:sz w:val="28"/>
          <w:szCs w:val="28"/>
          <w:lang w:val="uk-UA"/>
        </w:rPr>
        <w:t xml:space="preserve">яті), в область Німанської та Східнополіської культур </w:t>
      </w:r>
      <w:r w:rsidRPr="00E27578">
        <w:rPr>
          <w:rFonts w:ascii="Times New Roman" w:hAnsi="Times New Roman"/>
          <w:sz w:val="28"/>
          <w:szCs w:val="28"/>
          <w:lang w:val="uk-UA"/>
        </w:rPr>
        <w:t>[</w:t>
      </w:r>
      <w:r>
        <w:rPr>
          <w:rFonts w:ascii="Times New Roman" w:hAnsi="Times New Roman"/>
          <w:sz w:val="28"/>
          <w:szCs w:val="28"/>
          <w:lang w:val="uk-UA"/>
        </w:rPr>
        <w:t>Охріменко, 2009, Рис.63</w:t>
      </w:r>
      <w:r w:rsidRPr="00E27578">
        <w:rPr>
          <w:rFonts w:ascii="Times New Roman" w:hAnsi="Times New Roman"/>
          <w:sz w:val="28"/>
          <w:szCs w:val="28"/>
          <w:lang w:val="uk-UA"/>
        </w:rPr>
        <w:t>]</w:t>
      </w:r>
      <w:r>
        <w:rPr>
          <w:rFonts w:ascii="Times New Roman" w:hAnsi="Times New Roman"/>
          <w:sz w:val="28"/>
          <w:szCs w:val="28"/>
          <w:lang w:val="uk-UA"/>
        </w:rPr>
        <w:t xml:space="preserve">. Дана культура охоплює такі хронологічні рамки – сер. </w:t>
      </w:r>
      <w:r>
        <w:rPr>
          <w:rFonts w:ascii="Times New Roman" w:hAnsi="Times New Roman"/>
          <w:sz w:val="28"/>
          <w:szCs w:val="28"/>
          <w:lang w:val="en-US"/>
        </w:rPr>
        <w:t>V</w:t>
      </w:r>
      <w:r w:rsidRPr="006457EF">
        <w:rPr>
          <w:rFonts w:ascii="Times New Roman" w:hAnsi="Times New Roman"/>
          <w:sz w:val="28"/>
          <w:szCs w:val="28"/>
          <w:lang w:val="uk-UA"/>
        </w:rPr>
        <w:t xml:space="preserve">- </w:t>
      </w:r>
      <w:r>
        <w:rPr>
          <w:rFonts w:ascii="Times New Roman" w:hAnsi="Times New Roman"/>
          <w:sz w:val="28"/>
          <w:szCs w:val="28"/>
          <w:lang w:val="uk-UA"/>
        </w:rPr>
        <w:t>кінець ІІІ тис. до н. е.</w:t>
      </w:r>
      <w:r w:rsidRPr="006457EF">
        <w:rPr>
          <w:rFonts w:ascii="Times New Roman" w:hAnsi="Times New Roman"/>
          <w:sz w:val="28"/>
          <w:szCs w:val="28"/>
          <w:lang w:val="uk-UA"/>
        </w:rPr>
        <w:t xml:space="preserve"> </w:t>
      </w:r>
      <w:r w:rsidRPr="00E27578">
        <w:rPr>
          <w:rFonts w:ascii="Times New Roman" w:hAnsi="Times New Roman"/>
          <w:sz w:val="28"/>
          <w:szCs w:val="28"/>
          <w:lang w:val="uk-UA"/>
        </w:rPr>
        <w:t>[</w:t>
      </w:r>
      <w:r>
        <w:rPr>
          <w:rFonts w:ascii="Times New Roman" w:hAnsi="Times New Roman"/>
          <w:sz w:val="28"/>
          <w:szCs w:val="28"/>
          <w:lang w:val="uk-UA"/>
        </w:rPr>
        <w:t>Охріменко, 2009, С.247</w:t>
      </w:r>
      <w:r w:rsidRPr="00E27578">
        <w:rPr>
          <w:rFonts w:ascii="Times New Roman" w:hAnsi="Times New Roman"/>
          <w:sz w:val="28"/>
          <w:szCs w:val="28"/>
          <w:lang w:val="uk-UA"/>
        </w:rPr>
        <w:t>]</w:t>
      </w:r>
      <w:r>
        <w:rPr>
          <w:rFonts w:ascii="Times New Roman" w:hAnsi="Times New Roman"/>
          <w:sz w:val="28"/>
          <w:szCs w:val="28"/>
          <w:lang w:val="uk-UA"/>
        </w:rPr>
        <w:t xml:space="preserve">. Однак, ареал поширення та хронологічні рамки ВНК чітко співпадають із територією розповсюдження та існування культурних традицій яніславицької спільності </w:t>
      </w:r>
      <w:r w:rsidRPr="00E27578">
        <w:rPr>
          <w:rFonts w:ascii="Times New Roman" w:hAnsi="Times New Roman"/>
          <w:sz w:val="28"/>
          <w:szCs w:val="28"/>
          <w:lang w:val="uk-UA"/>
        </w:rPr>
        <w:t>[</w:t>
      </w:r>
      <w:r>
        <w:rPr>
          <w:rFonts w:ascii="Times New Roman" w:hAnsi="Times New Roman"/>
          <w:sz w:val="28"/>
          <w:szCs w:val="28"/>
          <w:lang w:val="uk-UA"/>
        </w:rPr>
        <w:t>Зализняк, 1991, С.29</w:t>
      </w:r>
      <w:r w:rsidRPr="00E27578">
        <w:rPr>
          <w:rFonts w:ascii="Times New Roman" w:hAnsi="Times New Roman"/>
          <w:sz w:val="28"/>
          <w:szCs w:val="28"/>
          <w:lang w:val="uk-UA"/>
        </w:rPr>
        <w:t>]</w:t>
      </w:r>
      <w:r>
        <w:rPr>
          <w:rFonts w:ascii="Times New Roman" w:hAnsi="Times New Roman"/>
          <w:sz w:val="28"/>
          <w:szCs w:val="28"/>
          <w:lang w:val="uk-UA"/>
        </w:rPr>
        <w:t>, які ще визначають як пам</w:t>
      </w:r>
      <w:r w:rsidRPr="006457EF">
        <w:rPr>
          <w:rFonts w:ascii="Times New Roman" w:hAnsi="Times New Roman"/>
          <w:sz w:val="28"/>
          <w:szCs w:val="28"/>
          <w:lang w:val="uk-UA"/>
        </w:rPr>
        <w:t>’</w:t>
      </w:r>
      <w:r>
        <w:rPr>
          <w:rFonts w:ascii="Times New Roman" w:hAnsi="Times New Roman"/>
          <w:sz w:val="28"/>
          <w:szCs w:val="28"/>
          <w:lang w:val="uk-UA"/>
        </w:rPr>
        <w:t>ятки типу Дубичай (ареал – басейн річок Німану і Верхньої Прип</w:t>
      </w:r>
      <w:r w:rsidRPr="006457EF">
        <w:rPr>
          <w:rFonts w:ascii="Times New Roman" w:hAnsi="Times New Roman"/>
          <w:sz w:val="28"/>
          <w:szCs w:val="28"/>
          <w:lang w:val="uk-UA"/>
        </w:rPr>
        <w:t>’</w:t>
      </w:r>
      <w:r>
        <w:rPr>
          <w:rFonts w:ascii="Times New Roman" w:hAnsi="Times New Roman"/>
          <w:sz w:val="28"/>
          <w:szCs w:val="28"/>
          <w:lang w:val="uk-UA"/>
        </w:rPr>
        <w:t>яті та Північно-Східна Польща) та Струміль-Гастятин (Нижня Прип</w:t>
      </w:r>
      <w:r w:rsidRPr="006457EF">
        <w:rPr>
          <w:rFonts w:ascii="Times New Roman" w:hAnsi="Times New Roman"/>
          <w:sz w:val="28"/>
          <w:szCs w:val="28"/>
          <w:lang w:val="uk-UA"/>
        </w:rPr>
        <w:t>’</w:t>
      </w:r>
      <w:r>
        <w:rPr>
          <w:rFonts w:ascii="Times New Roman" w:hAnsi="Times New Roman"/>
          <w:sz w:val="28"/>
          <w:szCs w:val="28"/>
          <w:lang w:val="uk-UA"/>
        </w:rPr>
        <w:t>ять та Поліське Подніпров</w:t>
      </w:r>
      <w:r w:rsidRPr="00700C32">
        <w:rPr>
          <w:rFonts w:ascii="Times New Roman" w:hAnsi="Times New Roman"/>
          <w:sz w:val="28"/>
          <w:szCs w:val="28"/>
          <w:lang w:val="uk-UA"/>
        </w:rPr>
        <w:t>’</w:t>
      </w:r>
      <w:r>
        <w:rPr>
          <w:rFonts w:ascii="Times New Roman" w:hAnsi="Times New Roman"/>
          <w:sz w:val="28"/>
          <w:szCs w:val="28"/>
          <w:lang w:val="uk-UA"/>
        </w:rPr>
        <w:t>я), спорідненість яких, як ранньонеолітичних пам</w:t>
      </w:r>
      <w:r w:rsidRPr="00700C32">
        <w:rPr>
          <w:rFonts w:ascii="Times New Roman" w:hAnsi="Times New Roman"/>
          <w:sz w:val="28"/>
          <w:szCs w:val="28"/>
          <w:lang w:val="uk-UA"/>
        </w:rPr>
        <w:t>’</w:t>
      </w:r>
      <w:r>
        <w:rPr>
          <w:rFonts w:ascii="Times New Roman" w:hAnsi="Times New Roman"/>
          <w:sz w:val="28"/>
          <w:szCs w:val="28"/>
          <w:lang w:val="uk-UA"/>
        </w:rPr>
        <w:t xml:space="preserve">яток, не викликає жодного сумніву </w:t>
      </w:r>
      <w:r w:rsidRPr="00E27578">
        <w:rPr>
          <w:rFonts w:ascii="Times New Roman" w:hAnsi="Times New Roman"/>
          <w:sz w:val="28"/>
          <w:szCs w:val="28"/>
          <w:lang w:val="uk-UA"/>
        </w:rPr>
        <w:t>[</w:t>
      </w:r>
      <w:r>
        <w:rPr>
          <w:rFonts w:ascii="Times New Roman" w:hAnsi="Times New Roman"/>
          <w:sz w:val="28"/>
          <w:szCs w:val="28"/>
          <w:lang w:val="uk-UA"/>
        </w:rPr>
        <w:t>Римантене, 1966; Даниленко, 1969; Телегин, 1973</w:t>
      </w:r>
      <w:r w:rsidRPr="00E27578">
        <w:rPr>
          <w:rFonts w:ascii="Times New Roman" w:hAnsi="Times New Roman"/>
          <w:sz w:val="28"/>
          <w:szCs w:val="28"/>
          <w:lang w:val="uk-UA"/>
        </w:rPr>
        <w:t>]</w:t>
      </w:r>
      <w:r>
        <w:rPr>
          <w:rFonts w:ascii="Times New Roman" w:hAnsi="Times New Roman"/>
          <w:sz w:val="28"/>
          <w:szCs w:val="28"/>
          <w:lang w:val="uk-UA"/>
        </w:rPr>
        <w:t>.</w:t>
      </w:r>
    </w:p>
    <w:p w:rsidR="006E4214" w:rsidRDefault="006E4214" w:rsidP="0024793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Певна спорідненість є із  пам</w:t>
      </w:r>
      <w:r w:rsidRPr="006457EF">
        <w:rPr>
          <w:rFonts w:ascii="Times New Roman" w:hAnsi="Times New Roman"/>
          <w:sz w:val="28"/>
          <w:szCs w:val="28"/>
          <w:lang w:val="uk-UA"/>
        </w:rPr>
        <w:t>’</w:t>
      </w:r>
      <w:r>
        <w:rPr>
          <w:rFonts w:ascii="Times New Roman" w:hAnsi="Times New Roman"/>
          <w:sz w:val="28"/>
          <w:szCs w:val="28"/>
          <w:lang w:val="uk-UA"/>
        </w:rPr>
        <w:t xml:space="preserve">ятками типу Струміль-Гастятин та типу Дубичай на ранньому етапі Волинської неолітичної культури: характерні досить великі товстостінні посудини з прямими або злегка звуженими до середини вінцями та з гострим або шипастим дном. Край вінець зрізаний прямо або заокруглений. Глина містить значну рослинну домішку. Поверхня горщиків підлощена, зі слідами рослинної домішки та розчосами, що особливо помітні на внутрішній поверхні посуду </w:t>
      </w:r>
      <w:r w:rsidRPr="00E27578">
        <w:rPr>
          <w:rFonts w:ascii="Times New Roman" w:hAnsi="Times New Roman"/>
          <w:sz w:val="28"/>
          <w:szCs w:val="28"/>
          <w:lang w:val="uk-UA"/>
        </w:rPr>
        <w:t>[</w:t>
      </w:r>
      <w:r>
        <w:rPr>
          <w:rFonts w:ascii="Times New Roman" w:hAnsi="Times New Roman"/>
          <w:sz w:val="28"/>
          <w:szCs w:val="28"/>
          <w:lang w:val="uk-UA"/>
        </w:rPr>
        <w:t>Охріменко, 2009, Таб.14</w:t>
      </w:r>
      <w:r w:rsidRPr="00E27578">
        <w:rPr>
          <w:rFonts w:ascii="Times New Roman" w:hAnsi="Times New Roman"/>
          <w:sz w:val="28"/>
          <w:szCs w:val="28"/>
          <w:lang w:val="uk-UA"/>
        </w:rPr>
        <w:t>]</w:t>
      </w:r>
      <w:r>
        <w:rPr>
          <w:rFonts w:ascii="Times New Roman" w:hAnsi="Times New Roman"/>
          <w:sz w:val="28"/>
          <w:szCs w:val="28"/>
          <w:lang w:val="uk-UA"/>
        </w:rPr>
        <w:t xml:space="preserve">. більшість фрагментів кераміки без орнаментації. Орнамент розташований переважно на верхній частині посудини. Характерні дрібнозубчастий гребінцевий штамп, наколи розмочаленою паличкою, лінії, прокреслені тонким вістрям, косі насічки на вінцях та глибокі наколи (Рис. 3-4) </w:t>
      </w:r>
      <w:r w:rsidRPr="00E27578">
        <w:rPr>
          <w:rFonts w:ascii="Times New Roman" w:hAnsi="Times New Roman"/>
          <w:sz w:val="28"/>
          <w:szCs w:val="28"/>
          <w:lang w:val="uk-UA"/>
        </w:rPr>
        <w:t>[</w:t>
      </w:r>
      <w:r>
        <w:rPr>
          <w:rFonts w:ascii="Times New Roman" w:hAnsi="Times New Roman"/>
          <w:sz w:val="28"/>
          <w:szCs w:val="28"/>
          <w:lang w:val="uk-UA"/>
        </w:rPr>
        <w:t>Охріменко, 2009, Рис. 68-72, 84-93, 100-101, 129-139, 141, 143-145</w:t>
      </w:r>
      <w:r w:rsidRPr="00E27578">
        <w:rPr>
          <w:rFonts w:ascii="Times New Roman" w:hAnsi="Times New Roman"/>
          <w:sz w:val="28"/>
          <w:szCs w:val="28"/>
          <w:lang w:val="uk-UA"/>
        </w:rPr>
        <w:t>]</w:t>
      </w:r>
      <w:r>
        <w:rPr>
          <w:rFonts w:ascii="Times New Roman" w:hAnsi="Times New Roman"/>
          <w:sz w:val="28"/>
          <w:szCs w:val="28"/>
          <w:lang w:val="uk-UA"/>
        </w:rPr>
        <w:t xml:space="preserve">. </w:t>
      </w:r>
    </w:p>
    <w:p w:rsidR="006E4214" w:rsidRDefault="006E4214" w:rsidP="0024793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Не викликає сумніву подібність з яніславицькими культурними традиціями і крем</w:t>
      </w:r>
      <w:r w:rsidRPr="00120488">
        <w:rPr>
          <w:rFonts w:ascii="Times New Roman" w:hAnsi="Times New Roman"/>
          <w:sz w:val="28"/>
          <w:szCs w:val="28"/>
          <w:lang w:val="uk-UA"/>
        </w:rPr>
        <w:t>’</w:t>
      </w:r>
      <w:r>
        <w:rPr>
          <w:rFonts w:ascii="Times New Roman" w:hAnsi="Times New Roman"/>
          <w:sz w:val="28"/>
          <w:szCs w:val="28"/>
          <w:lang w:val="uk-UA"/>
        </w:rPr>
        <w:t>яний набір неолітичних пам</w:t>
      </w:r>
      <w:r w:rsidRPr="00120488">
        <w:rPr>
          <w:rFonts w:ascii="Times New Roman" w:hAnsi="Times New Roman"/>
          <w:sz w:val="28"/>
          <w:szCs w:val="28"/>
          <w:lang w:val="uk-UA"/>
        </w:rPr>
        <w:t>’</w:t>
      </w:r>
      <w:r>
        <w:rPr>
          <w:rFonts w:ascii="Times New Roman" w:hAnsi="Times New Roman"/>
          <w:sz w:val="28"/>
          <w:szCs w:val="28"/>
          <w:lang w:val="uk-UA"/>
        </w:rPr>
        <w:t xml:space="preserve">яток даної культури: характерні яніславицькі вістря, трикутники, мікрорізці, кінцеві скребачки на відщепах, «велоракі», високі трапеції, знарядя, якими рубають(Рис. 5-8)  </w:t>
      </w:r>
      <w:r w:rsidRPr="00E27578">
        <w:rPr>
          <w:rFonts w:ascii="Times New Roman" w:hAnsi="Times New Roman"/>
          <w:sz w:val="28"/>
          <w:szCs w:val="28"/>
          <w:lang w:val="uk-UA"/>
        </w:rPr>
        <w:t>[</w:t>
      </w:r>
      <w:r>
        <w:rPr>
          <w:rFonts w:ascii="Times New Roman" w:hAnsi="Times New Roman"/>
          <w:sz w:val="28"/>
          <w:szCs w:val="28"/>
          <w:lang w:val="uk-UA"/>
        </w:rPr>
        <w:t>Охріменко, 2009, Рис.73-79, 94-98, 102-103, 116-119, 122-125</w:t>
      </w:r>
      <w:r w:rsidRPr="00E27578">
        <w:rPr>
          <w:rFonts w:ascii="Times New Roman" w:hAnsi="Times New Roman"/>
          <w:sz w:val="28"/>
          <w:szCs w:val="28"/>
          <w:lang w:val="uk-UA"/>
        </w:rPr>
        <w:t>]</w:t>
      </w:r>
      <w:r>
        <w:rPr>
          <w:rFonts w:ascii="Times New Roman" w:hAnsi="Times New Roman"/>
          <w:sz w:val="28"/>
          <w:szCs w:val="28"/>
          <w:lang w:val="uk-UA"/>
        </w:rPr>
        <w:t>.</w:t>
      </w:r>
    </w:p>
    <w:p w:rsidR="006E4214" w:rsidRDefault="006E4214" w:rsidP="0024793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Надалі, на даний регіон поширення пам</w:t>
      </w:r>
      <w:r w:rsidRPr="00120488">
        <w:rPr>
          <w:rFonts w:ascii="Times New Roman" w:hAnsi="Times New Roman"/>
          <w:sz w:val="28"/>
          <w:szCs w:val="28"/>
          <w:lang w:val="uk-UA"/>
        </w:rPr>
        <w:t>’</w:t>
      </w:r>
      <w:r>
        <w:rPr>
          <w:rFonts w:ascii="Times New Roman" w:hAnsi="Times New Roman"/>
          <w:sz w:val="28"/>
          <w:szCs w:val="28"/>
          <w:lang w:val="uk-UA"/>
        </w:rPr>
        <w:t>яток ВНК, як і Рівненського Полісся зокрема, мали вплив такі культури як: КЛСК (Культура лінійно-стрічкової кераміки), Буго-Дністровська, Німанська, Дніпро-Донецька, Трипільська, Лендель-Полгарська, Лійчастого посуду, Кулястих амфор, які і визначали в сукупності етнокультурну специфіку регіону (Рис. 1).</w:t>
      </w:r>
    </w:p>
    <w:p w:rsidR="006E4214" w:rsidRDefault="006E4214" w:rsidP="0024793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Як висновок можна сказати, що на етапі сер.-кін. </w:t>
      </w:r>
      <w:r>
        <w:rPr>
          <w:rFonts w:ascii="Times New Roman" w:hAnsi="Times New Roman"/>
          <w:sz w:val="28"/>
          <w:szCs w:val="28"/>
          <w:lang w:val="en-US"/>
        </w:rPr>
        <w:t>V</w:t>
      </w:r>
      <w:r>
        <w:rPr>
          <w:rFonts w:ascii="Times New Roman" w:hAnsi="Times New Roman"/>
          <w:sz w:val="28"/>
          <w:szCs w:val="28"/>
          <w:lang w:val="uk-UA"/>
        </w:rPr>
        <w:t xml:space="preserve"> – на поч. </w:t>
      </w:r>
      <w:r>
        <w:rPr>
          <w:rFonts w:ascii="Times New Roman" w:hAnsi="Times New Roman"/>
          <w:sz w:val="28"/>
          <w:szCs w:val="28"/>
          <w:lang w:val="en-US"/>
        </w:rPr>
        <w:t>IV</w:t>
      </w:r>
      <w:r>
        <w:rPr>
          <w:rFonts w:ascii="Times New Roman" w:hAnsi="Times New Roman"/>
          <w:sz w:val="28"/>
          <w:szCs w:val="28"/>
          <w:lang w:val="uk-UA"/>
        </w:rPr>
        <w:t xml:space="preserve"> тис. до н. е. у межах поширення виділеної Г. Охріменком самобутньої Волинської неолітичної культури утворилися дві спорідненні ранньонеолітичні групи пам</w:t>
      </w:r>
      <w:r w:rsidRPr="005D53BB">
        <w:rPr>
          <w:rFonts w:ascii="Times New Roman" w:hAnsi="Times New Roman"/>
          <w:sz w:val="28"/>
          <w:szCs w:val="28"/>
          <w:lang w:val="uk-UA"/>
        </w:rPr>
        <w:t>’</w:t>
      </w:r>
      <w:r>
        <w:rPr>
          <w:rFonts w:ascii="Times New Roman" w:hAnsi="Times New Roman"/>
          <w:sz w:val="28"/>
          <w:szCs w:val="28"/>
          <w:lang w:val="uk-UA"/>
        </w:rPr>
        <w:t>яток: дубичайська в басейнах Німану, Верхньої Прип</w:t>
      </w:r>
      <w:r w:rsidRPr="00E416CE">
        <w:rPr>
          <w:rFonts w:ascii="Times New Roman" w:hAnsi="Times New Roman"/>
          <w:sz w:val="28"/>
          <w:szCs w:val="28"/>
          <w:lang w:val="uk-UA"/>
        </w:rPr>
        <w:t>’</w:t>
      </w:r>
      <w:r>
        <w:rPr>
          <w:rFonts w:ascii="Times New Roman" w:hAnsi="Times New Roman"/>
          <w:sz w:val="28"/>
          <w:szCs w:val="28"/>
          <w:lang w:val="uk-UA"/>
        </w:rPr>
        <w:t>яті та Північно-Східної Польщі та струміль-гастятинська по Нижній Прип</w:t>
      </w:r>
      <w:r w:rsidRPr="00E416CE">
        <w:rPr>
          <w:rFonts w:ascii="Times New Roman" w:hAnsi="Times New Roman"/>
          <w:sz w:val="28"/>
          <w:szCs w:val="28"/>
          <w:lang w:val="uk-UA"/>
        </w:rPr>
        <w:t>’</w:t>
      </w:r>
      <w:r>
        <w:rPr>
          <w:rFonts w:ascii="Times New Roman" w:hAnsi="Times New Roman"/>
          <w:sz w:val="28"/>
          <w:szCs w:val="28"/>
          <w:lang w:val="uk-UA"/>
        </w:rPr>
        <w:t>яті, в Поліському Подніпров</w:t>
      </w:r>
      <w:r w:rsidRPr="00E416CE">
        <w:rPr>
          <w:rFonts w:ascii="Times New Roman" w:hAnsi="Times New Roman"/>
          <w:sz w:val="28"/>
          <w:szCs w:val="28"/>
          <w:lang w:val="uk-UA"/>
        </w:rPr>
        <w:t>’</w:t>
      </w:r>
      <w:r>
        <w:rPr>
          <w:rFonts w:ascii="Times New Roman" w:hAnsi="Times New Roman"/>
          <w:sz w:val="28"/>
          <w:szCs w:val="28"/>
          <w:lang w:val="uk-UA"/>
        </w:rPr>
        <w:t>ї. Пам</w:t>
      </w:r>
      <w:r w:rsidRPr="00E416CE">
        <w:rPr>
          <w:rFonts w:ascii="Times New Roman" w:hAnsi="Times New Roman"/>
          <w:sz w:val="28"/>
          <w:szCs w:val="28"/>
          <w:lang w:val="uk-UA"/>
        </w:rPr>
        <w:t>’</w:t>
      </w:r>
      <w:r>
        <w:rPr>
          <w:rFonts w:ascii="Times New Roman" w:hAnsi="Times New Roman"/>
          <w:sz w:val="28"/>
          <w:szCs w:val="28"/>
          <w:lang w:val="uk-UA"/>
        </w:rPr>
        <w:t xml:space="preserve">ятки типу Дубичай становили перший етап Німанської неолітичної культури, що проіснувала на вказаних територіях за М. М. Чернявським до ІІ тисячоліття до н. е. </w:t>
      </w:r>
      <w:r w:rsidRPr="00E27578">
        <w:rPr>
          <w:rFonts w:ascii="Times New Roman" w:hAnsi="Times New Roman"/>
          <w:sz w:val="28"/>
          <w:szCs w:val="28"/>
          <w:lang w:val="uk-UA"/>
        </w:rPr>
        <w:t>[</w:t>
      </w:r>
      <w:r>
        <w:rPr>
          <w:rFonts w:ascii="Times New Roman" w:hAnsi="Times New Roman"/>
          <w:sz w:val="28"/>
          <w:szCs w:val="28"/>
          <w:lang w:val="uk-UA"/>
        </w:rPr>
        <w:t>Черняускі, 1979</w:t>
      </w:r>
      <w:r w:rsidRPr="00E27578">
        <w:rPr>
          <w:rFonts w:ascii="Times New Roman" w:hAnsi="Times New Roman"/>
          <w:sz w:val="28"/>
          <w:szCs w:val="28"/>
          <w:lang w:val="uk-UA"/>
        </w:rPr>
        <w:t>]</w:t>
      </w:r>
      <w:r>
        <w:rPr>
          <w:rFonts w:ascii="Times New Roman" w:hAnsi="Times New Roman"/>
          <w:sz w:val="28"/>
          <w:szCs w:val="28"/>
          <w:lang w:val="uk-UA"/>
        </w:rPr>
        <w:t>. Таким чином з упевненістю можна зазначати, що ВНК з її територією розповсюдження, періодизацією та хронологічними рамками, крем</w:t>
      </w:r>
      <w:r w:rsidRPr="00E416CE">
        <w:rPr>
          <w:rFonts w:ascii="Times New Roman" w:hAnsi="Times New Roman"/>
          <w:sz w:val="28"/>
          <w:szCs w:val="28"/>
          <w:lang w:val="uk-UA"/>
        </w:rPr>
        <w:t>’</w:t>
      </w:r>
      <w:r>
        <w:rPr>
          <w:rFonts w:ascii="Times New Roman" w:hAnsi="Times New Roman"/>
          <w:sz w:val="28"/>
          <w:szCs w:val="28"/>
          <w:lang w:val="uk-UA"/>
        </w:rPr>
        <w:t>яним та керамічним комплексами повністю збігається і є нічим іншим як Німанською неолітичною культурою (правонаступницею і спадкоємицею яніславицьких культурних традицій), яка в ході своєї еволюції під час таких епох, як неоліт та енеоліт, була невід</w:t>
      </w:r>
      <w:r w:rsidRPr="00247936">
        <w:rPr>
          <w:rFonts w:ascii="Times New Roman" w:hAnsi="Times New Roman"/>
          <w:sz w:val="28"/>
          <w:szCs w:val="28"/>
          <w:lang w:val="uk-UA"/>
        </w:rPr>
        <w:t>’</w:t>
      </w:r>
      <w:r>
        <w:rPr>
          <w:rFonts w:ascii="Times New Roman" w:hAnsi="Times New Roman"/>
          <w:sz w:val="28"/>
          <w:szCs w:val="28"/>
          <w:lang w:val="uk-UA"/>
        </w:rPr>
        <w:t>ємною частиною культурних, етнічних та соціальних процесів на теренах Південного Полісся від Верхньої Прип</w:t>
      </w:r>
      <w:r w:rsidRPr="00E416CE">
        <w:rPr>
          <w:rFonts w:ascii="Times New Roman" w:hAnsi="Times New Roman"/>
          <w:sz w:val="28"/>
          <w:szCs w:val="28"/>
          <w:lang w:val="uk-UA"/>
        </w:rPr>
        <w:t>’</w:t>
      </w:r>
      <w:r>
        <w:rPr>
          <w:rFonts w:ascii="Times New Roman" w:hAnsi="Times New Roman"/>
          <w:sz w:val="28"/>
          <w:szCs w:val="28"/>
          <w:lang w:val="uk-UA"/>
        </w:rPr>
        <w:t>яті аж до Подніпров</w:t>
      </w:r>
      <w:r w:rsidRPr="00E416CE">
        <w:rPr>
          <w:rFonts w:ascii="Times New Roman" w:hAnsi="Times New Roman"/>
          <w:sz w:val="28"/>
          <w:szCs w:val="28"/>
          <w:lang w:val="uk-UA"/>
        </w:rPr>
        <w:t>’</w:t>
      </w:r>
      <w:r>
        <w:rPr>
          <w:rFonts w:ascii="Times New Roman" w:hAnsi="Times New Roman"/>
          <w:sz w:val="28"/>
          <w:szCs w:val="28"/>
          <w:lang w:val="uk-UA"/>
        </w:rPr>
        <w:t xml:space="preserve">я, і Рівненського Полісся зокрема. А коріння її формування слід шукати у взаємних впливах пізньомезолітичних німанської та яніславицької культур яніславицької культурної області </w:t>
      </w:r>
      <w:r w:rsidRPr="00E27578">
        <w:rPr>
          <w:rFonts w:ascii="Times New Roman" w:hAnsi="Times New Roman"/>
          <w:sz w:val="28"/>
          <w:szCs w:val="28"/>
          <w:lang w:val="uk-UA"/>
        </w:rPr>
        <w:t>[</w:t>
      </w:r>
      <w:r>
        <w:rPr>
          <w:rFonts w:ascii="Times New Roman" w:hAnsi="Times New Roman"/>
          <w:sz w:val="28"/>
          <w:szCs w:val="28"/>
          <w:lang w:val="uk-UA"/>
        </w:rPr>
        <w:t>Залізняк, Балакін, 1985</w:t>
      </w:r>
      <w:r w:rsidRPr="00E27578">
        <w:rPr>
          <w:rFonts w:ascii="Times New Roman" w:hAnsi="Times New Roman"/>
          <w:sz w:val="28"/>
          <w:szCs w:val="28"/>
          <w:lang w:val="uk-UA"/>
        </w:rPr>
        <w:t>]</w:t>
      </w:r>
      <w:r>
        <w:rPr>
          <w:rFonts w:ascii="Times New Roman" w:hAnsi="Times New Roman"/>
          <w:sz w:val="28"/>
          <w:szCs w:val="28"/>
          <w:lang w:val="uk-UA"/>
        </w:rPr>
        <w:t>.</w:t>
      </w:r>
    </w:p>
    <w:p w:rsidR="006E4214" w:rsidRDefault="006E4214" w:rsidP="00247936">
      <w:pPr>
        <w:spacing w:after="0" w:line="360" w:lineRule="auto"/>
        <w:ind w:firstLine="708"/>
        <w:jc w:val="center"/>
        <w:rPr>
          <w:rFonts w:ascii="Times New Roman" w:hAnsi="Times New Roman"/>
          <w:sz w:val="28"/>
          <w:szCs w:val="28"/>
          <w:lang w:val="uk-UA"/>
        </w:rPr>
      </w:pPr>
      <w:r>
        <w:rPr>
          <w:rFonts w:ascii="Times New Roman" w:hAnsi="Times New Roman"/>
          <w:sz w:val="28"/>
          <w:szCs w:val="28"/>
          <w:lang w:val="uk-UA"/>
        </w:rPr>
        <w:t>Література</w:t>
      </w:r>
    </w:p>
    <w:p w:rsidR="006E4214" w:rsidRPr="0045543A" w:rsidRDefault="006E4214" w:rsidP="00640984">
      <w:pPr>
        <w:pStyle w:val="1"/>
        <w:numPr>
          <w:ilvl w:val="0"/>
          <w:numId w:val="1"/>
        </w:num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 xml:space="preserve">Даниленко В. Н. </w:t>
      </w:r>
      <w:r>
        <w:rPr>
          <w:rFonts w:ascii="Times New Roman" w:hAnsi="Times New Roman"/>
          <w:sz w:val="28"/>
          <w:szCs w:val="28"/>
        </w:rPr>
        <w:t>Неолит Украины. – К.: Наук. думка, 1969. – 258 с.</w:t>
      </w:r>
    </w:p>
    <w:p w:rsidR="006E4214" w:rsidRDefault="006E4214" w:rsidP="00640984">
      <w:pPr>
        <w:pStyle w:val="1"/>
        <w:numPr>
          <w:ilvl w:val="0"/>
          <w:numId w:val="1"/>
        </w:num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 xml:space="preserve">Залізняк Л.Л., Балакін С. А. Яніславицькі культурні традиції в неоліті Правобережного Полісся </w:t>
      </w:r>
      <w:r w:rsidRPr="0045543A">
        <w:rPr>
          <w:rFonts w:ascii="Times New Roman" w:hAnsi="Times New Roman"/>
          <w:sz w:val="28"/>
          <w:szCs w:val="28"/>
          <w:lang w:val="uk-UA"/>
        </w:rPr>
        <w:t xml:space="preserve">// </w:t>
      </w:r>
      <w:r>
        <w:rPr>
          <w:rFonts w:ascii="Times New Roman" w:hAnsi="Times New Roman"/>
          <w:sz w:val="28"/>
          <w:szCs w:val="28"/>
          <w:lang w:val="uk-UA"/>
        </w:rPr>
        <w:t>Археологія. – К.: Наук. думка, 1985. – Вип.49. – С. 41-49.</w:t>
      </w:r>
    </w:p>
    <w:p w:rsidR="006E4214" w:rsidRDefault="006E4214" w:rsidP="00640984">
      <w:pPr>
        <w:pStyle w:val="1"/>
        <w:numPr>
          <w:ilvl w:val="0"/>
          <w:numId w:val="1"/>
        </w:num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Зализняк Л. Л. Население Полесья в мезолите. – К.: Наук. думка, 1991. – 172 с.</w:t>
      </w:r>
    </w:p>
    <w:p w:rsidR="006E4214" w:rsidRDefault="006E4214" w:rsidP="00640984">
      <w:pPr>
        <w:pStyle w:val="1"/>
        <w:numPr>
          <w:ilvl w:val="0"/>
          <w:numId w:val="1"/>
        </w:num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 xml:space="preserve">Залізняк Л. Л. Фінальний палеоліт і мезоліт континентальної  України. Культурний поділ та періодизація </w:t>
      </w:r>
      <w:r w:rsidRPr="008D4070">
        <w:rPr>
          <w:rFonts w:ascii="Times New Roman" w:hAnsi="Times New Roman"/>
          <w:sz w:val="28"/>
          <w:szCs w:val="28"/>
        </w:rPr>
        <w:t>//</w:t>
      </w:r>
      <w:r>
        <w:rPr>
          <w:rFonts w:ascii="Times New Roman" w:hAnsi="Times New Roman"/>
          <w:sz w:val="28"/>
          <w:szCs w:val="28"/>
          <w:lang w:val="uk-UA"/>
        </w:rPr>
        <w:t xml:space="preserve"> Кам</w:t>
      </w:r>
      <w:r w:rsidRPr="008D4070">
        <w:rPr>
          <w:rFonts w:ascii="Times New Roman" w:hAnsi="Times New Roman"/>
          <w:sz w:val="28"/>
          <w:szCs w:val="28"/>
        </w:rPr>
        <w:t>’</w:t>
      </w:r>
      <w:r>
        <w:rPr>
          <w:rFonts w:ascii="Times New Roman" w:hAnsi="Times New Roman"/>
          <w:sz w:val="28"/>
          <w:szCs w:val="28"/>
          <w:lang w:val="uk-UA"/>
        </w:rPr>
        <w:t>яна доба України. – Вип. 9. – Київ: Шлях, 2005. – 184 с.</w:t>
      </w:r>
    </w:p>
    <w:p w:rsidR="006E4214" w:rsidRPr="008D4070" w:rsidRDefault="006E4214" w:rsidP="00640984">
      <w:pPr>
        <w:pStyle w:val="1"/>
        <w:numPr>
          <w:ilvl w:val="0"/>
          <w:numId w:val="1"/>
        </w:num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 xml:space="preserve">Кухаренко Ю. В. </w:t>
      </w:r>
      <w:r>
        <w:rPr>
          <w:rFonts w:ascii="Times New Roman" w:hAnsi="Times New Roman"/>
          <w:sz w:val="28"/>
          <w:szCs w:val="28"/>
        </w:rPr>
        <w:t xml:space="preserve">Первобытные памятники на территории Полесья </w:t>
      </w:r>
      <w:r w:rsidRPr="008D4070">
        <w:rPr>
          <w:rFonts w:ascii="Times New Roman" w:hAnsi="Times New Roman"/>
          <w:sz w:val="28"/>
          <w:szCs w:val="28"/>
        </w:rPr>
        <w:t xml:space="preserve">// </w:t>
      </w:r>
      <w:r>
        <w:rPr>
          <w:rFonts w:ascii="Times New Roman" w:hAnsi="Times New Roman"/>
          <w:sz w:val="28"/>
          <w:szCs w:val="28"/>
        </w:rPr>
        <w:t>САИ. – 1962. – Вып. Б 1-18. – 24 с.</w:t>
      </w:r>
    </w:p>
    <w:p w:rsidR="006E4214" w:rsidRPr="008D4070" w:rsidRDefault="006E4214" w:rsidP="00640984">
      <w:pPr>
        <w:pStyle w:val="1"/>
        <w:numPr>
          <w:ilvl w:val="0"/>
          <w:numId w:val="1"/>
        </w:numPr>
        <w:spacing w:after="0" w:line="360" w:lineRule="auto"/>
        <w:ind w:left="567" w:hanging="567"/>
        <w:jc w:val="both"/>
        <w:rPr>
          <w:rFonts w:ascii="Times New Roman" w:hAnsi="Times New Roman"/>
          <w:sz w:val="28"/>
          <w:szCs w:val="28"/>
          <w:lang w:val="uk-UA"/>
        </w:rPr>
      </w:pPr>
      <w:r>
        <w:rPr>
          <w:rFonts w:ascii="Times New Roman" w:hAnsi="Times New Roman"/>
          <w:sz w:val="28"/>
          <w:szCs w:val="28"/>
        </w:rPr>
        <w:t xml:space="preserve">Мацкевой Л. Г. Культура гребенчато-накольчатой керамики </w:t>
      </w:r>
      <w:r w:rsidRPr="008D4070">
        <w:rPr>
          <w:rFonts w:ascii="Times New Roman" w:hAnsi="Times New Roman"/>
          <w:sz w:val="28"/>
          <w:szCs w:val="28"/>
        </w:rPr>
        <w:t>//</w:t>
      </w:r>
      <w:r>
        <w:rPr>
          <w:rFonts w:ascii="Times New Roman" w:hAnsi="Times New Roman"/>
          <w:sz w:val="28"/>
          <w:szCs w:val="28"/>
        </w:rPr>
        <w:t xml:space="preserve"> Археология Прикарпатья, Волыни и Закарпатья. Каменный век. – К.: Наук. думка, 1987. – С. 109-114.</w:t>
      </w:r>
    </w:p>
    <w:p w:rsidR="006E4214" w:rsidRDefault="006E4214" w:rsidP="00640984">
      <w:pPr>
        <w:pStyle w:val="1"/>
        <w:numPr>
          <w:ilvl w:val="0"/>
          <w:numId w:val="1"/>
        </w:numPr>
        <w:spacing w:after="0" w:line="360" w:lineRule="auto"/>
        <w:ind w:left="567" w:hanging="567"/>
        <w:jc w:val="both"/>
        <w:rPr>
          <w:rFonts w:ascii="Times New Roman" w:hAnsi="Times New Roman"/>
          <w:sz w:val="28"/>
          <w:szCs w:val="28"/>
          <w:lang w:val="uk-UA"/>
        </w:rPr>
      </w:pPr>
      <w:r>
        <w:rPr>
          <w:rFonts w:ascii="Times New Roman" w:hAnsi="Times New Roman"/>
          <w:sz w:val="28"/>
          <w:szCs w:val="28"/>
        </w:rPr>
        <w:t>Охр</w:t>
      </w:r>
      <w:r>
        <w:rPr>
          <w:rFonts w:ascii="Times New Roman" w:hAnsi="Times New Roman"/>
          <w:sz w:val="28"/>
          <w:szCs w:val="28"/>
          <w:lang w:val="uk-UA"/>
        </w:rPr>
        <w:t>і</w:t>
      </w:r>
      <w:r>
        <w:rPr>
          <w:rFonts w:ascii="Times New Roman" w:hAnsi="Times New Roman"/>
          <w:sz w:val="28"/>
          <w:szCs w:val="28"/>
        </w:rPr>
        <w:t>менко Г. В.</w:t>
      </w:r>
      <w:r>
        <w:rPr>
          <w:rFonts w:ascii="Times New Roman" w:hAnsi="Times New Roman"/>
          <w:sz w:val="28"/>
          <w:szCs w:val="28"/>
          <w:lang w:val="uk-UA"/>
        </w:rPr>
        <w:t xml:space="preserve"> Господарство носіїв волинської неолітичної культури </w:t>
      </w:r>
      <w:r w:rsidRPr="008D4070">
        <w:rPr>
          <w:rFonts w:ascii="Times New Roman" w:hAnsi="Times New Roman"/>
          <w:sz w:val="28"/>
          <w:szCs w:val="28"/>
        </w:rPr>
        <w:t xml:space="preserve">// </w:t>
      </w:r>
      <w:r>
        <w:rPr>
          <w:rFonts w:ascii="Times New Roman" w:hAnsi="Times New Roman"/>
          <w:sz w:val="28"/>
          <w:szCs w:val="28"/>
          <w:lang w:val="uk-UA"/>
        </w:rPr>
        <w:t>Велика Волинь. – Рівне, 1991. – С. 8-11.</w:t>
      </w:r>
    </w:p>
    <w:p w:rsidR="006E4214" w:rsidRDefault="006E4214" w:rsidP="00640984">
      <w:pPr>
        <w:pStyle w:val="1"/>
        <w:numPr>
          <w:ilvl w:val="0"/>
          <w:numId w:val="1"/>
        </w:num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 xml:space="preserve">Охріменко Г. В. Дослідження волинської неолітичної культури </w:t>
      </w:r>
      <w:r w:rsidRPr="00933FE3">
        <w:rPr>
          <w:rFonts w:ascii="Times New Roman" w:hAnsi="Times New Roman"/>
          <w:sz w:val="28"/>
          <w:szCs w:val="28"/>
        </w:rPr>
        <w:t xml:space="preserve">// </w:t>
      </w:r>
      <w:r>
        <w:rPr>
          <w:rFonts w:ascii="Times New Roman" w:hAnsi="Times New Roman"/>
          <w:sz w:val="28"/>
          <w:szCs w:val="28"/>
          <w:lang w:val="uk-UA"/>
        </w:rPr>
        <w:t>Минуле і сучасне Волині. – Луцьк, 1992. – С. 36-38.</w:t>
      </w:r>
    </w:p>
    <w:p w:rsidR="006E4214" w:rsidRDefault="006E4214" w:rsidP="00640984">
      <w:pPr>
        <w:pStyle w:val="1"/>
        <w:numPr>
          <w:ilvl w:val="0"/>
          <w:numId w:val="1"/>
        </w:num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Охріменко Г. В. Неоліт Волині. – Луцьк: Де Марк, 1994. – Ч.1. – 119с.</w:t>
      </w:r>
    </w:p>
    <w:p w:rsidR="006E4214" w:rsidRDefault="006E4214" w:rsidP="00640984">
      <w:pPr>
        <w:pStyle w:val="1"/>
        <w:numPr>
          <w:ilvl w:val="0"/>
          <w:numId w:val="1"/>
        </w:num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Охріменко Г. В. Волинська неолітична культура. – Луцьк: Волинська обласна друкарня, 2001. – 152с.</w:t>
      </w:r>
    </w:p>
    <w:p w:rsidR="006E4214" w:rsidRDefault="006E4214" w:rsidP="00640984">
      <w:pPr>
        <w:pStyle w:val="1"/>
        <w:numPr>
          <w:ilvl w:val="0"/>
          <w:numId w:val="1"/>
        </w:num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Охріменко Г. В. Кам</w:t>
      </w:r>
      <w:r w:rsidRPr="00933FE3">
        <w:rPr>
          <w:rFonts w:ascii="Times New Roman" w:hAnsi="Times New Roman"/>
          <w:sz w:val="28"/>
          <w:szCs w:val="28"/>
        </w:rPr>
        <w:t>’</w:t>
      </w:r>
      <w:r>
        <w:rPr>
          <w:rFonts w:ascii="Times New Roman" w:hAnsi="Times New Roman"/>
          <w:sz w:val="28"/>
          <w:szCs w:val="28"/>
          <w:lang w:val="uk-UA"/>
        </w:rPr>
        <w:t>яна доба на території Північно-Західної України (ХІІ – ІІІ тис. до н. е.). – Луцьк: Волинська обласна друкарня, 2009. – 520с.</w:t>
      </w:r>
    </w:p>
    <w:p w:rsidR="006E4214" w:rsidRDefault="006E4214" w:rsidP="00640984">
      <w:pPr>
        <w:pStyle w:val="1"/>
        <w:numPr>
          <w:ilvl w:val="0"/>
          <w:numId w:val="1"/>
        </w:num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 xml:space="preserve">Римантене Р. К. Стоянки раннего неолита в Юго-Западной Литве </w:t>
      </w:r>
      <w:r w:rsidRPr="00933FE3">
        <w:rPr>
          <w:rFonts w:ascii="Times New Roman" w:hAnsi="Times New Roman"/>
          <w:sz w:val="28"/>
          <w:szCs w:val="28"/>
        </w:rPr>
        <w:t xml:space="preserve">// </w:t>
      </w:r>
      <w:r>
        <w:rPr>
          <w:rFonts w:ascii="Times New Roman" w:hAnsi="Times New Roman"/>
          <w:sz w:val="28"/>
          <w:szCs w:val="28"/>
          <w:lang w:val="uk-UA"/>
        </w:rPr>
        <w:t>Древности Белорусси. – Минск, 1966. – С. 54-62.</w:t>
      </w:r>
    </w:p>
    <w:p w:rsidR="006E4214" w:rsidRDefault="006E4214" w:rsidP="00640984">
      <w:pPr>
        <w:pStyle w:val="1"/>
        <w:numPr>
          <w:ilvl w:val="0"/>
          <w:numId w:val="1"/>
        </w:num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Свєшніков І. К., Нікольченко Ю. М. Довідник з археології України. Рівненська область. – К.: Наук. думка, 1982. – 113с.</w:t>
      </w:r>
    </w:p>
    <w:p w:rsidR="006E4214" w:rsidRDefault="006E4214" w:rsidP="00640984">
      <w:pPr>
        <w:pStyle w:val="1"/>
        <w:numPr>
          <w:ilvl w:val="0"/>
          <w:numId w:val="1"/>
        </w:numPr>
        <w:spacing w:after="0" w:line="360" w:lineRule="auto"/>
        <w:ind w:left="567" w:hanging="567"/>
        <w:jc w:val="both"/>
        <w:rPr>
          <w:rFonts w:ascii="Times New Roman" w:hAnsi="Times New Roman"/>
          <w:sz w:val="28"/>
          <w:szCs w:val="28"/>
          <w:lang w:val="uk-UA"/>
        </w:rPr>
      </w:pPr>
      <w:r>
        <w:rPr>
          <w:rFonts w:ascii="Times New Roman" w:hAnsi="Times New Roman"/>
          <w:sz w:val="28"/>
          <w:szCs w:val="28"/>
          <w:lang w:val="uk-UA"/>
        </w:rPr>
        <w:t>Телегін Д. Я. Дніпро-Донецька культура. – К.: Наук. думка, 1968. – 258с.</w:t>
      </w:r>
    </w:p>
    <w:p w:rsidR="006E4214" w:rsidRPr="003D2856" w:rsidRDefault="006E4214" w:rsidP="00640984">
      <w:pPr>
        <w:pStyle w:val="1"/>
        <w:numPr>
          <w:ilvl w:val="0"/>
          <w:numId w:val="1"/>
        </w:numPr>
        <w:spacing w:after="0" w:line="360" w:lineRule="auto"/>
        <w:ind w:left="567" w:hanging="567"/>
        <w:jc w:val="both"/>
        <w:rPr>
          <w:rFonts w:ascii="Times New Roman" w:hAnsi="Times New Roman"/>
          <w:sz w:val="28"/>
          <w:szCs w:val="28"/>
          <w:lang w:val="uk-UA"/>
        </w:rPr>
      </w:pPr>
      <w:r>
        <w:rPr>
          <w:rFonts w:ascii="Times New Roman" w:hAnsi="Times New Roman"/>
          <w:sz w:val="28"/>
          <w:szCs w:val="28"/>
        </w:rPr>
        <w:t xml:space="preserve">Телегин Д. Я. Неолитические памятники Северной Украины и Южной Белорусси </w:t>
      </w:r>
      <w:r w:rsidRPr="003D2856">
        <w:rPr>
          <w:rFonts w:ascii="Times New Roman" w:hAnsi="Times New Roman"/>
          <w:sz w:val="28"/>
          <w:szCs w:val="28"/>
        </w:rPr>
        <w:t xml:space="preserve">// </w:t>
      </w:r>
      <w:r>
        <w:rPr>
          <w:rFonts w:ascii="Times New Roman" w:hAnsi="Times New Roman"/>
          <w:sz w:val="28"/>
          <w:szCs w:val="28"/>
        </w:rPr>
        <w:t>МИА. – 1973. -  № 172. – С. 181.</w:t>
      </w:r>
    </w:p>
    <w:p w:rsidR="006E4214" w:rsidRPr="003D2856" w:rsidRDefault="006E4214" w:rsidP="00640984">
      <w:pPr>
        <w:pStyle w:val="1"/>
        <w:numPr>
          <w:ilvl w:val="0"/>
          <w:numId w:val="1"/>
        </w:numPr>
        <w:spacing w:after="0" w:line="360" w:lineRule="auto"/>
        <w:ind w:left="567" w:hanging="567"/>
        <w:jc w:val="both"/>
        <w:rPr>
          <w:rFonts w:ascii="Times New Roman" w:hAnsi="Times New Roman"/>
          <w:sz w:val="28"/>
          <w:szCs w:val="28"/>
          <w:lang w:val="uk-UA"/>
        </w:rPr>
      </w:pPr>
      <w:r>
        <w:rPr>
          <w:rFonts w:ascii="Times New Roman" w:hAnsi="Times New Roman"/>
          <w:sz w:val="28"/>
          <w:szCs w:val="28"/>
        </w:rPr>
        <w:t>Титова Е. Н. Неолит Среднего Поднепров</w:t>
      </w:r>
      <w:r w:rsidRPr="003D2856">
        <w:rPr>
          <w:rFonts w:ascii="Times New Roman" w:hAnsi="Times New Roman"/>
          <w:sz w:val="28"/>
          <w:szCs w:val="28"/>
        </w:rPr>
        <w:t>’</w:t>
      </w:r>
      <w:r>
        <w:rPr>
          <w:rFonts w:ascii="Times New Roman" w:hAnsi="Times New Roman"/>
          <w:sz w:val="28"/>
          <w:szCs w:val="28"/>
        </w:rPr>
        <w:t>я. Культурно-хронологическая характеристика: Автореф. канд. дисс. – К., 1985. – 16с.</w:t>
      </w:r>
    </w:p>
    <w:p w:rsidR="006E4214" w:rsidRPr="00247936" w:rsidRDefault="006E4214" w:rsidP="00640984">
      <w:pPr>
        <w:pStyle w:val="1"/>
        <w:numPr>
          <w:ilvl w:val="0"/>
          <w:numId w:val="1"/>
        </w:numPr>
        <w:spacing w:after="0" w:line="360" w:lineRule="auto"/>
        <w:ind w:left="567" w:hanging="567"/>
        <w:jc w:val="both"/>
        <w:rPr>
          <w:rFonts w:ascii="Times New Roman" w:hAnsi="Times New Roman"/>
          <w:sz w:val="28"/>
          <w:szCs w:val="28"/>
          <w:lang w:val="uk-UA"/>
        </w:rPr>
      </w:pPr>
      <w:r w:rsidRPr="003D2856">
        <w:rPr>
          <w:rFonts w:ascii="Times New Roman" w:hAnsi="Times New Roman"/>
          <w:sz w:val="28"/>
          <w:szCs w:val="28"/>
          <w:lang w:val="uk-UA"/>
        </w:rPr>
        <w:t>Черняуск</w:t>
      </w:r>
      <w:r>
        <w:rPr>
          <w:rFonts w:ascii="Times New Roman" w:hAnsi="Times New Roman"/>
          <w:sz w:val="28"/>
          <w:szCs w:val="28"/>
          <w:lang w:val="uk-UA"/>
        </w:rPr>
        <w:t>і М. М. Неаліт Беларускага Панямоння. – Мінск, 1979. – 141с.</w:t>
      </w:r>
      <w:r w:rsidRPr="003D2856">
        <w:rPr>
          <w:rFonts w:ascii="Times New Roman" w:hAnsi="Times New Roman"/>
          <w:sz w:val="28"/>
          <w:szCs w:val="28"/>
          <w:lang w:val="uk-UA"/>
        </w:rPr>
        <w:t xml:space="preserve">      </w:t>
      </w:r>
      <w:r>
        <w:rPr>
          <w:rFonts w:ascii="Times New Roman" w:hAnsi="Times New Roman"/>
          <w:sz w:val="28"/>
          <w:szCs w:val="28"/>
          <w:lang w:val="uk-UA"/>
        </w:rPr>
        <w:t xml:space="preserve"> </w:t>
      </w:r>
    </w:p>
    <w:p w:rsidR="006E4214" w:rsidRPr="00120488" w:rsidRDefault="006E4214" w:rsidP="00247936">
      <w:pPr>
        <w:spacing w:after="0" w:line="360" w:lineRule="auto"/>
        <w:ind w:firstLine="708"/>
        <w:jc w:val="both"/>
        <w:rPr>
          <w:rFonts w:ascii="Times New Roman" w:hAnsi="Times New Roman"/>
          <w:sz w:val="28"/>
          <w:szCs w:val="28"/>
          <w:lang w:val="uk-UA"/>
        </w:rPr>
      </w:pPr>
      <w:bookmarkStart w:id="0" w:name="_GoBack"/>
      <w:bookmarkEnd w:id="0"/>
    </w:p>
    <w:sectPr w:rsidR="006E4214" w:rsidRPr="00120488" w:rsidSect="00263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EC5783"/>
    <w:multiLevelType w:val="hybridMultilevel"/>
    <w:tmpl w:val="2B70EFC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076"/>
    <w:rsid w:val="000678E5"/>
    <w:rsid w:val="000D13AB"/>
    <w:rsid w:val="00120488"/>
    <w:rsid w:val="00247936"/>
    <w:rsid w:val="0026378A"/>
    <w:rsid w:val="003C00F9"/>
    <w:rsid w:val="003D2856"/>
    <w:rsid w:val="00446A11"/>
    <w:rsid w:val="0045543A"/>
    <w:rsid w:val="005675E7"/>
    <w:rsid w:val="005D53BB"/>
    <w:rsid w:val="00640984"/>
    <w:rsid w:val="006457EF"/>
    <w:rsid w:val="00665C4A"/>
    <w:rsid w:val="00671F36"/>
    <w:rsid w:val="006E4214"/>
    <w:rsid w:val="006E47C8"/>
    <w:rsid w:val="00700C32"/>
    <w:rsid w:val="008138C9"/>
    <w:rsid w:val="008D4070"/>
    <w:rsid w:val="00933FE3"/>
    <w:rsid w:val="00A94FA4"/>
    <w:rsid w:val="00AC56B6"/>
    <w:rsid w:val="00B3678B"/>
    <w:rsid w:val="00B368ED"/>
    <w:rsid w:val="00BC653A"/>
    <w:rsid w:val="00E14005"/>
    <w:rsid w:val="00E27578"/>
    <w:rsid w:val="00E37AD8"/>
    <w:rsid w:val="00E416CE"/>
    <w:rsid w:val="00F96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A11A6C-FA8D-4CA5-913F-4D5D2374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78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247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1191</Words>
  <Characters>6790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З давніх-давен Рівненське Полісся з його різноманітними грунтами, численними річками, потоками, болотами, наповненими багатою флорою та фауною, приваблювало сюди первісних людей, які невпинно та наполегливо прямували на схід ще з часу фінального палеоліт</vt:lpstr>
    </vt:vector>
  </TitlesOfParts>
  <Company>Microsoft</Company>
  <LinksUpToDate>false</LinksUpToDate>
  <CharactersWithSpaces>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давніх-давен Рівненське Полісся з його різноманітними грунтами, численними річками, потоками, болотами, наповненими багатою флорою та фауною, приваблювало сюди первісних людей, які невпинно та наполегливо прямували на схід ще з часу фінального палеоліт</dc:title>
  <dc:subject/>
  <dc:creator>XTreme</dc:creator>
  <cp:keywords/>
  <dc:description/>
  <cp:lastModifiedBy>Irina</cp:lastModifiedBy>
  <cp:revision>2</cp:revision>
  <dcterms:created xsi:type="dcterms:W3CDTF">2014-08-17T09:14:00Z</dcterms:created>
  <dcterms:modified xsi:type="dcterms:W3CDTF">2014-08-17T09:14:00Z</dcterms:modified>
</cp:coreProperties>
</file>