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16" w:rsidRDefault="002835AA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Выполнение плана ГОЭЛРО</w:t>
      </w:r>
      <w:r>
        <w:br/>
      </w:r>
      <w:r>
        <w:rPr>
          <w:b/>
          <w:bCs/>
        </w:rPr>
        <w:t xml:space="preserve">2 Члены Комиссии ГОЭЛРО </w:t>
      </w:r>
      <w:r>
        <w:rPr>
          <w:b/>
          <w:bCs/>
        </w:rPr>
        <w:br/>
        <w:t>2.1 Участники разработки плана ГОЭЛРО</w:t>
      </w:r>
      <w:r>
        <w:rPr>
          <w:b/>
          <w:bCs/>
        </w:rPr>
        <w:br/>
      </w:r>
      <w:r>
        <w:br/>
      </w:r>
      <w:r>
        <w:rPr>
          <w:b/>
          <w:bCs/>
        </w:rPr>
        <w:t>3 ГОЭЛРО в литературе и искусстве</w:t>
      </w:r>
      <w:r>
        <w:br/>
      </w:r>
      <w:r>
        <w:rPr>
          <w:b/>
          <w:bCs/>
        </w:rPr>
        <w:t>4 «ГОЭЛРО — 2»</w:t>
      </w:r>
      <w:r>
        <w:br/>
      </w:r>
      <w:r>
        <w:rPr>
          <w:b/>
          <w:bCs/>
        </w:rPr>
        <w:t>Список литературы</w:t>
      </w:r>
    </w:p>
    <w:p w:rsidR="00C73B16" w:rsidRDefault="002835A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C73B16" w:rsidRDefault="002835AA">
      <w:pPr>
        <w:pStyle w:val="a3"/>
      </w:pPr>
      <w:r>
        <w:t xml:space="preserve">ГОЭЛРО́ (сокр. от </w:t>
      </w:r>
      <w:r>
        <w:rPr>
          <w:i/>
          <w:iCs/>
        </w:rPr>
        <w:t>Государственная комиссия по электрификации России</w:t>
      </w:r>
      <w:r>
        <w:t xml:space="preserve">) — орган, созданный 21 февраля 1920 года для разработки проекта электрификации России после Октябрьской революции 1917 года. Аббревиатура часто расшифровывается также, как </w:t>
      </w:r>
      <w:r>
        <w:rPr>
          <w:i/>
          <w:iCs/>
        </w:rPr>
        <w:t>Государственный план электрификации России</w:t>
      </w:r>
      <w:r>
        <w:t>, то есть продукт комиссии ГОЭЛРО, ставший первым перспективным планом развития экономики, принятым и реализованным в России после революции.</w:t>
      </w:r>
    </w:p>
    <w:p w:rsidR="00C73B16" w:rsidRDefault="002835AA">
      <w:pPr>
        <w:pStyle w:val="a3"/>
      </w:pPr>
      <w:r>
        <w:t>По некоторым источникам, подготовка проекта масштабной электрификации России велась ещё до революции</w:t>
      </w:r>
      <w:r>
        <w:rPr>
          <w:position w:val="10"/>
        </w:rPr>
        <w:t>[1]</w:t>
      </w:r>
      <w:r>
        <w:t>(1917), однако в годы Первой мировой войны (1914-1918) невозможно было начать реализацию по причине больших военных расходов. В годы гражданской войны (1917-1922/1923) и интервенции правительство под руководством Ленина начало разработку перспективного плана электрификации страны, для чего, в частности, и была создана Комиссия по разработке плана электрификации под руководством Г.М.Кржижановского. К работе комиссии было привлечено около 200 учёных и инженеров. В декабре 1920 г. выработанный комиссией план был одобрен VIII Всероссийским съездом Советов, через год его утвердил IX Всероссийский съезд Советов.</w:t>
      </w:r>
    </w:p>
    <w:p w:rsidR="00C73B16" w:rsidRDefault="002835AA">
      <w:pPr>
        <w:pStyle w:val="a3"/>
      </w:pPr>
      <w:r>
        <w:t>Памятный знак на доме 24 по Мясницкой ул., Москвы, где разработан план ГОЭЛРО</w:t>
      </w:r>
    </w:p>
    <w:p w:rsidR="00C73B16" w:rsidRDefault="002835AA">
      <w:pPr>
        <w:pStyle w:val="a3"/>
      </w:pPr>
      <w:r>
        <w:t>ГОЭЛРО был планом развития не одной энергетики, а всей экономики. В нем предусматривалось строительство предприятий, обеспечивающих эти стройки всем необходимым, а также опережающее развитие электроэнергетики. И все это привязывалось к планам развития территорий. Среди них — заложенный в 1927 году Сталинградский тракторный завод. В рамках плана также началось освоение Кузнецкого угольного бассейна, вокруг которого возник новый промышленный район. Советское правительство поощряло инициативу частников в выполнении ГОЭЛРО. Те, кто занимался электрификацией, могли рассчитывать на налоговые льготы и кредиты от государства.</w:t>
      </w:r>
    </w:p>
    <w:p w:rsidR="00C73B16" w:rsidRDefault="002835AA">
      <w:pPr>
        <w:pStyle w:val="a3"/>
      </w:pPr>
      <w:r>
        <w:t>План ГОЭЛРО, рассчитанный на 10—15 лет, предусматривал строительство 30 районных электрических станций (20 ТЭС и 10 ГЭС) общей мощностью 1,75 млн кВт. В числе прочих намечалось построить Штеровскую, Каширскую, Горьковскую, Шатурскую и Челябинскую районные тепловые электростанции, а также ГЭС — Нижегородскую, Волховскую (1926), Днепровскую, две станции на реке Свирь и др. В рамках проекта было проведено экономическое районирование, выделен транспортно-энергетический каркас территории страны. Проект охватывал восемь основных экономических районов (Северный, Центрально-промышленный, Южный, Приволжский, Уральский, Западно-Сибирский, Кавказский и Туркестанский). Параллельно велось развитие транспортной системы страны (магистрализация старых и строительство новых железнодорожных линий, сооружение Волго-Донского канала). Проект ГОЭЛРО положил основу индустриализации в России. План в основном был перевыполнен к 1931. Выработка электроэнергии в 1932 году по сравнению с 1913 годом увеличилась не в 4,5 раза, как планировалось, а почти в 7 раз: с 2 до 13,5 млрд кВт·ч.</w:t>
      </w:r>
    </w:p>
    <w:p w:rsidR="00C73B16" w:rsidRDefault="002835AA">
      <w:pPr>
        <w:pStyle w:val="21"/>
        <w:pageBreakBefore/>
        <w:numPr>
          <w:ilvl w:val="0"/>
          <w:numId w:val="0"/>
        </w:numPr>
      </w:pPr>
      <w:r>
        <w:t>1. Выполнение плана ГОЭЛРО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6"/>
        <w:gridCol w:w="721"/>
        <w:gridCol w:w="646"/>
        <w:gridCol w:w="1231"/>
        <w:gridCol w:w="721"/>
        <w:gridCol w:w="721"/>
        <w:gridCol w:w="1681"/>
      </w:tblGrid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Heading"/>
            </w:pPr>
            <w:r>
              <w:t>Показатель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Heading"/>
            </w:pPr>
            <w:r>
              <w:t>1913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Heading"/>
            </w:pPr>
            <w:r>
              <w:t>1920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Heading"/>
            </w:pPr>
            <w:r>
              <w:t>План ГОЭЛРО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Heading"/>
            </w:pPr>
            <w:r>
              <w:t>1930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Heading"/>
            </w:pPr>
            <w:r>
              <w:t>1935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Heading"/>
            </w:pPr>
            <w:r>
              <w:t>Год выполнения плана ГОЭЛРО</w:t>
            </w:r>
          </w:p>
        </w:tc>
      </w:tr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Contents"/>
            </w:pPr>
            <w:r>
              <w:t>Валовая продукция промышленности (1913-I)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1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Contents"/>
            </w:pPr>
            <w:r>
              <w:t>0,14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Contents"/>
            </w:pPr>
            <w:r>
              <w:t>1,8-2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2,5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5,8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Contents"/>
            </w:pPr>
            <w:r>
              <w:t>1929-1930</w:t>
            </w:r>
          </w:p>
        </w:tc>
      </w:tr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Contents"/>
            </w:pPr>
            <w:r>
              <w:t>Мощность районных электростанций (млн.квт)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0,2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Contents"/>
            </w:pPr>
            <w:r>
              <w:t>0,25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Contents"/>
            </w:pPr>
            <w:r>
              <w:t>1,75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1,4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4,1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Contents"/>
            </w:pPr>
            <w:r>
              <w:t>1931</w:t>
            </w:r>
          </w:p>
        </w:tc>
      </w:tr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Contents"/>
            </w:pPr>
            <w:r>
              <w:t>Производство электроэнергии (млрд. квт. ч.)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2,0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Contents"/>
            </w:pPr>
            <w:r>
              <w:t>0,5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Contents"/>
            </w:pPr>
            <w:r>
              <w:t>2,8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8,4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28,3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Contents"/>
            </w:pPr>
            <w:r>
              <w:t>1931</w:t>
            </w:r>
          </w:p>
        </w:tc>
      </w:tr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Contents"/>
            </w:pPr>
            <w:r>
              <w:t>Уголь (млн. т.)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29,2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Contents"/>
            </w:pPr>
            <w:r>
              <w:t>8,7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Contents"/>
            </w:pPr>
            <w:r>
              <w:t>62,3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47,8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109,8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Contents"/>
            </w:pPr>
            <w:r>
              <w:t>1932</w:t>
            </w:r>
          </w:p>
        </w:tc>
      </w:tr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Contents"/>
            </w:pPr>
            <w:r>
              <w:t>Нефть (млн. т.)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10,3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Contents"/>
            </w:pPr>
            <w:r>
              <w:t>3,9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Contents"/>
            </w:pPr>
            <w:r>
              <w:t>16,4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18,5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25,2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Contents"/>
            </w:pPr>
            <w:r>
              <w:t>1929-1930</w:t>
            </w:r>
          </w:p>
        </w:tc>
      </w:tr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Contents"/>
            </w:pPr>
            <w:r>
              <w:t>Торф (млн. т.)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1,7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Contents"/>
            </w:pPr>
            <w:r>
              <w:t>1,4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Contents"/>
            </w:pPr>
            <w:r>
              <w:t>18,4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8,1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18,5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Contents"/>
            </w:pPr>
            <w:r>
              <w:t>1934</w:t>
            </w:r>
          </w:p>
        </w:tc>
      </w:tr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Contents"/>
            </w:pPr>
            <w:r>
              <w:t>Железная руда (млн. т.)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9,2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Contents"/>
            </w:pPr>
            <w:r>
              <w:t>0,16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Contents"/>
            </w:pPr>
            <w:r>
              <w:t>19,6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13,7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26,3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Contents"/>
            </w:pPr>
            <w:r>
              <w:t>1934</w:t>
            </w:r>
          </w:p>
        </w:tc>
      </w:tr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Contents"/>
            </w:pPr>
            <w:r>
              <w:t>Чугун (млн. т.)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4,2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Contents"/>
            </w:pPr>
            <w:r>
              <w:t>0,12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Contents"/>
            </w:pPr>
            <w:r>
              <w:t>9,2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5,0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12,5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Contents"/>
            </w:pPr>
            <w:r>
              <w:t>1934</w:t>
            </w:r>
          </w:p>
        </w:tc>
      </w:tr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Contents"/>
            </w:pPr>
            <w:r>
              <w:t>Сталь (млн. т.)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4,3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Contents"/>
            </w:pPr>
            <w:r>
              <w:t>0,19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Contents"/>
            </w:pPr>
            <w:r>
              <w:t>6,5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5,8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12,6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Contents"/>
            </w:pPr>
            <w:r>
              <w:t>1933</w:t>
            </w:r>
          </w:p>
        </w:tc>
      </w:tr>
      <w:tr w:rsidR="00C73B16">
        <w:tc>
          <w:tcPr>
            <w:tcW w:w="2176" w:type="dxa"/>
            <w:vAlign w:val="center"/>
          </w:tcPr>
          <w:p w:rsidR="00C73B16" w:rsidRDefault="002835AA">
            <w:pPr>
              <w:pStyle w:val="TableContents"/>
            </w:pPr>
            <w:r>
              <w:t>Бумага (тыс. т.)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269,2</w:t>
            </w:r>
          </w:p>
        </w:tc>
        <w:tc>
          <w:tcPr>
            <w:tcW w:w="646" w:type="dxa"/>
            <w:vAlign w:val="center"/>
          </w:tcPr>
          <w:p w:rsidR="00C73B16" w:rsidRDefault="002835AA">
            <w:pPr>
              <w:pStyle w:val="TableContents"/>
            </w:pPr>
            <w:r>
              <w:t>30,3</w:t>
            </w:r>
          </w:p>
        </w:tc>
        <w:tc>
          <w:tcPr>
            <w:tcW w:w="1231" w:type="dxa"/>
            <w:vAlign w:val="center"/>
          </w:tcPr>
          <w:p w:rsidR="00C73B16" w:rsidRDefault="002835AA">
            <w:pPr>
              <w:pStyle w:val="TableContents"/>
            </w:pPr>
            <w:r>
              <w:t>683,5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435,3</w:t>
            </w:r>
          </w:p>
        </w:tc>
        <w:tc>
          <w:tcPr>
            <w:tcW w:w="721" w:type="dxa"/>
            <w:vAlign w:val="center"/>
          </w:tcPr>
          <w:p w:rsidR="00C73B16" w:rsidRDefault="002835AA">
            <w:pPr>
              <w:pStyle w:val="TableContents"/>
            </w:pPr>
            <w:r>
              <w:t>648,8</w:t>
            </w:r>
          </w:p>
        </w:tc>
        <w:tc>
          <w:tcPr>
            <w:tcW w:w="1681" w:type="dxa"/>
            <w:vAlign w:val="center"/>
          </w:tcPr>
          <w:p w:rsidR="00C73B16" w:rsidRDefault="002835AA">
            <w:pPr>
              <w:pStyle w:val="TableContents"/>
            </w:pPr>
            <w:r>
              <w:t>1936</w:t>
            </w:r>
          </w:p>
        </w:tc>
      </w:tr>
    </w:tbl>
    <w:p w:rsidR="00C73B16" w:rsidRDefault="002835AA">
      <w:pPr>
        <w:pStyle w:val="21"/>
        <w:pageBreakBefore/>
        <w:numPr>
          <w:ilvl w:val="0"/>
          <w:numId w:val="0"/>
        </w:numPr>
      </w:pPr>
      <w:r>
        <w:t xml:space="preserve">2. Члены Комиссии ГОЭЛРО </w:t>
      </w:r>
    </w:p>
    <w:p w:rsidR="00C73B16" w:rsidRDefault="002835AA">
      <w:pPr>
        <w:pStyle w:val="31"/>
        <w:numPr>
          <w:ilvl w:val="0"/>
          <w:numId w:val="0"/>
        </w:numPr>
      </w:pPr>
      <w:r>
        <w:t>2.1. Участники разработки плана ГОЭЛРО</w:t>
      </w:r>
    </w:p>
    <w:p w:rsidR="00C73B16" w:rsidRDefault="002835A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Г. М. Кржижановский — Председатель (1872—1959)</w:t>
      </w:r>
    </w:p>
    <w:p w:rsidR="00C73B16" w:rsidRDefault="002835A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А. И. Эйсман — заместитель Председателя</w:t>
      </w:r>
    </w:p>
    <w:p w:rsidR="00C73B16" w:rsidRDefault="002835A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А. Г. Коган — товарищ Председателя (1865—1929)</w:t>
      </w:r>
    </w:p>
    <w:p w:rsidR="00C73B16" w:rsidRDefault="002835A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Б. И. Угримов — товарищ Председателя (1872—1940)</w:t>
      </w:r>
    </w:p>
    <w:p w:rsidR="00C73B16" w:rsidRDefault="002835AA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Н. Н. Вашков — заместитель товарища Председателя (1874—1953)</w:t>
      </w:r>
    </w:p>
    <w:p w:rsidR="00C73B16" w:rsidRDefault="002835AA">
      <w:pPr>
        <w:pStyle w:val="a3"/>
        <w:numPr>
          <w:ilvl w:val="0"/>
          <w:numId w:val="5"/>
        </w:numPr>
        <w:tabs>
          <w:tab w:val="left" w:pos="707"/>
        </w:tabs>
      </w:pPr>
      <w:r>
        <w:t>Н. С. Синельников — заместитель товарища Председателя</w:t>
      </w:r>
    </w:p>
    <w:p w:rsidR="00C73B16" w:rsidRDefault="002835AA">
      <w:pPr>
        <w:pStyle w:val="a3"/>
      </w:pPr>
      <w:r>
        <w:t>Члены: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И. Г. Александров (1875—1936)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Г. О. Графтио (1869—1949)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Л. В. Дрейер (1874—1938)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К. А. Круг (1873—1952)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М. Я. Лапиров-Скобло (1889—1947)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Б. Э. Стюнкель (1882—1939)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Е. Я. Шульгин (1873—1937)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А. В. Винтер (1878—1957)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Р. Э. Классон (1868—1926)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М. А. Шателен (1866—1957)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И. И. Вихляев — инженер-торфяник (1879—1964)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Г. К. Ризенкамф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Д. И. Комаров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Р. А. Ферман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Л. К. Рамзин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А. И. Таиров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А. А. Шварц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Г. Д. Дубелир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Т. Р. Макаров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В. Ф. Миткеви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Н. К. Поливанов</w:t>
      </w:r>
    </w:p>
    <w:p w:rsidR="00C73B16" w:rsidRDefault="002835AA">
      <w:pPr>
        <w:pStyle w:val="a3"/>
        <w:numPr>
          <w:ilvl w:val="0"/>
          <w:numId w:val="4"/>
        </w:numPr>
        <w:tabs>
          <w:tab w:val="left" w:pos="707"/>
        </w:tabs>
      </w:pPr>
      <w:r>
        <w:t>Р. Л. Семенов</w:t>
      </w:r>
    </w:p>
    <w:p w:rsidR="00C73B16" w:rsidRDefault="002835AA">
      <w:pPr>
        <w:pStyle w:val="21"/>
        <w:pageBreakBefore/>
        <w:numPr>
          <w:ilvl w:val="0"/>
          <w:numId w:val="0"/>
        </w:numPr>
      </w:pPr>
      <w:r>
        <w:t>3. ГОЭЛРО в литературе и искусстве</w:t>
      </w:r>
    </w:p>
    <w:p w:rsidR="00C73B16" w:rsidRDefault="002835AA">
      <w:pPr>
        <w:pStyle w:val="a3"/>
        <w:numPr>
          <w:ilvl w:val="0"/>
          <w:numId w:val="3"/>
        </w:numPr>
        <w:tabs>
          <w:tab w:val="left" w:pos="707"/>
        </w:tabs>
      </w:pPr>
      <w:r>
        <w:t>В 1920 году Россию посетил известный писатель-фантаст Герберт Уэллс. Он встречался с Лениным, ознакомился с планами широкой электрификации России, и счёл их неосуществимыми. В очерке «Россия во мгле», посвящённом этой поездке, он так отозвался об этих планах:</w:t>
      </w:r>
    </w:p>
    <w:p w:rsidR="00C73B16" w:rsidRDefault="002835AA">
      <w:pPr>
        <w:pStyle w:val="a3"/>
        <w:rPr>
          <w:position w:val="10"/>
        </w:rPr>
      </w:pPr>
      <w:r>
        <w:t xml:space="preserve">Дело в том, что Ленин, который, как подлинный марксист, отвергает всех «утопистов», в конце концов сам впал в утопию, утопию электрификации. Он делает все, от него зависящее, чтобы создать в России крупные электростанции, которые будут давать целым губерниям энергию для освещения, транспорта и промышленности. Он сказал, что в порядке опыта уже электрифицированы два района. Можно ли представить себе более дерзновенный проект в этой огромной равнинной, покрытой лесами стране, населенной неграмотными крестьянами, лишенной источников водной энергии, не имеющей технически грамотных людей, в которой почти угасла торговля и промышленность? Такие проекты электрификации осуществляются сейчас в Голландии, они обсуждаются в Англии, и можно легко представить себе, что в этих густонаселенных странах с высокоразвитой промышленностью электрификация окажется успешной, рентабельной и вообще благотворной. Но осуществление таких проектов в России можно представить себе только с помощью сверхфантазии. В какое бы волшебное зеркало я ни глядел, я не могу увидеть эту Россию будущего, но невысокий человек в Кремле обладает таким даром. </w:t>
      </w:r>
      <w:r>
        <w:rPr>
          <w:position w:val="10"/>
        </w:rPr>
        <w:t>[2]</w:t>
      </w:r>
    </w:p>
    <w:p w:rsidR="00C73B16" w:rsidRDefault="002835AA">
      <w:pPr>
        <w:pStyle w:val="a3"/>
      </w:pPr>
      <w:r>
        <w:t>Ленин пригласил Уэллса приехать через 10 лет и посмотреть как выполняется план, который был рассчитан на 10-15 лет. Уэллс приехал в 1934 году и был поражён тем, что план был не просто выполнен, но и перевыполнен по ряду показателей.</w:t>
      </w:r>
    </w:p>
    <w:p w:rsidR="00C73B16" w:rsidRDefault="002835AA">
      <w:pPr>
        <w:pStyle w:val="a3"/>
        <w:numPr>
          <w:ilvl w:val="0"/>
          <w:numId w:val="2"/>
        </w:numPr>
        <w:tabs>
          <w:tab w:val="left" w:pos="707"/>
        </w:tabs>
      </w:pPr>
      <w:r>
        <w:t>Тематика художественного оформления станции Петербургского метрополитена Электросила посвящена развитию энергетики в Советском Союзе.</w:t>
      </w:r>
    </w:p>
    <w:p w:rsidR="00C73B16" w:rsidRDefault="002835AA">
      <w:pPr>
        <w:pStyle w:val="21"/>
        <w:pageBreakBefore/>
        <w:numPr>
          <w:ilvl w:val="0"/>
          <w:numId w:val="0"/>
        </w:numPr>
      </w:pPr>
      <w:r>
        <w:t>4. «ГОЭЛРО — 2»</w:t>
      </w:r>
    </w:p>
    <w:p w:rsidR="00C73B16" w:rsidRDefault="002835AA">
      <w:pPr>
        <w:pStyle w:val="a3"/>
      </w:pPr>
      <w:r>
        <w:t>В последнее время принято говорить о так называемом плане «ГОЭЛРО-2». Он представляет собой ликвидацию РАО «ЕЭС России» в 2008 году и создание на его базе нескольких генерирующих компаний (оптовых генерирующих компаний и территориальных генерирующих компаний). До 2020 года генерирующие компании должны осуществить размещение новых (или замену старых) энергетических мощностей на территории Российской Федерации.</w:t>
      </w:r>
    </w:p>
    <w:p w:rsidR="00C73B16" w:rsidRDefault="002835AA">
      <w:pPr>
        <w:pStyle w:val="a3"/>
      </w:pPr>
      <w:r>
        <w:t>Осуществляют работу по реализации плана «ГОЭЛРО-2» инжиниринговые компании.</w:t>
      </w:r>
    </w:p>
    <w:p w:rsidR="00C73B16" w:rsidRDefault="002835AA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C73B16" w:rsidRDefault="002835A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КТО ЖЕ БЫЛ ИНИЦИАТОРОМ И ВДОХНОВИТЕЛЕМ ЭЛЕКТРИФИКАЦИИ РОССИИ</w:t>
      </w:r>
    </w:p>
    <w:p w:rsidR="00C73B16" w:rsidRDefault="002835AA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Уэллс Г.</w:t>
      </w:r>
      <w:r>
        <w:t xml:space="preserve"> Россия во мгле. Библиотека Максима Мошкова.</w:t>
      </w:r>
    </w:p>
    <w:p w:rsidR="00C73B16" w:rsidRDefault="002835AA">
      <w:pPr>
        <w:pStyle w:val="a3"/>
        <w:spacing w:after="0"/>
      </w:pPr>
      <w:r>
        <w:t>Источник: http://ru.wikipedia.org/wiki/ГОЭЛРО</w:t>
      </w:r>
      <w:bookmarkStart w:id="0" w:name="_GoBack"/>
      <w:bookmarkEnd w:id="0"/>
    </w:p>
    <w:sectPr w:rsidR="00C73B1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5AA"/>
    <w:rsid w:val="002049C3"/>
    <w:rsid w:val="002835AA"/>
    <w:rsid w:val="00C7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4ACA-2502-44DC-8F70-333F5E8E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31">
    <w:name w:val="Заголовок 31"/>
    <w:basedOn w:val="Heading"/>
    <w:next w:val="a3"/>
    <w:pPr>
      <w:numPr>
        <w:ilvl w:val="2"/>
        <w:numId w:val="6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2014-04-19T12:42:00Z</dcterms:created>
  <dcterms:modified xsi:type="dcterms:W3CDTF">2014-04-19T12:42:00Z</dcterms:modified>
</cp:coreProperties>
</file>