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8D3" w:rsidRDefault="00F01F76" w:rsidP="00F01F76">
      <w:pPr>
        <w:jc w:val="center"/>
        <w:rPr>
          <w:rFonts w:ascii="Times New Roman" w:hAnsi="Times New Roman" w:cs="Times New Roman"/>
          <w:b/>
          <w:sz w:val="32"/>
          <w:szCs w:val="32"/>
        </w:rPr>
      </w:pPr>
      <w:r w:rsidRPr="00F01F76">
        <w:rPr>
          <w:rFonts w:ascii="Times New Roman" w:hAnsi="Times New Roman" w:cs="Times New Roman"/>
          <w:b/>
          <w:sz w:val="32"/>
          <w:szCs w:val="32"/>
        </w:rPr>
        <w:t>Приложение А</w:t>
      </w:r>
    </w:p>
    <w:p w:rsidR="00F01F76" w:rsidRDefault="00076EF6" w:rsidP="00377391">
      <w:pPr>
        <w:pStyle w:val="Style1"/>
        <w:widowControl/>
        <w:tabs>
          <w:tab w:val="left" w:pos="2263"/>
        </w:tabs>
        <w:spacing w:before="52"/>
        <w:outlineLvl w:val="0"/>
        <w:rPr>
          <w:rFonts w:ascii="Times New Roman" w:hAnsi="Times New Roman" w:cs="Times New Roman"/>
          <w:b/>
          <w:sz w:val="32"/>
          <w:szCs w:val="32"/>
        </w:rPr>
      </w:pPr>
      <w:r w:rsidRPr="00076EF6">
        <w:rPr>
          <w:b/>
          <w:noProof/>
          <w:sz w:val="28"/>
          <w:szCs w:val="28"/>
        </w:rPr>
        <w:pict>
          <v:group id="_x0000_s1026" style="position:absolute;margin-left:-3.7pt;margin-top:12.2pt;width:432.7pt;height:615.25pt;z-index:-251656192" coordorigin="2768,3414" coordsize="12507,9889">
            <v:rect id="_x0000_s1027" style="position:absolute;left:3378;top:5159;width:4138;height:930">
              <v:textbox style="mso-next-textbox:#_x0000_s1027">
                <w:txbxContent>
                  <w:p w:rsidR="00F01F76" w:rsidRPr="005B4999" w:rsidRDefault="00F01F76" w:rsidP="00F01F76">
                    <w:pPr>
                      <w:jc w:val="center"/>
                      <w:rPr>
                        <w:rFonts w:ascii="Times New Roman" w:hAnsi="Times New Roman" w:cs="Times New Roman"/>
                      </w:rPr>
                    </w:pPr>
                    <w:r>
                      <w:rPr>
                        <w:rFonts w:ascii="Times New Roman" w:hAnsi="Times New Roman" w:cs="Times New Roman"/>
                      </w:rPr>
                      <w:t>плательщики</w:t>
                    </w:r>
                  </w:p>
                  <w:p w:rsidR="00F01F76" w:rsidRPr="005B4999" w:rsidRDefault="00F01F76" w:rsidP="00F01F76">
                    <w:pPr>
                      <w:rPr>
                        <w:rFonts w:ascii="Times New Roman" w:hAnsi="Times New Roman" w:cs="Times New Roman"/>
                        <w:b/>
                        <w:bCs/>
                        <w:w w:val="33"/>
                        <w:sz w:val="28"/>
                        <w:szCs w:val="28"/>
                      </w:rPr>
                    </w:pPr>
                  </w:p>
                </w:txbxContent>
              </v:textbox>
            </v:rect>
            <v:rect id="_x0000_s1028" style="position:absolute;left:3378;top:3414;width:5736;height:930">
              <v:textbox style="mso-next-textbox:#_x0000_s1028">
                <w:txbxContent>
                  <w:p w:rsidR="00F01F76" w:rsidRPr="00EA6E35" w:rsidRDefault="00F01F76" w:rsidP="00F01F76">
                    <w:pPr>
                      <w:jc w:val="center"/>
                      <w:rPr>
                        <w:rFonts w:ascii="Times New Roman" w:hAnsi="Times New Roman" w:cs="Times New Roman"/>
                        <w:sz w:val="24"/>
                        <w:szCs w:val="24"/>
                      </w:rPr>
                    </w:pPr>
                    <w:r w:rsidRPr="00EA6E35">
                      <w:rPr>
                        <w:rFonts w:ascii="Times New Roman" w:hAnsi="Times New Roman" w:cs="Times New Roman"/>
                        <w:sz w:val="24"/>
                        <w:szCs w:val="24"/>
                      </w:rPr>
                      <w:t>Государственная пошлина</w:t>
                    </w:r>
                  </w:p>
                </w:txbxContent>
              </v:textbox>
            </v:rect>
            <v:rect id="_x0000_s1029" style="position:absolute;left:7516;top:5159;width:7558;height:930">
              <v:textbox style="mso-next-textbox:#_x0000_s1029">
                <w:txbxContent>
                  <w:p w:rsidR="00F01F76" w:rsidRPr="0059347F" w:rsidRDefault="00F01F76" w:rsidP="00F01F76">
                    <w:pPr>
                      <w:rPr>
                        <w:rFonts w:ascii="Times New Roman" w:hAnsi="Times New Roman" w:cs="Times New Roman"/>
                        <w:sz w:val="24"/>
                        <w:szCs w:val="24"/>
                      </w:rPr>
                    </w:pPr>
                    <w:r w:rsidRPr="0059347F">
                      <w:rPr>
                        <w:rFonts w:ascii="Times New Roman" w:hAnsi="Times New Roman" w:cs="Times New Roman"/>
                        <w:sz w:val="24"/>
                        <w:szCs w:val="24"/>
                      </w:rPr>
                      <w:t>организации и  физические  лица  в  случаях,  предусм</w:t>
                    </w:r>
                    <w:r>
                      <w:rPr>
                        <w:rFonts w:ascii="Times New Roman" w:hAnsi="Times New Roman" w:cs="Times New Roman"/>
                        <w:sz w:val="24"/>
                        <w:szCs w:val="24"/>
                      </w:rPr>
                      <w:t xml:space="preserve">отренных главой 25.3 НК РФ </w:t>
                    </w:r>
                  </w:p>
                  <w:p w:rsidR="00F01F76" w:rsidRDefault="00F01F76" w:rsidP="00F01F76"/>
                </w:txbxContent>
              </v:textbox>
            </v:rect>
            <v:rect id="_x0000_s1030" style="position:absolute;left:3378;top:6528;width:4138;height:930">
              <v:textbox style="mso-next-textbox:#_x0000_s1030">
                <w:txbxContent>
                  <w:p w:rsidR="00F01F76" w:rsidRPr="0059347F" w:rsidRDefault="00F01F76" w:rsidP="00F01F76">
                    <w:pPr>
                      <w:jc w:val="center"/>
                      <w:rPr>
                        <w:rFonts w:ascii="Times New Roman" w:hAnsi="Times New Roman" w:cs="Times New Roman"/>
                        <w:sz w:val="24"/>
                        <w:szCs w:val="24"/>
                      </w:rPr>
                    </w:pPr>
                    <w:r w:rsidRPr="0059347F">
                      <w:rPr>
                        <w:rFonts w:ascii="Times New Roman" w:hAnsi="Times New Roman" w:cs="Times New Roman"/>
                        <w:bCs/>
                        <w:sz w:val="24"/>
                        <w:szCs w:val="24"/>
                      </w:rPr>
                      <w:t>объект взимания</w:t>
                    </w:r>
                  </w:p>
                </w:txbxContent>
              </v:textbox>
            </v:rect>
            <v:rect id="_x0000_s1031" style="position:absolute;left:7516;top:6528;width:7558;height:930">
              <v:textbox style="mso-next-textbox:#_x0000_s1031">
                <w:txbxContent>
                  <w:p w:rsidR="00F01F76" w:rsidRPr="0059347F" w:rsidRDefault="00F01F76" w:rsidP="00F01F76">
                    <w:pPr>
                      <w:rPr>
                        <w:rFonts w:ascii="Times New Roman" w:hAnsi="Times New Roman" w:cs="Times New Roman"/>
                        <w:sz w:val="24"/>
                        <w:szCs w:val="24"/>
                      </w:rPr>
                    </w:pPr>
                    <w:r w:rsidRPr="0059347F">
                      <w:rPr>
                        <w:rFonts w:ascii="Times New Roman" w:hAnsi="Times New Roman" w:cs="Times New Roman"/>
                        <w:sz w:val="24"/>
                        <w:szCs w:val="24"/>
                      </w:rPr>
                      <w:t xml:space="preserve">объектом взимания являются юридически  значимые  действия,  в том числе выдача документов  (их  копий  и  </w:t>
                    </w:r>
                    <w:r>
                      <w:rPr>
                        <w:rFonts w:ascii="Times New Roman" w:hAnsi="Times New Roman" w:cs="Times New Roman"/>
                        <w:sz w:val="24"/>
                        <w:szCs w:val="24"/>
                      </w:rPr>
                      <w:t xml:space="preserve">дубликатов)  </w:t>
                    </w:r>
                  </w:p>
                  <w:p w:rsidR="00F01F76" w:rsidRDefault="00F01F76" w:rsidP="00F01F76"/>
                </w:txbxContent>
              </v:textbox>
            </v:rect>
            <v:rect id="_x0000_s1032" style="position:absolute;left:3378;top:8191;width:4138;height:1324">
              <v:textbox style="mso-next-textbox:#_x0000_s1032">
                <w:txbxContent>
                  <w:p w:rsidR="00F01F76" w:rsidRPr="0059347F" w:rsidRDefault="00F01F76" w:rsidP="00F01F76">
                    <w:pPr>
                      <w:jc w:val="center"/>
                      <w:rPr>
                        <w:rFonts w:ascii="Times New Roman" w:hAnsi="Times New Roman" w:cs="Times New Roman"/>
                        <w:sz w:val="24"/>
                        <w:szCs w:val="24"/>
                      </w:rPr>
                    </w:pPr>
                    <w:r w:rsidRPr="0059347F">
                      <w:rPr>
                        <w:rFonts w:ascii="Times New Roman" w:hAnsi="Times New Roman" w:cs="Times New Roman"/>
                        <w:bCs/>
                        <w:sz w:val="24"/>
                        <w:szCs w:val="24"/>
                      </w:rPr>
                      <w:t>размер государственной пошлины</w:t>
                    </w:r>
                  </w:p>
                </w:txbxContent>
              </v:textbox>
            </v:rect>
            <v:rect id="_x0000_s1033" style="position:absolute;left:7516;top:8191;width:7558;height:1324">
              <v:textbox style="mso-next-textbox:#_x0000_s1033">
                <w:txbxContent>
                  <w:p w:rsidR="00F01F76" w:rsidRPr="00EA6E35" w:rsidRDefault="00F01F76" w:rsidP="00F01F76">
                    <w:pPr>
                      <w:rPr>
                        <w:rFonts w:ascii="Times New Roman" w:hAnsi="Times New Roman" w:cs="Times New Roman"/>
                        <w:sz w:val="24"/>
                        <w:szCs w:val="24"/>
                      </w:rPr>
                    </w:pPr>
                    <w:r w:rsidRPr="00EA6E35">
                      <w:rPr>
                        <w:rFonts w:ascii="Times New Roman" w:hAnsi="Times New Roman" w:cs="Times New Roman"/>
                        <w:sz w:val="24"/>
                        <w:szCs w:val="24"/>
                      </w:rPr>
                      <w:t>размер государственной пошлины зависит  от  вида  совершаемых юридически значимых действий и установлен  НК  РФ  в  твердых суммах или в процентах к сумме указа</w:t>
                    </w:r>
                    <w:r>
                      <w:rPr>
                        <w:rFonts w:ascii="Times New Roman" w:hAnsi="Times New Roman" w:cs="Times New Roman"/>
                        <w:sz w:val="24"/>
                        <w:szCs w:val="24"/>
                      </w:rPr>
                      <w:t xml:space="preserve">нной  в  документах  </w:t>
                    </w:r>
                  </w:p>
                </w:txbxContent>
              </v:textbox>
            </v:rect>
            <v:rect id="_x0000_s1034" style="position:absolute;left:3378;top:10028;width:4138;height:1200">
              <v:textbox style="mso-next-textbox:#_x0000_s1034">
                <w:txbxContent>
                  <w:p w:rsidR="00F01F76" w:rsidRPr="00EA6E35" w:rsidRDefault="00F01F76" w:rsidP="00F01F76">
                    <w:pPr>
                      <w:jc w:val="center"/>
                      <w:rPr>
                        <w:rFonts w:ascii="Times New Roman" w:hAnsi="Times New Roman" w:cs="Times New Roman"/>
                        <w:sz w:val="24"/>
                        <w:szCs w:val="24"/>
                      </w:rPr>
                    </w:pPr>
                    <w:r w:rsidRPr="00EA6E35">
                      <w:rPr>
                        <w:rFonts w:ascii="Times New Roman" w:hAnsi="Times New Roman" w:cs="Times New Roman"/>
                        <w:bCs/>
                        <w:sz w:val="24"/>
                        <w:szCs w:val="24"/>
                      </w:rPr>
                      <w:t>сроки уплаты</w:t>
                    </w:r>
                  </w:p>
                </w:txbxContent>
              </v:textbox>
            </v:rect>
            <v:rect id="_x0000_s1035" style="position:absolute;left:7516;top:10028;width:7759;height:1200">
              <v:textbox style="mso-next-textbox:#_x0000_s1035">
                <w:txbxContent>
                  <w:p w:rsidR="00F01F76" w:rsidRPr="00EA6E35" w:rsidRDefault="00F01F76" w:rsidP="00F01F76">
                    <w:pPr>
                      <w:rPr>
                        <w:rFonts w:ascii="Times New Roman" w:hAnsi="Times New Roman" w:cs="Times New Roman"/>
                        <w:sz w:val="24"/>
                        <w:szCs w:val="24"/>
                      </w:rPr>
                    </w:pPr>
                    <w:r w:rsidRPr="00EA6E35">
                      <w:rPr>
                        <w:rFonts w:ascii="Times New Roman" w:hAnsi="Times New Roman" w:cs="Times New Roman"/>
                        <w:sz w:val="24"/>
                        <w:szCs w:val="24"/>
                      </w:rPr>
                      <w:t xml:space="preserve">уплачивается до обращения за совершением юридически  значимых действий или до  совершения  указанных  действий.  </w:t>
                    </w:r>
                  </w:p>
                  <w:p w:rsidR="00F01F76" w:rsidRDefault="00F01F76" w:rsidP="00F01F76"/>
                </w:txbxContent>
              </v:textbox>
            </v:rect>
            <v:rect id="_x0000_s1036" style="position:absolute;left:3378;top:11986;width:4138;height:1317">
              <v:textbox style="mso-next-textbox:#_x0000_s1036">
                <w:txbxContent>
                  <w:p w:rsidR="00F01F76" w:rsidRPr="00EA6E35" w:rsidRDefault="00F01F76" w:rsidP="00F01F76">
                    <w:pPr>
                      <w:jc w:val="center"/>
                      <w:rPr>
                        <w:rFonts w:ascii="Times New Roman" w:hAnsi="Times New Roman" w:cs="Times New Roman"/>
                        <w:sz w:val="24"/>
                        <w:szCs w:val="24"/>
                      </w:rPr>
                    </w:pPr>
                    <w:r w:rsidRPr="00EA6E35">
                      <w:rPr>
                        <w:rFonts w:ascii="Times New Roman" w:hAnsi="Times New Roman" w:cs="Times New Roman"/>
                        <w:bCs/>
                        <w:sz w:val="24"/>
                        <w:szCs w:val="24"/>
                      </w:rPr>
                      <w:t>порядок уплаты</w:t>
                    </w:r>
                  </w:p>
                </w:txbxContent>
              </v:textbox>
            </v:rect>
            <v:rect id="_x0000_s1037" style="position:absolute;left:7516;top:11986;width:7558;height:1317">
              <v:textbox style="mso-next-textbox:#_x0000_s1037">
                <w:txbxContent>
                  <w:p w:rsidR="00F01F76" w:rsidRPr="00EA6E35" w:rsidRDefault="00F01F76" w:rsidP="00F01F76">
                    <w:pPr>
                      <w:spacing w:after="0"/>
                      <w:rPr>
                        <w:rFonts w:ascii="Times New Roman" w:hAnsi="Times New Roman" w:cs="Times New Roman"/>
                        <w:sz w:val="24"/>
                        <w:szCs w:val="24"/>
                      </w:rPr>
                    </w:pPr>
                    <w:r w:rsidRPr="00EA6E35">
                      <w:rPr>
                        <w:rFonts w:ascii="Times New Roman" w:hAnsi="Times New Roman" w:cs="Times New Roman"/>
                        <w:sz w:val="24"/>
                        <w:szCs w:val="24"/>
                      </w:rPr>
                      <w:t>порядок уплаты государственной пошлины, а  также  особенности</w:t>
                    </w:r>
                  </w:p>
                  <w:p w:rsidR="00F01F76" w:rsidRPr="00EA6E35" w:rsidRDefault="00F01F76" w:rsidP="00F01F76">
                    <w:pPr>
                      <w:spacing w:after="0"/>
                      <w:rPr>
                        <w:rFonts w:ascii="Times New Roman" w:hAnsi="Times New Roman" w:cs="Times New Roman"/>
                        <w:sz w:val="24"/>
                        <w:szCs w:val="24"/>
                      </w:rPr>
                    </w:pPr>
                    <w:r w:rsidRPr="00EA6E35">
                      <w:rPr>
                        <w:rFonts w:ascii="Times New Roman" w:hAnsi="Times New Roman" w:cs="Times New Roman"/>
                        <w:sz w:val="24"/>
                        <w:szCs w:val="24"/>
                      </w:rPr>
                      <w:t xml:space="preserve">ее  уплаты  в  зависимости  от  вида  совершаемых  юридически значимых действий устанавливается НК РФ </w:t>
                    </w:r>
                  </w:p>
                  <w:p w:rsidR="00F01F76" w:rsidRDefault="00F01F76" w:rsidP="00F01F76">
                    <w:pPr>
                      <w:spacing w:after="0"/>
                    </w:pPr>
                  </w:p>
                  <w:p w:rsidR="00F01F76" w:rsidRDefault="00F01F76" w:rsidP="00F01F76"/>
                </w:txbxContent>
              </v:textbox>
            </v:rect>
            <v:shapetype id="_x0000_t32" coordsize="21600,21600" o:spt="32" o:oned="t" path="m,l21600,21600e" filled="f">
              <v:path arrowok="t" fillok="f" o:connecttype="none"/>
              <o:lock v:ext="edit" shapetype="t"/>
            </v:shapetype>
            <v:shape id="_x0000_s1038" type="#_x0000_t32" style="position:absolute;left:2771;top:3864;width:607;height:0;flip:x" o:connectortype="straight"/>
            <v:shape id="_x0000_s1039" type="#_x0000_t32" style="position:absolute;left:2771;top:3864;width:0;height:8750" o:connectortype="straight"/>
            <v:shape id="_x0000_s1040" type="#_x0000_t32" style="position:absolute;left:2771;top:7018;width:607;height:0;flip:x" o:connectortype="straight"/>
            <v:shape id="_x0000_s1041" type="#_x0000_t32" style="position:absolute;left:2771;top:5687;width:607;height:0;flip:x" o:connectortype="straight"/>
            <v:shape id="_x0000_s1042" type="#_x0000_t32" style="position:absolute;left:2771;top:8822;width:604;height:1;flip:x" o:connectortype="straight"/>
            <v:shape id="_x0000_s1043" type="#_x0000_t32" style="position:absolute;left:2768;top:10700;width:607;height:0;flip:x" o:connectortype="straight"/>
            <v:shape id="_x0000_s1044" type="#_x0000_t32" style="position:absolute;left:2771;top:12614;width:607;height:0;flip:x" o:connectortype="straight"/>
          </v:group>
        </w:pict>
      </w:r>
      <w:r w:rsidR="00377391">
        <w:rPr>
          <w:rFonts w:ascii="Times New Roman" w:hAnsi="Times New Roman" w:cs="Times New Roman"/>
          <w:b/>
          <w:sz w:val="32"/>
          <w:szCs w:val="32"/>
        </w:rPr>
        <w:tab/>
      </w:r>
    </w:p>
    <w:p w:rsidR="00F01F76" w:rsidRDefault="00F01F76" w:rsidP="00F01F76">
      <w:pPr>
        <w:pStyle w:val="Style1"/>
        <w:widowControl/>
        <w:tabs>
          <w:tab w:val="center" w:pos="4819"/>
        </w:tabs>
        <w:spacing w:before="52"/>
        <w:outlineLvl w:val="0"/>
        <w:rPr>
          <w:rFonts w:ascii="Times New Roman" w:hAnsi="Times New Roman" w:cs="Times New Roman"/>
          <w:sz w:val="28"/>
          <w:szCs w:val="28"/>
        </w:rPr>
      </w:pPr>
      <w:r>
        <w:rPr>
          <w:rFonts w:ascii="Times New Roman" w:hAnsi="Times New Roman" w:cs="Times New Roman"/>
          <w:sz w:val="28"/>
          <w:szCs w:val="28"/>
        </w:rPr>
        <w:tab/>
      </w: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tabs>
          <w:tab w:val="left" w:pos="3366"/>
        </w:tabs>
        <w:spacing w:before="52"/>
        <w:outlineLvl w:val="0"/>
        <w:rPr>
          <w:rFonts w:ascii="Times New Roman" w:hAnsi="Times New Roman" w:cs="Times New Roman"/>
          <w:sz w:val="28"/>
          <w:szCs w:val="28"/>
        </w:rPr>
      </w:pPr>
      <w:r>
        <w:rPr>
          <w:rFonts w:ascii="Times New Roman" w:hAnsi="Times New Roman" w:cs="Times New Roman"/>
          <w:sz w:val="28"/>
          <w:szCs w:val="28"/>
        </w:rPr>
        <w:tab/>
      </w: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pStyle w:val="Style1"/>
        <w:widowControl/>
        <w:spacing w:before="52"/>
        <w:jc w:val="center"/>
        <w:outlineLvl w:val="0"/>
        <w:rPr>
          <w:rFonts w:ascii="Times New Roman" w:hAnsi="Times New Roman" w:cs="Times New Roman"/>
          <w:sz w:val="28"/>
          <w:szCs w:val="28"/>
        </w:rPr>
      </w:pPr>
    </w:p>
    <w:p w:rsidR="00F01F76" w:rsidRDefault="00F01F76"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Pr="00377391" w:rsidRDefault="00377391" w:rsidP="00377391">
      <w:pPr>
        <w:pStyle w:val="Style1"/>
        <w:widowControl/>
        <w:spacing w:before="52"/>
        <w:jc w:val="center"/>
        <w:outlineLvl w:val="0"/>
        <w:rPr>
          <w:rStyle w:val="FontStyle11"/>
          <w:rFonts w:ascii="Times New Roman" w:hAnsi="Times New Roman" w:cs="Times New Roman"/>
          <w:b w:val="0"/>
          <w:sz w:val="28"/>
          <w:szCs w:val="28"/>
        </w:rPr>
      </w:pPr>
      <w:r w:rsidRPr="00377391">
        <w:rPr>
          <w:rFonts w:ascii="Times New Roman" w:hAnsi="Times New Roman" w:cs="Times New Roman"/>
          <w:sz w:val="28"/>
          <w:szCs w:val="28"/>
        </w:rPr>
        <w:t xml:space="preserve">Рисунок А.1.  – </w:t>
      </w:r>
      <w:r w:rsidRPr="00377391">
        <w:rPr>
          <w:rStyle w:val="FontStyle11"/>
          <w:rFonts w:ascii="Times New Roman" w:hAnsi="Times New Roman" w:cs="Times New Roman"/>
          <w:b w:val="0"/>
          <w:sz w:val="28"/>
          <w:szCs w:val="28"/>
        </w:rPr>
        <w:t>Юридический состав государственной пошлины</w:t>
      </w:r>
    </w:p>
    <w:p w:rsidR="00377391" w:rsidRDefault="00377391" w:rsidP="00F01F76">
      <w:pPr>
        <w:rPr>
          <w:rFonts w:ascii="Times New Roman" w:hAnsi="Times New Roman" w:cs="Times New Roman"/>
          <w:b/>
          <w:sz w:val="32"/>
          <w:szCs w:val="32"/>
        </w:rPr>
      </w:pPr>
    </w:p>
    <w:p w:rsidR="00377391" w:rsidRDefault="00076EF6" w:rsidP="00F01F76">
      <w:pPr>
        <w:rPr>
          <w:rFonts w:ascii="Times New Roman" w:hAnsi="Times New Roman" w:cs="Times New Roman"/>
          <w:b/>
          <w:sz w:val="32"/>
          <w:szCs w:val="32"/>
        </w:rPr>
      </w:pPr>
      <w:r>
        <w:rPr>
          <w:rFonts w:ascii="Times New Roman" w:hAnsi="Times New Roman" w:cs="Times New Roman"/>
          <w:b/>
          <w:noProof/>
          <w:sz w:val="32"/>
          <w:szCs w:val="32"/>
        </w:rPr>
        <w:lastRenderedPageBreak/>
        <w:pict>
          <v:group id="_x0000_s1078" style="position:absolute;margin-left:6.35pt;margin-top:9.7pt;width:423.05pt;height:654.4pt;z-index:-251655168" coordorigin="1828,1797" coordsize="8461,13088">
            <v:shape id="_x0000_s1079" type="#_x0000_t32" style="position:absolute;left:2813;top:11834;width:472;height:0;flip:x" o:connectortype="straight"/>
            <v:group id="_x0000_s1080" style="position:absolute;left:1828;top:1797;width:8461;height:13088" coordorigin="1828,1797" coordsize="8461,13088">
              <v:shape id="_x0000_s1081" type="#_x0000_t32" style="position:absolute;left:1882;top:2070;width:1695;height:0;flip:x" o:connectortype="straight"/>
              <v:group id="_x0000_s1082" style="position:absolute;left:1828;top:1797;width:8461;height:13088" coordorigin="1509,1954" coordsize="8461,13088">
                <v:shape id="_x0000_s1083" type="#_x0000_t32" style="position:absolute;left:6229;top:3223;width:472;height:0;flip:x" o:connectortype="straight"/>
                <v:shape id="_x0000_s1084" type="#_x0000_t32" style="position:absolute;left:6129;top:5785;width:638;height:0;flip:x" o:connectortype="straight"/>
                <v:group id="_x0000_s1085" style="position:absolute;left:1509;top:1954;width:8461;height:13088" coordorigin="1509,1954" coordsize="8762,13869">
                  <v:shape id="_x0000_s1086" type="#_x0000_t32" style="position:absolute;left:1699;top:5414;width:465;height:0;flip:x" o:connectortype="straight"/>
                  <v:rect id="_x0000_s1087" style="position:absolute;left:3203;top:1954;width:5198;height:664">
                    <o:extrusion v:ext="view" backdepth="1in" on="t" type="perspective"/>
                    <v:textbox style="mso-next-textbox:#_x0000_s1087">
                      <w:txbxContent>
                        <w:p w:rsidR="00377391" w:rsidRPr="00516806" w:rsidRDefault="00377391" w:rsidP="00377391">
                          <w:pPr>
                            <w:rPr>
                              <w:rFonts w:ascii="Times New Roman" w:hAnsi="Times New Roman" w:cs="Times New Roman"/>
                            </w:rPr>
                          </w:pPr>
                          <w:r w:rsidRPr="00516806">
                            <w:rPr>
                              <w:rFonts w:ascii="Times New Roman" w:hAnsi="Times New Roman" w:cs="Times New Roman"/>
                              <w:b/>
                              <w:bCs/>
                            </w:rPr>
                            <w:t>Плательщики государственной пошлины</w:t>
                          </w:r>
                        </w:p>
                      </w:txbxContent>
                    </v:textbox>
                  </v:rect>
                  <v:shape id="_x0000_s1088" type="#_x0000_t32" style="position:absolute;left:4050;top:2618;width:0;height:527" o:connectortype="straight"/>
                  <v:shape id="_x0000_s1089" type="#_x0000_t32" style="position:absolute;left:7538;top:2618;width:0;height:357" o:connectortype="straight"/>
                  <v:shape id="_x0000_s1090" type="#_x0000_t32" style="position:absolute;left:1722;top:3534;width:472;height:0;flip:x" o:connectortype="straight"/>
                  <v:shape id="_x0000_s1091" type="#_x0000_t32" style="position:absolute;left:1722;top:3534;width:1;height:1849;flip:y" o:connectortype="straight"/>
                  <v:shape id="_x0000_s1092" type="#_x0000_t32" style="position:absolute;left:1692;top:4476;width:472;height:0;flip:x" o:connectortype="straight"/>
                  <v:rect id="_x0000_s1093" style="position:absolute;left:2195;top:3145;width:3135;height:601" wrapcoords="-57 -480 -57 21120 21657 21120 21657 -480 -57 -480">
                    <v:textbox style="mso-next-textbox:#_x0000_s1093">
                      <w:txbxContent>
                        <w:p w:rsidR="00377391" w:rsidRPr="00516806" w:rsidRDefault="00377391" w:rsidP="00377391">
                          <w:pPr>
                            <w:jc w:val="center"/>
                            <w:rPr>
                              <w:rFonts w:ascii="Times New Roman" w:hAnsi="Times New Roman" w:cs="Times New Roman"/>
                            </w:rPr>
                          </w:pPr>
                          <w:r w:rsidRPr="00516806">
                            <w:rPr>
                              <w:rFonts w:ascii="Times New Roman" w:hAnsi="Times New Roman" w:cs="Times New Roman"/>
                              <w:b/>
                              <w:bCs/>
                            </w:rPr>
                            <w:t>организации</w:t>
                          </w:r>
                        </w:p>
                      </w:txbxContent>
                    </v:textbox>
                  </v:rect>
                  <v:rect id="_x0000_s1094" style="position:absolute;left:2195;top:5148;width:3135;height:601" wrapcoords="-57 -480 -57 21120 21657 21120 21657 -480 -57 -480">
                    <v:textbox style="mso-next-textbox:#_x0000_s1094">
                      <w:txbxContent>
                        <w:p w:rsidR="00377391" w:rsidRPr="00516806" w:rsidRDefault="00377391" w:rsidP="00377391">
                          <w:pPr>
                            <w:jc w:val="center"/>
                            <w:rPr>
                              <w:rFonts w:ascii="Times New Roman" w:hAnsi="Times New Roman" w:cs="Times New Roman"/>
                            </w:rPr>
                          </w:pPr>
                          <w:r w:rsidRPr="00516806">
                            <w:rPr>
                              <w:rFonts w:ascii="Times New Roman" w:hAnsi="Times New Roman" w:cs="Times New Roman"/>
                            </w:rPr>
                            <w:t>иностранные организации</w:t>
                          </w:r>
                        </w:p>
                      </w:txbxContent>
                    </v:textbox>
                  </v:rect>
                  <v:rect id="_x0000_s1095" style="position:absolute;left:2195;top:4178;width:3135;height:601" wrapcoords="-57 -480 -57 21120 21657 21120 21657 -480 -57 -480">
                    <v:textbox style="mso-next-textbox:#_x0000_s1095">
                      <w:txbxContent>
                        <w:p w:rsidR="00377391" w:rsidRPr="00516806" w:rsidRDefault="00377391" w:rsidP="00377391">
                          <w:pPr>
                            <w:jc w:val="center"/>
                            <w:rPr>
                              <w:rFonts w:ascii="Times New Roman" w:hAnsi="Times New Roman" w:cs="Times New Roman"/>
                            </w:rPr>
                          </w:pPr>
                          <w:r w:rsidRPr="00516806">
                            <w:rPr>
                              <w:rFonts w:ascii="Times New Roman" w:hAnsi="Times New Roman" w:cs="Times New Roman"/>
                            </w:rPr>
                            <w:t>российские организации</w:t>
                          </w:r>
                        </w:p>
                      </w:txbxContent>
                    </v:textbox>
                  </v:rect>
                  <v:rect id="_x0000_s1096" style="position:absolute;left:6765;top:2975;width:2471;height:578" wrapcoords="-57 -480 -57 21120 21657 21120 21657 -480 -57 -480">
                    <v:textbox style="mso-next-textbox:#_x0000_s1096">
                      <w:txbxContent>
                        <w:p w:rsidR="00377391" w:rsidRPr="00516806" w:rsidRDefault="00377391" w:rsidP="00377391">
                          <w:pPr>
                            <w:rPr>
                              <w:rFonts w:ascii="Times New Roman" w:hAnsi="Times New Roman" w:cs="Times New Roman"/>
                            </w:rPr>
                          </w:pPr>
                          <w:r w:rsidRPr="00516806">
                            <w:rPr>
                              <w:rFonts w:ascii="Times New Roman" w:hAnsi="Times New Roman" w:cs="Times New Roman"/>
                              <w:b/>
                              <w:bCs/>
                            </w:rPr>
                            <w:t xml:space="preserve">физические лица </w:t>
                          </w:r>
                          <w:r w:rsidRPr="00516806">
                            <w:rPr>
                              <w:rFonts w:ascii="Times New Roman" w:hAnsi="Times New Roman" w:cs="Times New Roman"/>
                            </w:rPr>
                            <w:t xml:space="preserve"> </w:t>
                          </w:r>
                        </w:p>
                      </w:txbxContent>
                    </v:textbox>
                  </v:rect>
                  <v:rect id="_x0000_s1097" style="position:absolute;left:6765;top:3967;width:2471;height:578" wrapcoords="-57 -480 -57 21120 21657 21120 21657 -480 -57 -480">
                    <v:textbox style="mso-next-textbox:#_x0000_s1097">
                      <w:txbxContent>
                        <w:p w:rsidR="00377391" w:rsidRPr="00516806" w:rsidRDefault="00377391" w:rsidP="00377391">
                          <w:pPr>
                            <w:rPr>
                              <w:rFonts w:ascii="Times New Roman" w:hAnsi="Times New Roman" w:cs="Times New Roman"/>
                            </w:rPr>
                          </w:pPr>
                          <w:r w:rsidRPr="00516806">
                            <w:rPr>
                              <w:rFonts w:ascii="Times New Roman" w:hAnsi="Times New Roman" w:cs="Times New Roman"/>
                            </w:rPr>
                            <w:t xml:space="preserve">граждане России     </w:t>
                          </w:r>
                        </w:p>
                      </w:txbxContent>
                    </v:textbox>
                  </v:rect>
                  <v:rect id="_x0000_s1098" style="position:absolute;left:6765;top:4900;width:2471;height:577" wrapcoords="-57 -480 -57 21120 21657 21120 21657 -480 -57 -480">
                    <v:textbox style="mso-next-textbox:#_x0000_s1098">
                      <w:txbxContent>
                        <w:p w:rsidR="00377391" w:rsidRPr="00516806" w:rsidRDefault="00377391" w:rsidP="00377391">
                          <w:pPr>
                            <w:rPr>
                              <w:rFonts w:ascii="Times New Roman" w:hAnsi="Times New Roman" w:cs="Times New Roman"/>
                            </w:rPr>
                          </w:pPr>
                          <w:r w:rsidRPr="00516806">
                            <w:rPr>
                              <w:rFonts w:ascii="Times New Roman" w:hAnsi="Times New Roman" w:cs="Times New Roman"/>
                            </w:rPr>
                            <w:t>иностранные граждане</w:t>
                          </w:r>
                        </w:p>
                      </w:txbxContent>
                    </v:textbox>
                  </v:rect>
                  <v:rect id="_x0000_s1099" style="position:absolute;left:6765;top:5817;width:2471;height:578" wrapcoords="-57 -480 -57 21120 21657 21120 21657 -480 -57 -480">
                    <v:textbox style="mso-next-textbox:#_x0000_s1099">
                      <w:txbxContent>
                        <w:p w:rsidR="00377391" w:rsidRPr="00516806" w:rsidRDefault="00377391" w:rsidP="00377391">
                          <w:pPr>
                            <w:rPr>
                              <w:rFonts w:ascii="Times New Roman" w:hAnsi="Times New Roman" w:cs="Times New Roman"/>
                            </w:rPr>
                          </w:pPr>
                          <w:r w:rsidRPr="00516806">
                            <w:rPr>
                              <w:rFonts w:ascii="Times New Roman" w:hAnsi="Times New Roman" w:cs="Times New Roman"/>
                            </w:rPr>
                            <w:t>лица без гражданства</w:t>
                          </w:r>
                        </w:p>
                      </w:txbxContent>
                    </v:textbox>
                  </v:rect>
                  <v:shape id="_x0000_s1100" type="#_x0000_t32" style="position:absolute;left:6323;top:3299;width:0;height:2715;flip:y" o:connectortype="straight"/>
                  <v:shape id="_x0000_s1101" type="#_x0000_t32" style="position:absolute;left:6293;top:4241;width:473;height:0;flip:x" o:connectortype="straight"/>
                  <v:shape id="_x0000_s1102" type="#_x0000_t32" style="position:absolute;left:6293;top:5148;width:473;height:0;flip:x" o:connectortype="straight"/>
                  <v:shape id="_x0000_s1103" type="#_x0000_t32" style="position:absolute;left:1509;top:2243;width:1;height:6926;flip:y" o:connectortype="straight"/>
                  <v:shape id="_x0000_s1104" type="#_x0000_t32" style="position:absolute;left:1509;top:9169;width:1037;height:0" o:connectortype="straight">
                    <v:stroke endarrow="block"/>
                  </v:shape>
                  <v:rect id="_x0000_s1105" style="position:absolute;left:1841;top:6616;width:8322;height:1833" wrapcoords="-57 -480 -57 21120 21657 21120 21657 -480 -57 -480">
                    <v:textbox style="mso-next-textbox:#_x0000_s1105">
                      <w:txbxContent>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b/>
                              <w:bCs/>
                              <w:color w:val="000080"/>
                              <w:sz w:val="24"/>
                              <w:szCs w:val="24"/>
                            </w:rPr>
                            <w:t xml:space="preserve"> </w:t>
                          </w:r>
                          <w:r w:rsidRPr="00AC2773">
                            <w:rPr>
                              <w:rFonts w:ascii="Times New Roman" w:hAnsi="Times New Roman" w:cs="Times New Roman"/>
                              <w:sz w:val="24"/>
                              <w:szCs w:val="24"/>
                            </w:rPr>
                            <w:t xml:space="preserve"> Иностранные  граждане,  лица  без  гражданства,   иностранные</w:t>
                          </w:r>
                        </w:p>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организации  уплачивают   государственную   пошлину   по   правилам,</w:t>
                          </w:r>
                        </w:p>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установленным Налоговым кодексом РФ  соответственно  для  физических</w:t>
                          </w:r>
                        </w:p>
                        <w:p w:rsidR="00377391" w:rsidRPr="00AC2773" w:rsidRDefault="00377391" w:rsidP="00377391">
                          <w:pPr>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лиц и организаций.</w:t>
                          </w:r>
                        </w:p>
                      </w:txbxContent>
                    </v:textbox>
                  </v:rect>
                  <v:rect id="_x0000_s1106" style="position:absolute;left:2546;top:9056;width:7617;height:1007" wrapcoords="-57 -480 -57 21120 21657 21120 21657 -480 -57 -480">
                    <v:textbox style="mso-next-textbox:#_x0000_s1106">
                      <w:txbxContent>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обязанность по уплате государственной пошлины возникает в следующих  случаях:</w:t>
                          </w:r>
                        </w:p>
                        <w:p w:rsidR="00377391" w:rsidRPr="00625759" w:rsidRDefault="00377391" w:rsidP="00377391">
                          <w:pPr>
                            <w:pStyle w:val="a3"/>
                            <w:rPr>
                              <w:sz w:val="28"/>
                              <w:szCs w:val="28"/>
                            </w:rPr>
                          </w:pPr>
                          <w:r w:rsidRPr="00625759">
                            <w:rPr>
                              <w:sz w:val="28"/>
                              <w:szCs w:val="28"/>
                            </w:rPr>
                            <w:t xml:space="preserve">  </w:t>
                          </w:r>
                        </w:p>
                        <w:p w:rsidR="00377391" w:rsidRPr="00625759" w:rsidRDefault="00377391" w:rsidP="00377391"/>
                      </w:txbxContent>
                    </v:textbox>
                  </v:rect>
                  <v:shape id="_x0000_s1107" type="#_x0000_t32" style="position:absolute;left:2546;top:9697;width:0;height:2893" o:connectortype="straight"/>
                  <v:shape id="_x0000_s1108" type="#_x0000_t32" style="position:absolute;left:2546;top:11144;width:472;height:0;flip:x" o:connectortype="straight"/>
                  <v:rect id="_x0000_s1109" style="position:absolute;left:3018;top:10598;width:7253;height:1318" wrapcoords="-57 -480 -57 21120 21657 21120 21657 -480 -57 -480">
                    <v:textbox style="mso-next-textbox:#_x0000_s1109">
                      <w:txbxContent>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при  обращении  за  совершением  юридически  значимых   действий,</w:t>
                          </w:r>
                        </w:p>
                        <w:p w:rsidR="00377391" w:rsidRPr="00AC2773" w:rsidRDefault="00377391" w:rsidP="00377391">
                          <w:pPr>
                            <w:pStyle w:val="a3"/>
                            <w:spacing w:line="360" w:lineRule="auto"/>
                            <w:jc w:val="center"/>
                            <w:rPr>
                              <w:rFonts w:ascii="Times New Roman" w:hAnsi="Times New Roman" w:cs="Times New Roman"/>
                              <w:sz w:val="24"/>
                              <w:szCs w:val="24"/>
                            </w:rPr>
                          </w:pPr>
                          <w:r w:rsidRPr="00AC2773">
                            <w:rPr>
                              <w:rFonts w:ascii="Times New Roman" w:hAnsi="Times New Roman" w:cs="Times New Roman"/>
                              <w:sz w:val="24"/>
                              <w:szCs w:val="24"/>
                            </w:rPr>
                            <w:t>предусмотренных главой 25.3 Налогового кодекса РФ.</w:t>
                          </w:r>
                        </w:p>
                        <w:p w:rsidR="00377391" w:rsidRPr="00625759" w:rsidRDefault="00377391" w:rsidP="00377391"/>
                      </w:txbxContent>
                    </v:textbox>
                  </v:rect>
                  <v:rect id="_x0000_s1110" style="position:absolute;left:3018;top:12198;width:7253;height:3625" wrapcoords="-57 -480 -57 21120 21657 21120 21657 -480 -57 -480">
                    <v:textbox style="mso-next-textbox:#_x0000_s1110">
                      <w:txbxContent>
                        <w:p w:rsidR="00377391" w:rsidRPr="00625759" w:rsidRDefault="00377391" w:rsidP="00377391">
                          <w:pPr>
                            <w:pStyle w:val="a3"/>
                            <w:spacing w:line="360" w:lineRule="auto"/>
                            <w:rPr>
                              <w:rFonts w:ascii="Times New Roman" w:hAnsi="Times New Roman" w:cs="Times New Roman"/>
                              <w:sz w:val="24"/>
                              <w:szCs w:val="24"/>
                            </w:rPr>
                          </w:pPr>
                          <w:r w:rsidRPr="00625759">
                            <w:rPr>
                              <w:sz w:val="28"/>
                              <w:szCs w:val="28"/>
                            </w:rPr>
                            <w:t xml:space="preserve">  </w:t>
                          </w:r>
                        </w:p>
                        <w:p w:rsidR="00377391" w:rsidRPr="00516806" w:rsidRDefault="00377391" w:rsidP="00377391">
                          <w:pPr>
                            <w:pStyle w:val="a3"/>
                            <w:spacing w:line="360" w:lineRule="auto"/>
                            <w:ind w:firstLine="284"/>
                            <w:jc w:val="left"/>
                            <w:rPr>
                              <w:rFonts w:ascii="Times New Roman" w:hAnsi="Times New Roman" w:cs="Times New Roman"/>
                              <w:sz w:val="24"/>
                              <w:szCs w:val="24"/>
                            </w:rPr>
                          </w:pPr>
                          <w:r w:rsidRPr="00516806">
                            <w:rPr>
                              <w:rFonts w:ascii="Times New Roman" w:hAnsi="Times New Roman" w:cs="Times New Roman"/>
                              <w:sz w:val="24"/>
                              <w:szCs w:val="24"/>
                            </w:rPr>
                            <w:t>если организации и физические лица выступают ответчиками:</w:t>
                          </w:r>
                        </w:p>
                        <w:p w:rsidR="00377391" w:rsidRPr="00625759" w:rsidRDefault="00377391" w:rsidP="00377391">
                          <w:pPr>
                            <w:pStyle w:val="a3"/>
                            <w:spacing w:line="360" w:lineRule="auto"/>
                            <w:ind w:firstLine="567"/>
                            <w:jc w:val="left"/>
                            <w:rPr>
                              <w:rFonts w:ascii="Times New Roman" w:hAnsi="Times New Roman" w:cs="Times New Roman"/>
                              <w:sz w:val="24"/>
                              <w:szCs w:val="24"/>
                            </w:rPr>
                          </w:pPr>
                          <w:r w:rsidRPr="00516806">
                            <w:rPr>
                              <w:rFonts w:ascii="Times New Roman" w:hAnsi="Times New Roman" w:cs="Times New Roman"/>
                              <w:sz w:val="24"/>
                              <w:szCs w:val="24"/>
                            </w:rPr>
                            <w:t>-</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в</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арбитражных</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судах</w:t>
                          </w:r>
                          <w:r w:rsidRPr="00625759">
                            <w:rPr>
                              <w:rFonts w:ascii="Times New Roman" w:hAnsi="Times New Roman" w:cs="Times New Roman"/>
                              <w:sz w:val="24"/>
                              <w:szCs w:val="24"/>
                            </w:rPr>
                            <w:t>,</w:t>
                          </w:r>
                        </w:p>
                        <w:p w:rsidR="00377391" w:rsidRPr="00625759" w:rsidRDefault="00377391" w:rsidP="00377391">
                          <w:pPr>
                            <w:pStyle w:val="a3"/>
                            <w:spacing w:line="360" w:lineRule="auto"/>
                            <w:ind w:firstLine="567"/>
                            <w:jc w:val="left"/>
                            <w:rPr>
                              <w:rFonts w:ascii="Times New Roman" w:hAnsi="Times New Roman" w:cs="Times New Roman"/>
                              <w:sz w:val="24"/>
                              <w:szCs w:val="24"/>
                            </w:rPr>
                          </w:pPr>
                          <w:r w:rsidRPr="00516806">
                            <w:rPr>
                              <w:rFonts w:ascii="Times New Roman" w:hAnsi="Times New Roman" w:cs="Times New Roman"/>
                              <w:sz w:val="24"/>
                              <w:szCs w:val="24"/>
                            </w:rPr>
                            <w:t>-</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в</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судах</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общей</w:t>
                          </w:r>
                          <w:r w:rsidRPr="00625759">
                            <w:rPr>
                              <w:rFonts w:ascii="Times New Roman" w:hAnsi="Times New Roman" w:cs="Times New Roman"/>
                              <w:sz w:val="24"/>
                              <w:szCs w:val="24"/>
                            </w:rPr>
                            <w:t xml:space="preserve"> </w:t>
                          </w:r>
                          <w:r w:rsidRPr="00516806">
                            <w:rPr>
                              <w:rFonts w:ascii="Times New Roman" w:hAnsi="Times New Roman" w:cs="Times New Roman"/>
                              <w:sz w:val="24"/>
                              <w:szCs w:val="24"/>
                            </w:rPr>
                            <w:t>юрисдикции</w:t>
                          </w:r>
                          <w:r w:rsidRPr="00625759">
                            <w:rPr>
                              <w:rFonts w:ascii="Times New Roman" w:hAnsi="Times New Roman" w:cs="Times New Roman"/>
                              <w:sz w:val="24"/>
                              <w:szCs w:val="24"/>
                            </w:rPr>
                            <w:t>,</w:t>
                          </w:r>
                        </w:p>
                        <w:p w:rsidR="00377391" w:rsidRPr="00625759" w:rsidRDefault="00377391" w:rsidP="00377391">
                          <w:pPr>
                            <w:pStyle w:val="a3"/>
                            <w:spacing w:line="360" w:lineRule="auto"/>
                            <w:ind w:firstLine="567"/>
                            <w:jc w:val="left"/>
                            <w:rPr>
                              <w:rFonts w:ascii="Times New Roman" w:hAnsi="Times New Roman" w:cs="Times New Roman"/>
                              <w:sz w:val="24"/>
                              <w:szCs w:val="24"/>
                            </w:rPr>
                          </w:pPr>
                          <w:r w:rsidRPr="00625759">
                            <w:rPr>
                              <w:rFonts w:ascii="Times New Roman" w:hAnsi="Times New Roman" w:cs="Times New Roman"/>
                              <w:sz w:val="24"/>
                              <w:szCs w:val="24"/>
                            </w:rPr>
                            <w:t>- по делам, рассматриваемыми мировыми судьями,</w:t>
                          </w:r>
                        </w:p>
                        <w:p w:rsidR="00377391" w:rsidRPr="00625759" w:rsidRDefault="00377391" w:rsidP="00377391">
                          <w:pPr>
                            <w:pStyle w:val="a3"/>
                            <w:spacing w:line="360" w:lineRule="auto"/>
                            <w:ind w:firstLine="567"/>
                            <w:jc w:val="left"/>
                            <w:rPr>
                              <w:rFonts w:ascii="Times New Roman" w:hAnsi="Times New Roman" w:cs="Times New Roman"/>
                              <w:sz w:val="24"/>
                              <w:szCs w:val="24"/>
                            </w:rPr>
                          </w:pPr>
                          <w:r w:rsidRPr="00625759">
                            <w:rPr>
                              <w:rFonts w:ascii="Times New Roman" w:hAnsi="Times New Roman" w:cs="Times New Roman"/>
                              <w:sz w:val="24"/>
                              <w:szCs w:val="24"/>
                            </w:rPr>
                            <w:t>при соблюдении одновременно следующих условий:</w:t>
                          </w:r>
                        </w:p>
                        <w:p w:rsidR="00377391" w:rsidRPr="00625759" w:rsidRDefault="00377391" w:rsidP="00377391">
                          <w:pPr>
                            <w:pStyle w:val="a3"/>
                            <w:spacing w:line="360" w:lineRule="auto"/>
                            <w:ind w:firstLine="567"/>
                            <w:jc w:val="left"/>
                            <w:rPr>
                              <w:rFonts w:ascii="Times New Roman" w:hAnsi="Times New Roman" w:cs="Times New Roman"/>
                              <w:sz w:val="24"/>
                              <w:szCs w:val="24"/>
                            </w:rPr>
                          </w:pPr>
                          <w:r w:rsidRPr="00625759">
                            <w:rPr>
                              <w:rFonts w:ascii="Times New Roman" w:hAnsi="Times New Roman" w:cs="Times New Roman"/>
                              <w:sz w:val="24"/>
                              <w:szCs w:val="24"/>
                            </w:rPr>
                            <w:t>- решение принято не в пользу ответчика,</w:t>
                          </w:r>
                        </w:p>
                        <w:p w:rsidR="00377391" w:rsidRPr="00625759" w:rsidRDefault="00377391" w:rsidP="00377391">
                          <w:pPr>
                            <w:spacing w:line="360" w:lineRule="auto"/>
                            <w:ind w:firstLine="567"/>
                            <w:rPr>
                              <w:rFonts w:ascii="Times New Roman" w:hAnsi="Times New Roman" w:cs="Times New Roman"/>
                              <w:sz w:val="24"/>
                              <w:szCs w:val="24"/>
                            </w:rPr>
                          </w:pPr>
                          <w:r w:rsidRPr="00625759">
                            <w:rPr>
                              <w:rFonts w:ascii="Times New Roman" w:hAnsi="Times New Roman" w:cs="Times New Roman"/>
                              <w:sz w:val="24"/>
                              <w:szCs w:val="24"/>
                            </w:rPr>
                            <w:t>- истец освобожден от уплаты государственной пошлины.</w:t>
                          </w:r>
                        </w:p>
                      </w:txbxContent>
                    </v:textbox>
                  </v:rect>
                </v:group>
              </v:group>
            </v:group>
          </v:group>
        </w:pict>
      </w: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p w:rsidR="00377391" w:rsidRPr="00066582" w:rsidRDefault="00377391" w:rsidP="00377391">
      <w:pPr>
        <w:tabs>
          <w:tab w:val="left" w:pos="1143"/>
        </w:tabs>
        <w:jc w:val="center"/>
      </w:pPr>
      <w:r>
        <w:rPr>
          <w:rFonts w:ascii="Times New Roman" w:hAnsi="Times New Roman" w:cs="Times New Roman"/>
          <w:sz w:val="28"/>
          <w:szCs w:val="28"/>
        </w:rPr>
        <w:t>Рисунок</w:t>
      </w:r>
      <w:r w:rsidRPr="00DC418E">
        <w:rPr>
          <w:rFonts w:ascii="Times New Roman" w:hAnsi="Times New Roman" w:cs="Times New Roman"/>
          <w:sz w:val="28"/>
          <w:szCs w:val="28"/>
        </w:rPr>
        <w:t xml:space="preserve"> </w:t>
      </w:r>
      <w:r>
        <w:rPr>
          <w:rFonts w:ascii="Times New Roman" w:hAnsi="Times New Roman" w:cs="Times New Roman"/>
          <w:sz w:val="28"/>
          <w:szCs w:val="28"/>
        </w:rPr>
        <w:t>А.2.</w:t>
      </w:r>
      <w:r w:rsidRPr="00DC418E">
        <w:rPr>
          <w:rFonts w:ascii="Times New Roman" w:hAnsi="Times New Roman" w:cs="Times New Roman"/>
          <w:sz w:val="28"/>
          <w:szCs w:val="28"/>
        </w:rPr>
        <w:t xml:space="preserve"> –</w:t>
      </w:r>
      <w:r>
        <w:rPr>
          <w:rFonts w:ascii="Times New Roman" w:hAnsi="Times New Roman" w:cs="Times New Roman"/>
          <w:sz w:val="28"/>
          <w:szCs w:val="28"/>
        </w:rPr>
        <w:t xml:space="preserve"> Плательщики государственной пошлины</w:t>
      </w:r>
    </w:p>
    <w:p w:rsidR="00377391" w:rsidRDefault="00076EF6" w:rsidP="00F01F76">
      <w:pPr>
        <w:rPr>
          <w:rFonts w:ascii="Times New Roman" w:hAnsi="Times New Roman" w:cs="Times New Roman"/>
          <w:b/>
          <w:sz w:val="32"/>
          <w:szCs w:val="32"/>
        </w:rPr>
      </w:pPr>
      <w:r>
        <w:rPr>
          <w:rFonts w:ascii="Times New Roman" w:hAnsi="Times New Roman" w:cs="Times New Roman"/>
          <w:b/>
          <w:noProof/>
          <w:sz w:val="32"/>
          <w:szCs w:val="32"/>
        </w:rPr>
        <w:lastRenderedPageBreak/>
        <w:pict>
          <v:group id="_x0000_s1111" style="position:absolute;margin-left:.4pt;margin-top:18.35pt;width:414pt;height:568.5pt;z-index:-251654144" coordorigin="1680,1890" coordsize="8280,11370" wrapcoords="2074 -28 2035 427 0 883 -39 940 39 20432 313 20489 2035 20489 2035 21572 21639 21572 21639 19548 196 19121 21639 19064 21639 17839 196 17753 196 17297 21639 17240 21639 15245 20309 15245 157 15017 157 14561 14283 14561 21639 14419 21639 12339 12913 12282 21639 12111 21639 10088 117 10002 117 9546 21639 9461 21639 8207 117 8178 117 7722 10213 7722 21639 7494 21639 -28 2074 -28">
            <v:shape id="_x0000_s1112" type="#_x0000_t32" style="position:absolute;left:1680;top:2377;width:62;height:10285" o:connectortype="straight"/>
            <v:rect id="_x0000_s1113" style="position:absolute;left:2499;top:8417;width:7461;height:1063">
              <v:textbox style="mso-next-textbox:#_x0000_s1113">
                <w:txbxContent>
                  <w:p w:rsidR="00377391" w:rsidRPr="00B820C5" w:rsidRDefault="00377391" w:rsidP="00377391">
                    <w:pPr>
                      <w:pStyle w:val="a3"/>
                      <w:rPr>
                        <w:rFonts w:ascii="Times New Roman" w:hAnsi="Times New Roman" w:cs="Times New Roman"/>
                        <w:sz w:val="24"/>
                        <w:szCs w:val="24"/>
                      </w:rPr>
                    </w:pPr>
                    <w:r w:rsidRPr="00B820C5">
                      <w:rPr>
                        <w:rFonts w:ascii="Times New Roman" w:hAnsi="Times New Roman" w:cs="Times New Roman"/>
                        <w:sz w:val="24"/>
                        <w:szCs w:val="24"/>
                      </w:rPr>
                      <w:t>Совершение   действий  по  официальной  регистрации  программы   для</w:t>
                    </w:r>
                    <w:r>
                      <w:rPr>
                        <w:rFonts w:ascii="Times New Roman" w:hAnsi="Times New Roman" w:cs="Times New Roman"/>
                        <w:sz w:val="24"/>
                        <w:szCs w:val="24"/>
                      </w:rPr>
                      <w:t xml:space="preserve"> </w:t>
                    </w:r>
                    <w:r w:rsidRPr="00B820C5">
                      <w:rPr>
                        <w:rFonts w:ascii="Times New Roman" w:hAnsi="Times New Roman" w:cs="Times New Roman"/>
                        <w:sz w:val="24"/>
                        <w:szCs w:val="24"/>
                      </w:rPr>
                      <w:t>электронных   вычислительных   машин,  базы   данных   и   топологии</w:t>
                    </w:r>
                    <w:r>
                      <w:rPr>
                        <w:rFonts w:ascii="Times New Roman" w:hAnsi="Times New Roman" w:cs="Times New Roman"/>
                        <w:sz w:val="24"/>
                        <w:szCs w:val="24"/>
                      </w:rPr>
                      <w:t xml:space="preserve"> </w:t>
                    </w:r>
                    <w:r w:rsidRPr="00B820C5">
                      <w:rPr>
                        <w:rFonts w:ascii="Times New Roman" w:hAnsi="Times New Roman" w:cs="Times New Roman"/>
                        <w:sz w:val="24"/>
                        <w:szCs w:val="24"/>
                      </w:rPr>
                      <w:t xml:space="preserve">интегральной микросхемы                                          </w:t>
                    </w:r>
                    <w:r>
                      <w:t xml:space="preserve">   </w:t>
                    </w:r>
                  </w:p>
                </w:txbxContent>
              </v:textbox>
            </v:rect>
            <v:rect id="_x0000_s1114" style="position:absolute;left:2499;top:9946;width:7461;height:1019">
              <v:textbox>
                <w:txbxContent>
                  <w:p w:rsidR="00377391" w:rsidRPr="00B820C5" w:rsidRDefault="00377391" w:rsidP="00377391">
                    <w:pPr>
                      <w:pStyle w:val="a3"/>
                      <w:rPr>
                        <w:rFonts w:ascii="Times New Roman" w:hAnsi="Times New Roman" w:cs="Times New Roman"/>
                        <w:sz w:val="24"/>
                        <w:szCs w:val="24"/>
                      </w:rPr>
                    </w:pPr>
                    <w:r w:rsidRPr="00B820C5">
                      <w:rPr>
                        <w:rFonts w:ascii="Times New Roman" w:hAnsi="Times New Roman" w:cs="Times New Roman"/>
                        <w:sz w:val="24"/>
                        <w:szCs w:val="24"/>
                      </w:rPr>
                      <w:t>Совершение действий  уполномоченными  государственными  учреждениями</w:t>
                    </w:r>
                    <w:r>
                      <w:rPr>
                        <w:rFonts w:ascii="Times New Roman" w:hAnsi="Times New Roman" w:cs="Times New Roman"/>
                        <w:sz w:val="24"/>
                        <w:szCs w:val="24"/>
                      </w:rPr>
                      <w:t xml:space="preserve"> </w:t>
                    </w:r>
                    <w:r w:rsidRPr="00B820C5">
                      <w:rPr>
                        <w:rFonts w:ascii="Times New Roman" w:hAnsi="Times New Roman" w:cs="Times New Roman"/>
                        <w:sz w:val="24"/>
                        <w:szCs w:val="24"/>
                      </w:rPr>
                      <w:t>при осуществлении федерального пробирного надзора</w:t>
                    </w:r>
                  </w:p>
                </w:txbxContent>
              </v:textbox>
            </v:rect>
            <v:rect id="_x0000_s1115" style="position:absolute;left:2499;top:11304;width:7461;height:624">
              <v:textbox style="mso-next-textbox:#_x0000_s1115">
                <w:txbxContent>
                  <w:p w:rsidR="00377391" w:rsidRPr="00B820C5" w:rsidRDefault="00377391" w:rsidP="00377391">
                    <w:pPr>
                      <w:rPr>
                        <w:rFonts w:ascii="Times New Roman" w:hAnsi="Times New Roman" w:cs="Times New Roman"/>
                        <w:sz w:val="24"/>
                        <w:szCs w:val="24"/>
                      </w:rPr>
                    </w:pPr>
                    <w:r w:rsidRPr="00B820C5">
                      <w:rPr>
                        <w:rFonts w:ascii="Times New Roman" w:hAnsi="Times New Roman" w:cs="Times New Roman"/>
                        <w:sz w:val="24"/>
                        <w:szCs w:val="24"/>
                      </w:rPr>
                      <w:t xml:space="preserve">Государственная регистрация                                         </w:t>
                    </w:r>
                  </w:p>
                </w:txbxContent>
              </v:textbox>
            </v:rect>
            <v:rect id="_x0000_s1116" style="position:absolute;left:2499;top:12209;width:7461;height:1051">
              <v:textbox style="mso-next-textbox:#_x0000_s1116">
                <w:txbxContent>
                  <w:p w:rsidR="00377391" w:rsidRPr="00B820C5" w:rsidRDefault="00377391" w:rsidP="00377391">
                    <w:pPr>
                      <w:pStyle w:val="a3"/>
                      <w:rPr>
                        <w:rFonts w:ascii="Times New Roman" w:hAnsi="Times New Roman" w:cs="Times New Roman"/>
                        <w:sz w:val="24"/>
                        <w:szCs w:val="24"/>
                      </w:rPr>
                    </w:pPr>
                    <w:r w:rsidRPr="00B820C5">
                      <w:rPr>
                        <w:rFonts w:ascii="Times New Roman" w:hAnsi="Times New Roman" w:cs="Times New Roman"/>
                        <w:sz w:val="24"/>
                        <w:szCs w:val="24"/>
                      </w:rPr>
                      <w:t xml:space="preserve">Совершение  прочих  юридически  значимых  действий,  предусмотренных главой 25.3 НК РФ,  в  том  числе  выдача  документов   (их   копий, дубликатов)                                                         </w:t>
                    </w:r>
                  </w:p>
                </w:txbxContent>
              </v:textbox>
            </v:rect>
            <v:shape id="_x0000_s1117" type="#_x0000_t32" style="position:absolute;left:1804;top:10430;width:695;height:0" o:connectortype="straight"/>
            <v:shape id="_x0000_s1118" type="#_x0000_t32" style="position:absolute;left:1804;top:9010;width:695;height:0" o:connectortype="straight"/>
            <v:shape id="_x0000_s1119" type="#_x0000_t32" style="position:absolute;left:1773;top:11616;width:695;height:0" o:connectortype="straight"/>
            <v:shape id="_x0000_s1120" type="#_x0000_t32" style="position:absolute;left:1804;top:12662;width:695;height:0" o:connectortype="straight"/>
            <v:rect id="_x0000_s1121" style="position:absolute;left:2499;top:1890;width:7461;height:1030">
              <v:textbox>
                <w:txbxContent>
                  <w:p w:rsidR="00377391" w:rsidRPr="00B820C5" w:rsidRDefault="00377391" w:rsidP="00377391">
                    <w:pPr>
                      <w:pStyle w:val="a3"/>
                      <w:jc w:val="center"/>
                      <w:rPr>
                        <w:rFonts w:ascii="Times New Roman" w:hAnsi="Times New Roman" w:cs="Times New Roman"/>
                        <w:sz w:val="24"/>
                        <w:szCs w:val="24"/>
                      </w:rPr>
                    </w:pPr>
                    <w:r w:rsidRPr="00B820C5">
                      <w:rPr>
                        <w:rFonts w:ascii="Times New Roman" w:hAnsi="Times New Roman" w:cs="Times New Roman"/>
                        <w:bCs/>
                        <w:sz w:val="24"/>
                        <w:szCs w:val="24"/>
                      </w:rPr>
                      <w:t>Виды юридически значимых действий, оплачиваемых государственной</w:t>
                    </w:r>
                  </w:p>
                  <w:p w:rsidR="00377391" w:rsidRPr="00B820C5" w:rsidRDefault="00377391" w:rsidP="00377391">
                    <w:pPr>
                      <w:pStyle w:val="a3"/>
                      <w:jc w:val="center"/>
                      <w:rPr>
                        <w:rFonts w:ascii="Times New Roman" w:hAnsi="Times New Roman" w:cs="Times New Roman"/>
                        <w:sz w:val="24"/>
                        <w:szCs w:val="24"/>
                      </w:rPr>
                    </w:pPr>
                    <w:r w:rsidRPr="00B820C5">
                      <w:rPr>
                        <w:rFonts w:ascii="Times New Roman" w:hAnsi="Times New Roman" w:cs="Times New Roman"/>
                        <w:bCs/>
                        <w:sz w:val="24"/>
                        <w:szCs w:val="24"/>
                      </w:rPr>
                      <w:t>пошлиной</w:t>
                    </w:r>
                  </w:p>
                  <w:p w:rsidR="00377391" w:rsidRDefault="00377391" w:rsidP="00377391"/>
                </w:txbxContent>
              </v:textbox>
            </v:rect>
            <v:rect id="_x0000_s1122" style="position:absolute;left:2499;top:3079;width:7461;height:1946">
              <v:textbox style="mso-next-textbox:#_x0000_s1122">
                <w:txbxContent>
                  <w:p w:rsidR="00377391" w:rsidRPr="00B820C5" w:rsidRDefault="00377391" w:rsidP="00377391">
                    <w:pPr>
                      <w:pStyle w:val="a3"/>
                      <w:jc w:val="left"/>
                      <w:rPr>
                        <w:rFonts w:ascii="Times New Roman" w:hAnsi="Times New Roman" w:cs="Times New Roman"/>
                        <w:sz w:val="24"/>
                        <w:szCs w:val="24"/>
                      </w:rPr>
                    </w:pPr>
                    <w:r w:rsidRPr="00B820C5">
                      <w:rPr>
                        <w:rFonts w:ascii="Times New Roman" w:hAnsi="Times New Roman" w:cs="Times New Roman"/>
                        <w:sz w:val="24"/>
                        <w:szCs w:val="24"/>
                      </w:rPr>
                      <w:t>Рассмотрение дел:</w:t>
                    </w:r>
                  </w:p>
                  <w:p w:rsidR="00377391" w:rsidRPr="00B820C5" w:rsidRDefault="00377391" w:rsidP="00377391">
                    <w:pPr>
                      <w:pStyle w:val="a3"/>
                      <w:ind w:firstLine="142"/>
                      <w:jc w:val="left"/>
                      <w:rPr>
                        <w:rFonts w:ascii="Times New Roman" w:hAnsi="Times New Roman" w:cs="Times New Roman"/>
                        <w:sz w:val="24"/>
                        <w:szCs w:val="24"/>
                      </w:rPr>
                    </w:pPr>
                    <w:r w:rsidRPr="00B820C5">
                      <w:rPr>
                        <w:rFonts w:ascii="Times New Roman" w:hAnsi="Times New Roman" w:cs="Times New Roman"/>
                        <w:sz w:val="24"/>
                        <w:szCs w:val="24"/>
                      </w:rPr>
                      <w:t>- судами общей юрисдикции</w:t>
                    </w:r>
                  </w:p>
                  <w:p w:rsidR="00377391" w:rsidRPr="00B820C5" w:rsidRDefault="00377391" w:rsidP="00377391">
                    <w:pPr>
                      <w:pStyle w:val="a3"/>
                      <w:ind w:firstLine="142"/>
                      <w:jc w:val="left"/>
                      <w:rPr>
                        <w:rFonts w:ascii="Times New Roman" w:hAnsi="Times New Roman" w:cs="Times New Roman"/>
                        <w:sz w:val="24"/>
                        <w:szCs w:val="24"/>
                      </w:rPr>
                    </w:pPr>
                    <w:r w:rsidRPr="00B820C5">
                      <w:rPr>
                        <w:rFonts w:ascii="Times New Roman" w:hAnsi="Times New Roman" w:cs="Times New Roman"/>
                        <w:sz w:val="24"/>
                        <w:szCs w:val="24"/>
                      </w:rPr>
                      <w:t>- мировыми судьями</w:t>
                    </w:r>
                  </w:p>
                  <w:p w:rsidR="00377391" w:rsidRPr="00B820C5" w:rsidRDefault="00377391" w:rsidP="00377391">
                    <w:pPr>
                      <w:pStyle w:val="a3"/>
                      <w:ind w:firstLine="142"/>
                      <w:jc w:val="left"/>
                      <w:rPr>
                        <w:rFonts w:ascii="Times New Roman" w:hAnsi="Times New Roman" w:cs="Times New Roman"/>
                        <w:sz w:val="24"/>
                        <w:szCs w:val="24"/>
                      </w:rPr>
                    </w:pPr>
                    <w:r w:rsidRPr="00B820C5">
                      <w:rPr>
                        <w:rFonts w:ascii="Times New Roman" w:hAnsi="Times New Roman" w:cs="Times New Roman"/>
                        <w:sz w:val="24"/>
                        <w:szCs w:val="24"/>
                      </w:rPr>
                      <w:t>- арбитражными судами</w:t>
                    </w:r>
                  </w:p>
                  <w:p w:rsidR="00377391" w:rsidRPr="00B820C5" w:rsidRDefault="00377391" w:rsidP="00377391">
                    <w:pPr>
                      <w:pStyle w:val="a3"/>
                      <w:ind w:firstLine="142"/>
                      <w:jc w:val="left"/>
                      <w:rPr>
                        <w:rFonts w:ascii="Times New Roman" w:hAnsi="Times New Roman" w:cs="Times New Roman"/>
                        <w:sz w:val="24"/>
                        <w:szCs w:val="24"/>
                      </w:rPr>
                    </w:pPr>
                    <w:r w:rsidRPr="00B820C5">
                      <w:rPr>
                        <w:rFonts w:ascii="Times New Roman" w:hAnsi="Times New Roman" w:cs="Times New Roman"/>
                        <w:sz w:val="24"/>
                        <w:szCs w:val="24"/>
                      </w:rPr>
                      <w:t>- Конституционным  судом  РФ  и  конституционными (уставными) судами субъектов РФ</w:t>
                    </w:r>
                  </w:p>
                </w:txbxContent>
              </v:textbox>
            </v:rect>
            <v:rect id="_x0000_s1123" style="position:absolute;left:2499;top:5242;width:7461;height:593">
              <v:textbox style="mso-next-textbox:#_x0000_s1123">
                <w:txbxContent>
                  <w:p w:rsidR="00377391" w:rsidRPr="00B820C5" w:rsidRDefault="00377391" w:rsidP="00377391">
                    <w:pPr>
                      <w:rPr>
                        <w:rFonts w:ascii="Times New Roman" w:hAnsi="Times New Roman" w:cs="Times New Roman"/>
                        <w:sz w:val="24"/>
                        <w:szCs w:val="24"/>
                      </w:rPr>
                    </w:pPr>
                    <w:r w:rsidRPr="00B820C5">
                      <w:rPr>
                        <w:rFonts w:ascii="Times New Roman" w:hAnsi="Times New Roman" w:cs="Times New Roman"/>
                        <w:sz w:val="24"/>
                        <w:szCs w:val="24"/>
                      </w:rPr>
                      <w:t xml:space="preserve">Совершение нотариальных действий                                    </w:t>
                    </w:r>
                  </w:p>
                </w:txbxContent>
              </v:textbox>
            </v:rect>
            <v:rect id="_x0000_s1124" style="position:absolute;left:2499;top:6247;width:7461;height:624">
              <v:textbox style="mso-next-textbox:#_x0000_s1124">
                <w:txbxContent>
                  <w:p w:rsidR="00377391" w:rsidRPr="00B820C5" w:rsidRDefault="00377391" w:rsidP="00377391">
                    <w:pPr>
                      <w:rPr>
                        <w:rFonts w:ascii="Times New Roman" w:hAnsi="Times New Roman" w:cs="Times New Roman"/>
                        <w:sz w:val="24"/>
                        <w:szCs w:val="24"/>
                      </w:rPr>
                    </w:pPr>
                    <w:r w:rsidRPr="00B820C5">
                      <w:rPr>
                        <w:rFonts w:ascii="Times New Roman" w:hAnsi="Times New Roman" w:cs="Times New Roman"/>
                        <w:sz w:val="24"/>
                        <w:szCs w:val="24"/>
                      </w:rPr>
                      <w:t xml:space="preserve">Государственная регистрация актов гражданского состояния            </w:t>
                    </w:r>
                  </w:p>
                </w:txbxContent>
              </v:textbox>
            </v:rect>
            <v:rect id="_x0000_s1125" style="position:absolute;left:2499;top:7230;width:7461;height:1030">
              <v:textbox style="mso-next-textbox:#_x0000_s1125">
                <w:txbxContent>
                  <w:p w:rsidR="00377391" w:rsidRPr="00B820C5" w:rsidRDefault="00377391" w:rsidP="00377391">
                    <w:pPr>
                      <w:pStyle w:val="a3"/>
                      <w:rPr>
                        <w:rFonts w:ascii="Times New Roman" w:hAnsi="Times New Roman" w:cs="Times New Roman"/>
                        <w:sz w:val="24"/>
                        <w:szCs w:val="24"/>
                      </w:rPr>
                    </w:pPr>
                    <w:r w:rsidRPr="00B820C5">
                      <w:rPr>
                        <w:rFonts w:ascii="Times New Roman" w:hAnsi="Times New Roman" w:cs="Times New Roman"/>
                        <w:sz w:val="24"/>
                        <w:szCs w:val="24"/>
                      </w:rPr>
                      <w:t xml:space="preserve">Совершение действий, связанных с приобретением  гражданства  РФ  или выходом из гражданства РФ, а также с въездом в РФ или выездом из РФ </w:t>
                    </w:r>
                  </w:p>
                  <w:p w:rsidR="00377391" w:rsidRDefault="00377391" w:rsidP="00377391"/>
                </w:txbxContent>
              </v:textbox>
            </v:rect>
            <v:shape id="_x0000_s1126" type="#_x0000_t32" style="position:absolute;left:1711;top:2377;width:695;height:0" o:connectortype="straight"/>
            <v:shape id="_x0000_s1127" type="#_x0000_t32" style="position:absolute;left:1711;top:3734;width:788;height:0" o:connectortype="straight"/>
            <v:shape id="_x0000_s1128" type="#_x0000_t32" style="position:absolute;left:1804;top:7729;width:695;height:0" o:connectortype="straight"/>
            <v:shape id="_x0000_s1129" type="#_x0000_t32" style="position:absolute;left:1711;top:6575;width:788;height:1" o:connectortype="straight"/>
            <v:shape id="_x0000_s1130" type="#_x0000_t32" style="position:absolute;left:1711;top:5404;width:788;height:1" o:connectortype="straight"/>
            <w10:wrap type="topAndBottom"/>
          </v:group>
        </w:pict>
      </w:r>
    </w:p>
    <w:p w:rsidR="00377391" w:rsidRDefault="00377391" w:rsidP="00377391">
      <w:pPr>
        <w:jc w:val="center"/>
        <w:rPr>
          <w:rFonts w:ascii="Times New Roman" w:hAnsi="Times New Roman" w:cs="Times New Roman"/>
          <w:b/>
          <w:sz w:val="32"/>
          <w:szCs w:val="32"/>
        </w:rPr>
      </w:pPr>
      <w:r>
        <w:rPr>
          <w:rFonts w:ascii="Times New Roman" w:hAnsi="Times New Roman" w:cs="Times New Roman"/>
          <w:sz w:val="28"/>
          <w:szCs w:val="28"/>
        </w:rPr>
        <w:t>Рисунок А.3.</w:t>
      </w:r>
      <w:r w:rsidRPr="003568E2">
        <w:rPr>
          <w:rFonts w:ascii="Times New Roman" w:hAnsi="Times New Roman" w:cs="Times New Roman"/>
          <w:sz w:val="28"/>
          <w:szCs w:val="28"/>
        </w:rPr>
        <w:t xml:space="preserve"> </w:t>
      </w:r>
      <w:r>
        <w:rPr>
          <w:rFonts w:ascii="Times New Roman" w:hAnsi="Times New Roman" w:cs="Times New Roman"/>
          <w:sz w:val="28"/>
          <w:szCs w:val="28"/>
        </w:rPr>
        <w:t>-</w:t>
      </w:r>
      <w:r w:rsidRPr="008A1996">
        <w:rPr>
          <w:rFonts w:ascii="Times New Roman" w:hAnsi="Times New Roman" w:cs="Times New Roman"/>
          <w:sz w:val="28"/>
          <w:szCs w:val="28"/>
        </w:rPr>
        <w:t xml:space="preserve"> </w:t>
      </w:r>
      <w:r w:rsidRPr="00DE7C1C">
        <w:rPr>
          <w:rFonts w:ascii="Times New Roman" w:hAnsi="Times New Roman" w:cs="Times New Roman"/>
          <w:sz w:val="28"/>
          <w:szCs w:val="28"/>
        </w:rPr>
        <w:t>Объекты взимания государственной пошлины</w:t>
      </w:r>
    </w:p>
    <w:p w:rsidR="00377391" w:rsidRDefault="00377391" w:rsidP="00F01F76">
      <w:pPr>
        <w:rPr>
          <w:rFonts w:ascii="Times New Roman" w:hAnsi="Times New Roman" w:cs="Times New Roman"/>
          <w:b/>
          <w:sz w:val="32"/>
          <w:szCs w:val="32"/>
        </w:rPr>
      </w:pPr>
    </w:p>
    <w:p w:rsidR="00377391" w:rsidRDefault="00377391" w:rsidP="00F01F76">
      <w:pPr>
        <w:rPr>
          <w:rFonts w:ascii="Times New Roman" w:hAnsi="Times New Roman" w:cs="Times New Roman"/>
          <w:b/>
          <w:sz w:val="32"/>
          <w:szCs w:val="32"/>
        </w:rPr>
      </w:pPr>
    </w:p>
    <w:sectPr w:rsidR="00377391" w:rsidSect="00B911B2">
      <w:footerReference w:type="default" r:id="rId6"/>
      <w:pgSz w:w="11906" w:h="16838"/>
      <w:pgMar w:top="1134" w:right="850" w:bottom="1134" w:left="1701" w:header="708" w:footer="708" w:gutter="0"/>
      <w:pgNumType w:start="8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AD7" w:rsidRDefault="004F0AD7" w:rsidP="0049777B">
      <w:pPr>
        <w:spacing w:after="0" w:line="240" w:lineRule="auto"/>
      </w:pPr>
      <w:r>
        <w:separator/>
      </w:r>
    </w:p>
  </w:endnote>
  <w:endnote w:type="continuationSeparator" w:id="1">
    <w:p w:rsidR="004F0AD7" w:rsidRDefault="004F0AD7" w:rsidP="004977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73160"/>
      <w:docPartObj>
        <w:docPartGallery w:val="Номера страниц (внизу страницы)"/>
        <w:docPartUnique/>
      </w:docPartObj>
    </w:sdtPr>
    <w:sdtContent>
      <w:p w:rsidR="0049777B" w:rsidRDefault="00076EF6">
        <w:pPr>
          <w:pStyle w:val="a8"/>
          <w:jc w:val="center"/>
        </w:pPr>
        <w:r w:rsidRPr="00D12BEA">
          <w:rPr>
            <w:rFonts w:ascii="Times New Roman" w:hAnsi="Times New Roman" w:cs="Times New Roman"/>
            <w:sz w:val="28"/>
            <w:szCs w:val="28"/>
          </w:rPr>
          <w:fldChar w:fldCharType="begin"/>
        </w:r>
        <w:r w:rsidR="00D55EA3" w:rsidRPr="00D12BEA">
          <w:rPr>
            <w:rFonts w:ascii="Times New Roman" w:hAnsi="Times New Roman" w:cs="Times New Roman"/>
            <w:sz w:val="28"/>
            <w:szCs w:val="28"/>
          </w:rPr>
          <w:instrText xml:space="preserve"> PAGE   \* MERGEFORMAT </w:instrText>
        </w:r>
        <w:r w:rsidRPr="00D12BEA">
          <w:rPr>
            <w:rFonts w:ascii="Times New Roman" w:hAnsi="Times New Roman" w:cs="Times New Roman"/>
            <w:sz w:val="28"/>
            <w:szCs w:val="28"/>
          </w:rPr>
          <w:fldChar w:fldCharType="separate"/>
        </w:r>
        <w:r w:rsidR="00D12BEA">
          <w:rPr>
            <w:rFonts w:ascii="Times New Roman" w:hAnsi="Times New Roman" w:cs="Times New Roman"/>
            <w:noProof/>
            <w:sz w:val="28"/>
            <w:szCs w:val="28"/>
          </w:rPr>
          <w:t>81</w:t>
        </w:r>
        <w:r w:rsidRPr="00D12BEA">
          <w:rPr>
            <w:rFonts w:ascii="Times New Roman" w:hAnsi="Times New Roman" w:cs="Times New Roman"/>
            <w:sz w:val="28"/>
            <w:szCs w:val="28"/>
          </w:rPr>
          <w:fldChar w:fldCharType="end"/>
        </w:r>
      </w:p>
    </w:sdtContent>
  </w:sdt>
  <w:p w:rsidR="0049777B" w:rsidRDefault="0049777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AD7" w:rsidRDefault="004F0AD7" w:rsidP="0049777B">
      <w:pPr>
        <w:spacing w:after="0" w:line="240" w:lineRule="auto"/>
      </w:pPr>
      <w:r>
        <w:separator/>
      </w:r>
    </w:p>
  </w:footnote>
  <w:footnote w:type="continuationSeparator" w:id="1">
    <w:p w:rsidR="004F0AD7" w:rsidRDefault="004F0AD7" w:rsidP="004977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F01F76"/>
    <w:rsid w:val="00076EF6"/>
    <w:rsid w:val="001019FE"/>
    <w:rsid w:val="00377391"/>
    <w:rsid w:val="0048370A"/>
    <w:rsid w:val="0049777B"/>
    <w:rsid w:val="004F0AD7"/>
    <w:rsid w:val="0086399B"/>
    <w:rsid w:val="009028D3"/>
    <w:rsid w:val="00B911B2"/>
    <w:rsid w:val="00D12BEA"/>
    <w:rsid w:val="00D55EA3"/>
    <w:rsid w:val="00F01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5" type="connector" idref="#_x0000_s1108"/>
        <o:r id="V:Rule36" type="connector" idref="#_x0000_s1129"/>
        <o:r id="V:Rule37" type="connector" idref="#_x0000_s1119"/>
        <o:r id="V:Rule38" type="connector" idref="#_x0000_s1088"/>
        <o:r id="V:Rule39" type="connector" idref="#_x0000_s1042"/>
        <o:r id="V:Rule40" type="connector" idref="#_x0000_s1120"/>
        <o:r id="V:Rule41" type="connector" idref="#_x0000_s1091"/>
        <o:r id="V:Rule42" type="connector" idref="#_x0000_s1084"/>
        <o:r id="V:Rule43" type="connector" idref="#_x0000_s1044"/>
        <o:r id="V:Rule44" type="connector" idref="#_x0000_s1039"/>
        <o:r id="V:Rule45" type="connector" idref="#_x0000_s1118"/>
        <o:r id="V:Rule46" type="connector" idref="#_x0000_s1086"/>
        <o:r id="V:Rule47" type="connector" idref="#_x0000_s1081"/>
        <o:r id="V:Rule48" type="connector" idref="#_x0000_s1117"/>
        <o:r id="V:Rule49" type="connector" idref="#_x0000_s1040"/>
        <o:r id="V:Rule50" type="connector" idref="#_x0000_s1043"/>
        <o:r id="V:Rule51" type="connector" idref="#_x0000_s1128"/>
        <o:r id="V:Rule52" type="connector" idref="#_x0000_s1100"/>
        <o:r id="V:Rule53" type="connector" idref="#_x0000_s1103"/>
        <o:r id="V:Rule54" type="connector" idref="#_x0000_s1112"/>
        <o:r id="V:Rule55" type="connector" idref="#_x0000_s1101"/>
        <o:r id="V:Rule56" type="connector" idref="#_x0000_s1107"/>
        <o:r id="V:Rule57" type="connector" idref="#_x0000_s1130"/>
        <o:r id="V:Rule58" type="connector" idref="#_x0000_s1089"/>
        <o:r id="V:Rule59" type="connector" idref="#_x0000_s1127"/>
        <o:r id="V:Rule60" type="connector" idref="#_x0000_s1041"/>
        <o:r id="V:Rule61" type="connector" idref="#_x0000_s1104"/>
        <o:r id="V:Rule62" type="connector" idref="#_x0000_s1090"/>
        <o:r id="V:Rule63" type="connector" idref="#_x0000_s1102"/>
        <o:r id="V:Rule64" type="connector" idref="#_x0000_s1079"/>
        <o:r id="V:Rule65" type="connector" idref="#_x0000_s1083"/>
        <o:r id="V:Rule66" type="connector" idref="#_x0000_s1092"/>
        <o:r id="V:Rule67" type="connector" idref="#_x0000_s1038"/>
        <o:r id="V:Rule68" type="connector" idref="#_x0000_s11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8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F01F76"/>
    <w:pPr>
      <w:widowControl w:val="0"/>
      <w:autoSpaceDE w:val="0"/>
      <w:autoSpaceDN w:val="0"/>
      <w:adjustRightInd w:val="0"/>
      <w:spacing w:after="0" w:line="240" w:lineRule="auto"/>
    </w:pPr>
    <w:rPr>
      <w:rFonts w:ascii="Century Gothic" w:hAnsi="Century Gothic"/>
      <w:sz w:val="24"/>
      <w:szCs w:val="24"/>
    </w:rPr>
  </w:style>
  <w:style w:type="character" w:customStyle="1" w:styleId="FontStyle11">
    <w:name w:val="Font Style11"/>
    <w:basedOn w:val="a0"/>
    <w:uiPriority w:val="99"/>
    <w:rsid w:val="00377391"/>
    <w:rPr>
      <w:rFonts w:ascii="Courier New" w:hAnsi="Courier New" w:cs="Courier New"/>
      <w:b/>
      <w:bCs/>
      <w:sz w:val="16"/>
      <w:szCs w:val="16"/>
    </w:rPr>
  </w:style>
  <w:style w:type="paragraph" w:customStyle="1" w:styleId="a3">
    <w:name w:val="Таблицы (моноширинный)"/>
    <w:basedOn w:val="a"/>
    <w:next w:val="a"/>
    <w:uiPriority w:val="99"/>
    <w:rsid w:val="00377391"/>
    <w:pPr>
      <w:widowControl w:val="0"/>
      <w:autoSpaceDE w:val="0"/>
      <w:autoSpaceDN w:val="0"/>
      <w:adjustRightInd w:val="0"/>
      <w:spacing w:after="0" w:line="240" w:lineRule="auto"/>
      <w:jc w:val="both"/>
    </w:pPr>
    <w:rPr>
      <w:rFonts w:ascii="Courier New" w:hAnsi="Courier New" w:cs="Courier New"/>
      <w:sz w:val="18"/>
      <w:szCs w:val="18"/>
    </w:rPr>
  </w:style>
  <w:style w:type="paragraph" w:styleId="a4">
    <w:name w:val="Document Map"/>
    <w:basedOn w:val="a"/>
    <w:link w:val="a5"/>
    <w:uiPriority w:val="99"/>
    <w:semiHidden/>
    <w:unhideWhenUsed/>
    <w:rsid w:val="004977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49777B"/>
    <w:rPr>
      <w:rFonts w:ascii="Tahoma" w:hAnsi="Tahoma" w:cs="Tahoma"/>
      <w:sz w:val="16"/>
      <w:szCs w:val="16"/>
    </w:rPr>
  </w:style>
  <w:style w:type="paragraph" w:styleId="a6">
    <w:name w:val="header"/>
    <w:basedOn w:val="a"/>
    <w:link w:val="a7"/>
    <w:uiPriority w:val="99"/>
    <w:semiHidden/>
    <w:unhideWhenUsed/>
    <w:rsid w:val="0049777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9777B"/>
  </w:style>
  <w:style w:type="paragraph" w:styleId="a8">
    <w:name w:val="footer"/>
    <w:basedOn w:val="a"/>
    <w:link w:val="a9"/>
    <w:uiPriority w:val="99"/>
    <w:unhideWhenUsed/>
    <w:rsid w:val="004977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977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Words>
  <Characters>208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biostik</Company>
  <LinksUpToDate>false</LinksUpToDate>
  <CharactersWithSpaces>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combikorm</dc:creator>
  <cp:keywords/>
  <dc:description/>
  <cp:lastModifiedBy>combikorm</cp:lastModifiedBy>
  <cp:revision>6</cp:revision>
  <cp:lastPrinted>2010-06-08T12:26:00Z</cp:lastPrinted>
  <dcterms:created xsi:type="dcterms:W3CDTF">2010-06-07T16:57:00Z</dcterms:created>
  <dcterms:modified xsi:type="dcterms:W3CDTF">2010-06-09T04:50:00Z</dcterms:modified>
</cp:coreProperties>
</file>