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56" w:rsidRPr="00811163" w:rsidRDefault="008E2C56" w:rsidP="00811163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11163">
        <w:rPr>
          <w:b/>
          <w:bCs/>
          <w:color w:val="000000"/>
          <w:kern w:val="28"/>
          <w:sz w:val="28"/>
          <w:szCs w:val="28"/>
        </w:rPr>
        <w:t>Оглавление</w:t>
      </w:r>
    </w:p>
    <w:p w:rsidR="008E2C56" w:rsidRPr="00652268" w:rsidRDefault="008E2C56" w:rsidP="00652268">
      <w:pPr>
        <w:tabs>
          <w:tab w:val="left" w:pos="9638"/>
        </w:tabs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lang w:val="uk-UA"/>
        </w:rPr>
        <w:t>1</w:t>
      </w:r>
      <w:r w:rsidR="007E0200">
        <w:rPr>
          <w:color w:val="000000"/>
          <w:kern w:val="28"/>
          <w:sz w:val="28"/>
          <w:szCs w:val="28"/>
          <w:lang w:val="uk-UA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Коммерческое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1.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Раскройте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формы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государственного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содействия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развитию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внешнеторговой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деятельности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1.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2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Раскройте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значение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особенности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правового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оформления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изготовления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размещения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рекламы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2</w:t>
      </w:r>
      <w:r w:rsidR="007E0200"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Международное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частное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2.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Охарактеризуйте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проблему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обратной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отсылки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укажите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основные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подходы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ее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разрешению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3</w:t>
      </w:r>
      <w:r w:rsidR="007E0200"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Таможенное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3.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Порядок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перемещения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через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таможенную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границу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РФ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валюты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валютных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ценностей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3.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2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Дайте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понятие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упрощенной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формы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применения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взысканий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за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нарушение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таможенных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правил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</w:t>
      </w:r>
      <w:r w:rsidR="007E0200"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Банковское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методы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правого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регулирования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применяются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банковском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праве?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2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Назовите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этапы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создания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кредитной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организации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3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Определите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место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Агентства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страхованию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вкладов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банковской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системе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РФ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4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Назовите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обоснования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для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прекращения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действия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лицензии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осуществление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банковской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деятельности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5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Дайте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характеристику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механизма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создания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кредитной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организации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6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Назовите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виды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банковских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вкладов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7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Охарактеризуйте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работу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расчетах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ИНКАССО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4.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8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Назовите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особенности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операций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кредитных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организаций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неэмисионными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ценными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бумагами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</w:t>
      </w:r>
      <w:r w:rsidR="007E0200"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Налоговое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каком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условии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банки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имеют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открывать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счета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организациям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индивидуальным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предпринимателям?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2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каком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порядке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взыскиваются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санкции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за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налоговые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правонарушения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3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действия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могут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квалифицироваться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налоговое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правонарушение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4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документ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служит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основанием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для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принятия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предъявленных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сумм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добавленную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стоимость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вычету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или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возмещению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каковы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его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реквизиты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5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категории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налогоплательщиков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имеют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право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профессиональные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вычеты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уплате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доходы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физического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лица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6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Кто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может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быть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привлечен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качестве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свидетеля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7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условиях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привлекаются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специалисты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для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проведения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налоговой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проверки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8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Могут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ли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быть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признаны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взаимозависимыми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физическое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лицо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организация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9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наличии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каких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оснований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возникает,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изменяется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прекращается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обязательство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по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уплате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налога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сбора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>
        <w:rPr>
          <w:rStyle w:val="a3"/>
          <w:noProof/>
          <w:color w:val="000000"/>
          <w:kern w:val="28"/>
          <w:sz w:val="28"/>
          <w:szCs w:val="28"/>
          <w:u w:val="none"/>
          <w:lang w:val="uk-UA"/>
        </w:rPr>
        <w:t>5.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10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Какие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выполняют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обязанность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сообщать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в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налоговые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органы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сведения,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связанные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учетом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налогоплательщиков</w:t>
      </w:r>
    </w:p>
    <w:p w:rsidR="00811163" w:rsidRPr="00811163" w:rsidRDefault="00811163" w:rsidP="00811163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Список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использованной</w:t>
      </w:r>
      <w:r w:rsidR="007E0200"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15F5B">
        <w:rPr>
          <w:rStyle w:val="a3"/>
          <w:noProof/>
          <w:color w:val="000000"/>
          <w:kern w:val="28"/>
          <w:sz w:val="28"/>
          <w:szCs w:val="28"/>
          <w:u w:val="none"/>
        </w:rPr>
        <w:t>литературы</w:t>
      </w:r>
    </w:p>
    <w:p w:rsidR="00107204" w:rsidRPr="00652268" w:rsidRDefault="00107204" w:rsidP="00811163">
      <w:pPr>
        <w:tabs>
          <w:tab w:val="left" w:pos="9638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CF000F" w:rsidRDefault="008E2C56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0" w:name="_Toc268009045"/>
      <w:r w:rsidR="00C03860" w:rsidRPr="00C03860">
        <w:rPr>
          <w:color w:val="000000"/>
          <w:kern w:val="28"/>
          <w:lang w:val="uk-UA"/>
        </w:rPr>
        <w:t>1</w:t>
      </w:r>
      <w:r w:rsidR="007E0200">
        <w:rPr>
          <w:color w:val="000000"/>
          <w:kern w:val="28"/>
          <w:lang w:val="uk-UA"/>
        </w:rPr>
        <w:t xml:space="preserve"> </w:t>
      </w:r>
      <w:r w:rsidR="00242C77" w:rsidRPr="00C03860">
        <w:rPr>
          <w:color w:val="000000"/>
          <w:kern w:val="28"/>
        </w:rPr>
        <w:t>Коммерческое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право</w:t>
      </w:r>
      <w:bookmarkEnd w:id="0"/>
    </w:p>
    <w:p w:rsidR="00C03860" w:rsidRPr="009D4048" w:rsidRDefault="00C03860" w:rsidP="00C03860">
      <w:pPr>
        <w:rPr>
          <w:sz w:val="28"/>
          <w:szCs w:val="28"/>
          <w:lang w:val="uk-UA"/>
        </w:rPr>
      </w:pPr>
    </w:p>
    <w:p w:rsidR="00242C77" w:rsidRDefault="00242C77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" w:name="_Toc268009046"/>
      <w:r w:rsidRPr="00C03860">
        <w:rPr>
          <w:color w:val="000000"/>
          <w:kern w:val="28"/>
        </w:rPr>
        <w:t>1.</w:t>
      </w:r>
      <w:r w:rsidR="00C03860" w:rsidRPr="00C03860">
        <w:rPr>
          <w:color w:val="000000"/>
          <w:kern w:val="28"/>
          <w:lang w:val="uk-UA"/>
        </w:rPr>
        <w:t>1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Раскройте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формы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государственного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содействия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развитию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внешнеторговой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деятельности</w:t>
      </w:r>
      <w:bookmarkEnd w:id="1"/>
    </w:p>
    <w:p w:rsidR="00C03860" w:rsidRPr="009D4048" w:rsidRDefault="00C03860" w:rsidP="00C03860">
      <w:pPr>
        <w:rPr>
          <w:sz w:val="28"/>
          <w:szCs w:val="28"/>
          <w:lang w:val="uk-UA"/>
        </w:rPr>
      </w:pP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стимулирования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национальной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экономики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способствуют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региональных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программ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Федеральная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программа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ежегодно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разрабатывается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Собрание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одновременно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проектом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бюджета.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Указанная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программа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содержит: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прогноз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баланса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платежного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баланса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оценку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современного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состояния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торговоэкономических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государствами;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заимствований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детальным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описанием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целевого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кредитов;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экспортных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предоставляемых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гарантии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5)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6)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поступлений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долгов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Федерацией;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7)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намечаемых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пошлин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тарифа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количественные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экспорта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импорта,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защите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внутреннего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8)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стимулирования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промышленного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экспорта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9)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дискриминации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двусторонних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многосторонних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допущенных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намечаемых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защите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торгово-экономических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интересов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Федерации.</w:t>
      </w:r>
    </w:p>
    <w:p w:rsidR="00242C77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четвертой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разрабатывают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программы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территориях.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Правительство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рамках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компетенции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мероприятия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(включая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финансирование)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содействующие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обеспечивают: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участников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внешнеторговой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функционирование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гарантий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экспортных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кредитов;</w:t>
      </w:r>
    </w:p>
    <w:p w:rsidR="004641A2" w:rsidRPr="00652268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выставок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ярмарок,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специализированных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симпозиумов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конференций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них;</w:t>
      </w:r>
    </w:p>
    <w:p w:rsidR="00242C77" w:rsidRDefault="004641A2" w:rsidP="0065226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кампаний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рекламных)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продвижению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интеллектуальной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мировые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рынки.</w:t>
      </w:r>
    </w:p>
    <w:p w:rsidR="00C03860" w:rsidRDefault="00C03860" w:rsidP="0065226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42C77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lang w:val="uk-UA"/>
        </w:rPr>
        <w:br w:type="page"/>
      </w:r>
      <w:bookmarkStart w:id="2" w:name="_Toc268009047"/>
      <w:r w:rsidRPr="00C03860">
        <w:rPr>
          <w:b/>
          <w:bCs/>
          <w:color w:val="000000"/>
          <w:kern w:val="28"/>
          <w:sz w:val="28"/>
          <w:szCs w:val="28"/>
          <w:lang w:val="uk-UA"/>
        </w:rPr>
        <w:t>1.</w:t>
      </w:r>
      <w:r w:rsidRPr="00C03860">
        <w:rPr>
          <w:b/>
          <w:bCs/>
          <w:color w:val="000000"/>
          <w:kern w:val="28"/>
          <w:sz w:val="28"/>
          <w:szCs w:val="28"/>
        </w:rPr>
        <w:t>2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Раскройте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значение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и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особенности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правового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оформления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изготовления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и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размещения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рекламы</w:t>
      </w:r>
      <w:bookmarkEnd w:id="2"/>
    </w:p>
    <w:p w:rsidR="00C03860" w:rsidRPr="00C03860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регулирующим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процессе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июля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(далее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товарном,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политическую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рекламу.</w:t>
      </w:r>
    </w:p>
    <w:p w:rsidR="00242C77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рекламе",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актах.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лекарственных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июня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лекарственных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средствах"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пестицидов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агрохимикатов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июля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безопасном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обращении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пестицидами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агрохимикатами".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бумаг".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Приказом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МВД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июля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410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размещении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транспортных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средствах.</w:t>
      </w: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проектированию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размещения,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технической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экспертизе,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размещению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(установка,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монтаж,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нанесение),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эксплуатации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демонтажу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соблюдением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требований.</w:t>
      </w: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Соблюдение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независимо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ведомственной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принадлежности,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(индивидуальных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эксплуатации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эксплуатации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информационного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предприятий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организаций.</w:t>
      </w: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Средства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щиты,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стенды,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плакаты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технические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предоставляемые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используемые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предназначенной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неопределенного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круга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рассчитанной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визуальное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восприятие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городского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пространства.</w:t>
      </w: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Размещение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рекламе".</w:t>
      </w:r>
    </w:p>
    <w:p w:rsidR="00E132E6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42C77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lang w:val="uk-UA"/>
        </w:rPr>
        <w:br w:type="page"/>
      </w:r>
      <w:bookmarkStart w:id="3" w:name="_Toc268009048"/>
      <w:r w:rsidRPr="00C03860">
        <w:rPr>
          <w:b/>
          <w:bCs/>
          <w:color w:val="000000"/>
          <w:kern w:val="28"/>
          <w:sz w:val="28"/>
          <w:szCs w:val="28"/>
          <w:lang w:val="uk-UA"/>
        </w:rPr>
        <w:t>2</w:t>
      </w:r>
      <w:r w:rsidR="007E0200">
        <w:rPr>
          <w:b/>
          <w:bCs/>
          <w:color w:val="000000"/>
          <w:kern w:val="28"/>
          <w:sz w:val="28"/>
          <w:szCs w:val="28"/>
          <w:lang w:val="uk-UA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Международное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частное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242C77" w:rsidRPr="00C03860">
        <w:rPr>
          <w:b/>
          <w:bCs/>
          <w:color w:val="000000"/>
          <w:kern w:val="28"/>
          <w:sz w:val="28"/>
          <w:szCs w:val="28"/>
        </w:rPr>
        <w:t>право</w:t>
      </w:r>
      <w:bookmarkEnd w:id="3"/>
    </w:p>
    <w:p w:rsidR="00C03860" w:rsidRPr="00C03860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242C77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4" w:name="_Toc268009049"/>
      <w:r w:rsidRPr="00C03860">
        <w:rPr>
          <w:color w:val="000000"/>
          <w:kern w:val="28"/>
          <w:lang w:val="uk-UA"/>
        </w:rPr>
        <w:t>2.</w:t>
      </w:r>
      <w:r w:rsidRPr="00C03860">
        <w:rPr>
          <w:color w:val="000000"/>
          <w:kern w:val="28"/>
        </w:rPr>
        <w:t>1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Охарактеризуйте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проблему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обратной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отсылки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укажите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основные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подходы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к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ее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разрешению</w:t>
      </w:r>
      <w:bookmarkEnd w:id="4"/>
    </w:p>
    <w:p w:rsidR="00C03860" w:rsidRPr="00C03860" w:rsidRDefault="00C03860" w:rsidP="00C03860">
      <w:pPr>
        <w:rPr>
          <w:lang w:val="uk-UA"/>
        </w:rPr>
      </w:pPr>
    </w:p>
    <w:p w:rsidR="00E132E6" w:rsidRPr="00652268" w:rsidRDefault="00E132E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(фр.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renvoi)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коллизионно-правовой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институт,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обращается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термин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третьего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Впервые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третьего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столкнулись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европейских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XIX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доктрине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сформировались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подходы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пониманию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высказывались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поводу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её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доктрины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выделить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подхода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пониманию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толкования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отечественных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(«внутригосударственная»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природа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(«международная»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природа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поводу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сводятся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вариантам: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безоговорочному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выражен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прямо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косвенно).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Причиной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возникновения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объективно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существующее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противоречие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(коллизия)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взаимодействие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отечественного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Значит,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внутригосударственная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(проблема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отечественных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(проблема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Её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понимание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основываться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учёте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(внутригосударственного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международного),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подход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противоречил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философскому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объективным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характеристикам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норм.</w:t>
      </w:r>
    </w:p>
    <w:p w:rsid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Рассмотрим,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практические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третьего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АТР.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источниках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международного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приводятся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варианта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Вьетнама,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Таиланда,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Кореи,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Японии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санкционирует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т.е.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объеме.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Китая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Решение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опираться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её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объективные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характеристики,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принцип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суверенного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равенства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(необходимость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национального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суверенитета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суверенитета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специфику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осложненного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элементом,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отсылке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обеспечивать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эффективное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внутригосударственных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коллизионных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налаживанию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внутригосударственными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C77" w:rsidRDefault="00242C77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5" w:name="_Toc268009050"/>
      <w:r w:rsidR="00C03860" w:rsidRPr="00C03860">
        <w:rPr>
          <w:color w:val="000000"/>
          <w:kern w:val="28"/>
          <w:lang w:val="uk-UA"/>
        </w:rPr>
        <w:t>3</w:t>
      </w:r>
      <w:r w:rsidR="007E0200">
        <w:rPr>
          <w:color w:val="000000"/>
          <w:kern w:val="28"/>
          <w:lang w:val="uk-UA"/>
        </w:rPr>
        <w:t xml:space="preserve"> </w:t>
      </w:r>
      <w:r w:rsidRPr="00C03860">
        <w:rPr>
          <w:color w:val="000000"/>
          <w:kern w:val="28"/>
        </w:rPr>
        <w:t>Таможенное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право</w:t>
      </w:r>
      <w:bookmarkEnd w:id="5"/>
    </w:p>
    <w:p w:rsidR="00C03860" w:rsidRPr="009D4048" w:rsidRDefault="00C03860" w:rsidP="00C03860">
      <w:pPr>
        <w:rPr>
          <w:sz w:val="28"/>
          <w:szCs w:val="28"/>
          <w:lang w:val="uk-UA"/>
        </w:rPr>
      </w:pPr>
    </w:p>
    <w:p w:rsidR="00242C77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6" w:name="_Toc268009051"/>
      <w:r w:rsidRPr="00C03860">
        <w:rPr>
          <w:color w:val="000000"/>
          <w:kern w:val="28"/>
          <w:lang w:val="uk-UA"/>
        </w:rPr>
        <w:t>3.</w:t>
      </w:r>
      <w:r w:rsidRPr="00C03860">
        <w:rPr>
          <w:color w:val="000000"/>
          <w:kern w:val="28"/>
        </w:rPr>
        <w:t>1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Порядок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перемещения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через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таможенную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границу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РФ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валюты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валютных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ценностей</w:t>
      </w:r>
      <w:bookmarkEnd w:id="6"/>
    </w:p>
    <w:p w:rsidR="00C03860" w:rsidRPr="009D4048" w:rsidRDefault="00C03860" w:rsidP="00C03860">
      <w:pPr>
        <w:rPr>
          <w:sz w:val="28"/>
          <w:szCs w:val="28"/>
          <w:lang w:val="uk-UA"/>
        </w:rPr>
      </w:pP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Каждый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отправляясь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поездку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рубеж,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турист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вещей,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дайвер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снаряжения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берут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немаловажный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элемент,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деньги.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Однако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точнее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четко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регламентировано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соблюдать.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прежде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контроле».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коснувшееся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рассматриваемого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февраля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Вслед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ГТК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выпустило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марта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01-06/9654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вывозе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руководствуются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прохождении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процедура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ввозимых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вывозимых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ТД-6.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турист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проследовать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называемый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«зеленый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коридор».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перевозимых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требуется,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нет?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существуют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дополнительные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потребоваться?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Вначале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разобраться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понятием,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«валютные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ценности».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относятся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внешние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понимаются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выезжающий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турист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столкнуться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видах: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дорожные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простым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«пластиковых»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какого-либо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Дорожные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независимо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подлежат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декларированию.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сложнее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валютой.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вывозу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эквивалент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десяти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долларов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США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никаких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превышающие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эквивалент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долларов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США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вывозиться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вывозе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десяти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долларов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США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обязательным.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превышении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десять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долларов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ввезена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туристом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Центробанка.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процедуре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десяти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долларов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«подводный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камень».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Речь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пресловутой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справке.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пересечения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справка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нужна.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помнить: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иностранной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справки.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Любой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представитель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истребовать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справку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любом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справку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лучше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действительна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выдачи.</w:t>
      </w:r>
    </w:p>
    <w:p w:rsidR="00242C77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Перемещение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рублей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регламентировано.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Турист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вывезти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пятидесяти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тысяч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рублей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декларированием.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несложную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таблицу,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испортите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ненужными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неприятностями,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границу.</w:t>
      </w:r>
    </w:p>
    <w:p w:rsidR="00242C77" w:rsidRPr="00652268" w:rsidRDefault="00242C77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C77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7" w:name="_Toc268009052"/>
      <w:r w:rsidRPr="00C03860">
        <w:rPr>
          <w:color w:val="000000"/>
          <w:kern w:val="28"/>
          <w:lang w:val="uk-UA"/>
        </w:rPr>
        <w:t>3.</w:t>
      </w:r>
      <w:r w:rsidRPr="00C03860">
        <w:rPr>
          <w:color w:val="000000"/>
          <w:kern w:val="28"/>
        </w:rPr>
        <w:t>2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Дайте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понятие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упрощенной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формы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применения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взысканий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за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нарушение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таможенных</w:t>
      </w:r>
      <w:r w:rsidR="007E0200">
        <w:rPr>
          <w:color w:val="000000"/>
          <w:kern w:val="28"/>
        </w:rPr>
        <w:t xml:space="preserve"> </w:t>
      </w:r>
      <w:r w:rsidR="00242C77" w:rsidRPr="00C03860">
        <w:rPr>
          <w:color w:val="000000"/>
          <w:kern w:val="28"/>
        </w:rPr>
        <w:t>правил</w:t>
      </w:r>
      <w:bookmarkEnd w:id="7"/>
    </w:p>
    <w:p w:rsidR="00C03860" w:rsidRPr="009D4048" w:rsidRDefault="00C03860" w:rsidP="00C03860">
      <w:pPr>
        <w:rPr>
          <w:sz w:val="28"/>
          <w:szCs w:val="28"/>
          <w:lang w:val="uk-UA"/>
        </w:rPr>
      </w:pP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соблюдения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заведению,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полномочия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Общий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38-50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Наряду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предусматривает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положениями,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содержащимися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изъятия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ускоренного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перечисленных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снижающих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всесторонности,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объективности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выяснения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Использование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383-386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Важное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приказы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комитета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апреля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177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341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приема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января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рекомендации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21.01.98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01-15/1147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процедуре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применением».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Таможенный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тремя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условиями.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Во-первых,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во-вторых,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лишь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в-третьих,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совершившего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сфере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входят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249-253,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третьей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254,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255-265,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267-270,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272,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279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ст.288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Другим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предупреждения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штрафа.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Использование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достижении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18-летнего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возраста,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защиту.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занимающихся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обнаружения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присутствовал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занимающееся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представитель.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Необходимо,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виновность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выразили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готовность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Изъятия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выражаются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следующем:</w:t>
      </w:r>
    </w:p>
    <w:p w:rsidR="002862ED" w:rsidRPr="00652268" w:rsidRDefault="002862ED" w:rsidP="0065226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дело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заводится;</w:t>
      </w:r>
    </w:p>
    <w:p w:rsidR="002862ED" w:rsidRPr="00652268" w:rsidRDefault="002862ED" w:rsidP="0065226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протокол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составляется;</w:t>
      </w:r>
    </w:p>
    <w:p w:rsidR="002862ED" w:rsidRPr="00652268" w:rsidRDefault="002862ED" w:rsidP="0065226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процессуальные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проводятся;</w:t>
      </w:r>
    </w:p>
    <w:p w:rsidR="002862ED" w:rsidRPr="00652268" w:rsidRDefault="002862ED" w:rsidP="0065226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взыскание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налагается,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обнаружения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комитет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упрощенной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форме.</w:t>
      </w:r>
    </w:p>
    <w:p w:rsidR="009D404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Упрощенная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подготовленными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обладающими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навыками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242C77" w:rsidRPr="009D4048" w:rsidRDefault="009D4048" w:rsidP="009D404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bookmarkStart w:id="8" w:name="_Toc268009053"/>
      <w:r w:rsidR="00C03860" w:rsidRPr="009D4048">
        <w:rPr>
          <w:b/>
          <w:bCs/>
          <w:color w:val="000000"/>
          <w:kern w:val="28"/>
          <w:sz w:val="28"/>
          <w:szCs w:val="28"/>
          <w:lang w:val="uk-UA"/>
        </w:rPr>
        <w:t>4</w:t>
      </w:r>
      <w:r w:rsidR="007E0200">
        <w:rPr>
          <w:b/>
          <w:bCs/>
          <w:color w:val="000000"/>
          <w:kern w:val="28"/>
          <w:sz w:val="28"/>
          <w:szCs w:val="28"/>
          <w:lang w:val="uk-UA"/>
        </w:rPr>
        <w:t xml:space="preserve"> </w:t>
      </w:r>
      <w:r w:rsidR="00516128" w:rsidRPr="009D4048">
        <w:rPr>
          <w:b/>
          <w:bCs/>
          <w:color w:val="000000"/>
          <w:kern w:val="28"/>
          <w:sz w:val="28"/>
          <w:szCs w:val="28"/>
        </w:rPr>
        <w:t>Банковское</w:t>
      </w:r>
      <w:r w:rsidR="007E0200">
        <w:rPr>
          <w:b/>
          <w:bCs/>
          <w:color w:val="000000"/>
          <w:kern w:val="28"/>
          <w:sz w:val="28"/>
          <w:szCs w:val="28"/>
        </w:rPr>
        <w:t xml:space="preserve"> </w:t>
      </w:r>
      <w:r w:rsidR="00516128" w:rsidRPr="009D4048">
        <w:rPr>
          <w:b/>
          <w:bCs/>
          <w:color w:val="000000"/>
          <w:kern w:val="28"/>
          <w:sz w:val="28"/>
          <w:szCs w:val="28"/>
        </w:rPr>
        <w:t>право</w:t>
      </w:r>
      <w:bookmarkEnd w:id="8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516128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9" w:name="_Toc268009054"/>
      <w:r w:rsidRPr="00C03860">
        <w:rPr>
          <w:color w:val="000000"/>
          <w:kern w:val="28"/>
          <w:lang w:val="uk-UA"/>
        </w:rPr>
        <w:t>4.</w:t>
      </w:r>
      <w:r w:rsidR="00516128" w:rsidRPr="00C03860">
        <w:rPr>
          <w:color w:val="000000"/>
          <w:kern w:val="28"/>
        </w:rPr>
        <w:t>1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Какие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методы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правого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регулирования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применяются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в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банковском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праве?</w:t>
      </w:r>
      <w:bookmarkEnd w:id="9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Предметом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общественные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«банковская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закрепления,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поэтому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встретить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определения: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сфере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совокупность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считать,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предметом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четкую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характеристику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Однако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проблема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науке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достаточно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дискуссионна.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выделяются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принципиально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подхода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познанию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Например,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считают,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применяемый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отраслью,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наоборот,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аналогичные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методы.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выступают: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дозволение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активные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запрещение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воздерживаться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рода;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позитивное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обязывание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активному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поведению.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Специфика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режима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обусловлена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особенностями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стыке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публичного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права.Поэтому,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например,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сторонники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комплексного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отмечают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методов: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публично</w:t>
      </w:r>
      <w:r w:rsidR="00107204" w:rsidRPr="00652268">
        <w:rPr>
          <w:color w:val="000000"/>
          <w:sz w:val="28"/>
          <w:szCs w:val="28"/>
        </w:rPr>
        <w:t>-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литературе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именуется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107204" w:rsidRPr="00652268">
        <w:rPr>
          <w:color w:val="000000"/>
          <w:sz w:val="28"/>
          <w:szCs w:val="28"/>
        </w:rPr>
        <w:t>-</w:t>
      </w:r>
      <w:r w:rsidRPr="00652268">
        <w:rPr>
          <w:color w:val="000000"/>
          <w:sz w:val="28"/>
          <w:szCs w:val="28"/>
        </w:rPr>
        <w:t>разному: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императивный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административно</w:t>
      </w:r>
      <w:r w:rsidR="00107204" w:rsidRPr="00652268">
        <w:rPr>
          <w:color w:val="000000"/>
          <w:sz w:val="28"/>
          <w:szCs w:val="28"/>
        </w:rPr>
        <w:t>-</w:t>
      </w:r>
      <w:r w:rsidRPr="00652268">
        <w:rPr>
          <w:color w:val="000000"/>
          <w:sz w:val="28"/>
          <w:szCs w:val="28"/>
        </w:rPr>
        <w:t>правовой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подчинения,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субординации,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авторитарный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д.);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гражданско-правового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метода);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комплексного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сочетание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вышеуказанных.</w:t>
      </w:r>
    </w:p>
    <w:p w:rsidR="002862ED" w:rsidRPr="00652268" w:rsidRDefault="002862E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говорить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обладает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сочетание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первичных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публично</w:t>
      </w:r>
      <w:r w:rsidR="00107204" w:rsidRPr="00652268">
        <w:rPr>
          <w:color w:val="000000"/>
          <w:sz w:val="28"/>
          <w:szCs w:val="28"/>
        </w:rPr>
        <w:t>-</w:t>
      </w:r>
      <w:r w:rsidRPr="00652268">
        <w:rPr>
          <w:color w:val="000000"/>
          <w:sz w:val="28"/>
          <w:szCs w:val="28"/>
        </w:rPr>
        <w:t>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элементов,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режим.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естественно,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своеобразие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конструкции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влияют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вариации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дозволений,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запретов,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позитивного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обязывания.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C03860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0" w:name="_Toc268009055"/>
      <w:r w:rsidRPr="00C03860">
        <w:rPr>
          <w:color w:val="000000"/>
          <w:kern w:val="28"/>
          <w:lang w:val="uk-UA"/>
        </w:rPr>
        <w:t>4.</w:t>
      </w:r>
      <w:r w:rsidR="00516128" w:rsidRPr="00C03860">
        <w:rPr>
          <w:color w:val="000000"/>
          <w:kern w:val="28"/>
        </w:rPr>
        <w:t>2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Назовите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этапы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создания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кредитной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организации</w:t>
      </w:r>
      <w:bookmarkEnd w:id="10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Создание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этапов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стадий.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этапами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считаются:</w:t>
      </w:r>
    </w:p>
    <w:p w:rsidR="005D0ABB" w:rsidRPr="00652268" w:rsidRDefault="005D0ABB" w:rsidP="006522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предварительный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этап;</w:t>
      </w:r>
    </w:p>
    <w:p w:rsidR="005D0ABB" w:rsidRPr="00652268" w:rsidRDefault="005D0ABB" w:rsidP="006522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подписание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договора;</w:t>
      </w:r>
    </w:p>
    <w:p w:rsidR="005D0ABB" w:rsidRPr="00652268" w:rsidRDefault="005D0ABB" w:rsidP="006522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государственная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регистрация;</w:t>
      </w:r>
    </w:p>
    <w:p w:rsidR="005D0ABB" w:rsidRPr="00652268" w:rsidRDefault="005D0ABB" w:rsidP="006522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получение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Предварительный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предназначен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будущей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подписания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инициаторами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договора:</w:t>
      </w:r>
    </w:p>
    <w:p w:rsidR="005D0ABB" w:rsidRPr="00652268" w:rsidRDefault="005D0ABB" w:rsidP="006522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подписания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создании)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(Департамент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оздоровления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запрос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фирменного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(полного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официального)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сокращенного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наименований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русском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языке);</w:t>
      </w:r>
    </w:p>
    <w:p w:rsidR="005D0ABB" w:rsidRPr="00652268" w:rsidRDefault="005D0ABB" w:rsidP="006522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рабочих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запроса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предполагаемому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местонахождению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фирменного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(полного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официального)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сокращенного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наименований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этап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предусматривает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подписание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предполагаемому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местонахождению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местонахождении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(адресе)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постоянно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ходатайство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двумя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лицами);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собранием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бизнес-план,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собранием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бизнес-плану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прилагается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регламентирующее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расчетов);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протокол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собрания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пошлины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тыс.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руб.)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лицензионного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0,1%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объявленного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уставе);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выписки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госреестра;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аудиторские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достоверности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балансов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прибылях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убытках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анкеты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(соответствующих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квалификационным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требованиям)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членов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директоров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(наблюдательного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препятствующих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избранию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аренды)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завершенное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строительством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здание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(помещение),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располагаться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пояснительную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записку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технической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укрепленности,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оборудованию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помещений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охранно-пожарной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тревожной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сигнализацией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охраны,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обеспечивающих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защиту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жизни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персонала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сохранность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ценностей;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(страховые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полисы)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добровольное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приобретении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5%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(долей)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предполагаемому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местонахождению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превышать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календарных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представления.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замечаний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положительное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департамент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оздоровления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рабочих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регистрирующий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экземпляр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предпринимателей",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сопроводительным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письмом;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рабочих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регистрирующего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записи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титульном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оттиск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штампа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регистрационного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вносит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Книгу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почтовым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(уполномоченному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лицу)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оригинал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регистрирующего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записи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надзор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экземпляра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публикуется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"Вестнике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России";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реквизитов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корреспондентского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открываемого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100%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месячный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уведомления;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вносит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расположенных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подведомственной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экземпляр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анкет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отметкой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экземпляру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председателю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директоров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рабочих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последняя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надзор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прилагается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заверенная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рабочий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надзор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направляет: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подведомственному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расчетно-кассовому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подписей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кандидатуры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заместителей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организации;</w:t>
      </w:r>
    </w:p>
    <w:p w:rsidR="005D0ABB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•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регистрирующий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вносит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доверенности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516128" w:rsidRPr="00652268" w:rsidRDefault="005D0AB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вновь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возникнет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лицензии.</w:t>
      </w:r>
    </w:p>
    <w:p w:rsidR="00C03860" w:rsidRDefault="00C03860" w:rsidP="00652268">
      <w:pPr>
        <w:pStyle w:val="1"/>
        <w:widowControl/>
        <w:spacing w:after="0" w:line="360" w:lineRule="auto"/>
        <w:ind w:firstLine="709"/>
        <w:jc w:val="both"/>
        <w:rPr>
          <w:b w:val="0"/>
          <w:bCs w:val="0"/>
          <w:color w:val="000000"/>
          <w:lang w:val="uk-UA"/>
        </w:rPr>
      </w:pPr>
      <w:bookmarkStart w:id="11" w:name="_Toc268009056"/>
    </w:p>
    <w:p w:rsidR="00516128" w:rsidRPr="00C03860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>
        <w:rPr>
          <w:color w:val="000000"/>
          <w:kern w:val="28"/>
          <w:lang w:val="uk-UA"/>
        </w:rPr>
        <w:t>4.</w:t>
      </w:r>
      <w:r w:rsidRPr="00C03860">
        <w:rPr>
          <w:color w:val="000000"/>
          <w:kern w:val="28"/>
        </w:rPr>
        <w:t>3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Определите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место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Агентства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по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страхованию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вкладов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в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банковской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системе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РФ</w:t>
      </w:r>
      <w:bookmarkEnd w:id="11"/>
    </w:p>
    <w:p w:rsidR="00C03860" w:rsidRPr="00C03860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F06D92" w:rsidRPr="00652268" w:rsidRDefault="008151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Агентство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январе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декабря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177-ФЗ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функционирования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выплату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вкладчикам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возмещений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наступлении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банков-участников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контролирует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формирование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фонда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взносов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фонда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августа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121-ФЗ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утратившими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(положений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введен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институт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корпоративного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конкурсного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возложены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Агентство.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октября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№175-Ф3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укрепления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стабильности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декабря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2011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наделено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еще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оздоровлению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банков.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Экспертно-аналитический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совет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корпорации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«Агентство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страхованию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вкладов»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представляет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постоянно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действующий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общественный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орган,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состав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входят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представители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банков,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ведущих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ассоциаций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научной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общественности.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Основными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задачами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Совета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оказание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экспертно-аналитического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методического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содействия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ГК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«АСВ»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решении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всего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комплекса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проблем,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обеспечением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функционирования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Агентства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корпоративного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конкурсного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управляющего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банкротстве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ликвидации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="00F06D92" w:rsidRPr="00652268">
        <w:rPr>
          <w:color w:val="000000"/>
          <w:sz w:val="28"/>
          <w:szCs w:val="28"/>
        </w:rPr>
        <w:t>организаций.</w:t>
      </w:r>
    </w:p>
    <w:p w:rsidR="008151AD" w:rsidRPr="00652268" w:rsidRDefault="00F06D92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Заседания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проводятся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ежеквартально.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задачами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являются: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содействие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укреплению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доверия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населения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привлечению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сбережений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повышению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культуры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взаимоотношений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вкладчиков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банков;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исследование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влияния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развитие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экономики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сектора;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приоритетных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направлений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совершенствования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сфере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организаций;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подготовке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методических,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материалов,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касающихся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организаций.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задач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Совет: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изучает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опыт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вырабатывает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рекомендации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её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совершенствованию;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экспертизу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функционирования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системы;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подготавливает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результатам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экспертизы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предложения;</w:t>
      </w:r>
    </w:p>
    <w:p w:rsidR="00F45C9C" w:rsidRPr="0065226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подготовку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экспертно-аналитических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докладов,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обзоров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научно-практических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комментариев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тематических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сборников;</w:t>
      </w:r>
    </w:p>
    <w:p w:rsidR="00516128" w:rsidRDefault="00F45C9C" w:rsidP="0065226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анализирует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зарубежное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практику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области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страхования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разрабатывает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рекомендации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мирового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опыта;</w:t>
      </w:r>
    </w:p>
    <w:p w:rsidR="00C03860" w:rsidRPr="00C03860" w:rsidRDefault="00C03860" w:rsidP="0065226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16128" w:rsidRDefault="00516128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2" w:name="_Toc268009057"/>
      <w:r w:rsidRPr="00C03860">
        <w:rPr>
          <w:color w:val="000000"/>
          <w:kern w:val="28"/>
        </w:rPr>
        <w:t>4.</w:t>
      </w:r>
      <w:r w:rsidR="00C03860" w:rsidRPr="00C03860">
        <w:rPr>
          <w:color w:val="000000"/>
          <w:kern w:val="28"/>
          <w:lang w:val="uk-UA"/>
        </w:rPr>
        <w:t>4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Назовите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обоснования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для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прекращения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действия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лицензии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на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осуществление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банковской</w:t>
      </w:r>
      <w:r w:rsidR="007E0200">
        <w:rPr>
          <w:color w:val="000000"/>
          <w:kern w:val="28"/>
        </w:rPr>
        <w:t xml:space="preserve"> </w:t>
      </w:r>
      <w:r w:rsidRPr="00C03860">
        <w:rPr>
          <w:color w:val="000000"/>
          <w:kern w:val="28"/>
        </w:rPr>
        <w:t>деятельности</w:t>
      </w:r>
      <w:bookmarkEnd w:id="12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отозвать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случаях: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недостоверности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лицензия;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задержки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начала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один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выдачи;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недостоверности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данных;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задержки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ежемесячной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(отчетной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документации);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5)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однократного,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лицензией;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6)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неисполнения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регулирующих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неоднократно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применялись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России)",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неоднократного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противодействии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легализации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(отмыванию)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преступным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путем".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7)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неоднократного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виновного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неисполнения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арбитражных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вкладах)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8)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ходатайства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окончания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несостоятельности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(банкротстве)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организаций",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9)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неоднократного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непредставления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обновленных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лицензиях;</w:t>
      </w:r>
    </w:p>
    <w:p w:rsidR="00C020A5" w:rsidRPr="00652268" w:rsidRDefault="00C020A5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10)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неисполнение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являющейся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управляющим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ипотечным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покрытием,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ипотечных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бумагах"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неустранение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неоднократно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применялись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России)".</w:t>
      </w:r>
    </w:p>
    <w:p w:rsidR="00C03860" w:rsidRDefault="00C03860" w:rsidP="00652268">
      <w:pPr>
        <w:pStyle w:val="1"/>
        <w:widowControl/>
        <w:spacing w:after="0" w:line="360" w:lineRule="auto"/>
        <w:ind w:firstLine="709"/>
        <w:jc w:val="both"/>
        <w:rPr>
          <w:b w:val="0"/>
          <w:bCs w:val="0"/>
          <w:color w:val="000000"/>
          <w:lang w:val="uk-UA"/>
        </w:rPr>
      </w:pPr>
      <w:bookmarkStart w:id="13" w:name="_Toc268009058"/>
    </w:p>
    <w:p w:rsidR="00516128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C03860">
        <w:rPr>
          <w:color w:val="000000"/>
          <w:kern w:val="28"/>
          <w:lang w:val="uk-UA"/>
        </w:rPr>
        <w:t>4.</w:t>
      </w:r>
      <w:r w:rsidR="00516128" w:rsidRPr="00C03860">
        <w:rPr>
          <w:color w:val="000000"/>
          <w:kern w:val="28"/>
        </w:rPr>
        <w:t>5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Дайте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характеристику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механизма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создания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кредитной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организации</w:t>
      </w:r>
      <w:bookmarkEnd w:id="13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12-13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предусматривается,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подлежат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Книгу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взимается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определяемом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объявленного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ноября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421-У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0,1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филиала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100-кратного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минимального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труда,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филиала.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поступает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выдаваемой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выдаваемой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выдаваемые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Реестр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подлежит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публикации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официальном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издании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("Вестнике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России")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публикуются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месячный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реестр.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осуществляться.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влечет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результате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двукратном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судебном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прокурора,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предъявить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арбитражный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ликвидации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Граждане,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незаконно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гражданско-правовую,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административную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уголовную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цитируемого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сказано,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документы: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ходатайством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подписание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протокол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собрания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кандидатур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5)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пошлины;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6)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аудиторские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достоверности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-юридическими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года[О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дубликатов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(копий)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см.: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августа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251-Т.];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7)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заверенные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источники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происхождения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вносимых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Госналогслужбы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ноября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ШС-6-08/855);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8)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анкеты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кандидатов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заполняемые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сведения: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высшего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экономического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диплома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заменяющего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опыта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подразделением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опыта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подразделением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лет;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(отсутствии)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них.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устанавливается,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перечисленных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превышающий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месяцев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трехдневный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уведомляет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месячный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объявленного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уставного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учредителям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4" w:name="_Toc268009059"/>
      <w:r w:rsidRPr="00C03860">
        <w:rPr>
          <w:color w:val="000000"/>
          <w:kern w:val="28"/>
          <w:lang w:val="uk-UA"/>
        </w:rPr>
        <w:t>4.</w:t>
      </w:r>
      <w:r w:rsidR="00516128" w:rsidRPr="00C03860">
        <w:rPr>
          <w:color w:val="000000"/>
          <w:kern w:val="28"/>
        </w:rPr>
        <w:t>6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Назовите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виды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банковских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вкладов</w:t>
      </w:r>
      <w:bookmarkEnd w:id="14"/>
    </w:p>
    <w:p w:rsidR="00C03860" w:rsidRPr="00C03860" w:rsidRDefault="00C03860" w:rsidP="00C03860">
      <w:pPr>
        <w:rPr>
          <w:sz w:val="28"/>
          <w:szCs w:val="28"/>
          <w:lang w:val="uk-UA"/>
        </w:rPr>
      </w:pP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Банковский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количество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помещаются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очередь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выплачивать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Впрочем,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сейчас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найти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тяжело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человека,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скрывается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термином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депозит.</w:t>
      </w:r>
    </w:p>
    <w:p w:rsid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Однако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большого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разнообразия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читателю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предлагается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лучше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разобраться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популярными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(сберегательные,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накопительные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расчетные)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востребования.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Остановимся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подробно.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Вклад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востребования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отличается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текущего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вернуть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любой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времени.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Срочные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интересны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подразумевают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вкладчиком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разорвать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любое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значительно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снизив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(проценты)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бывают:</w:t>
      </w:r>
    </w:p>
    <w:p w:rsidR="0083540C" w:rsidRPr="00652268" w:rsidRDefault="0010720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Сберегательные.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Самый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простой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вид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срочных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вкладов.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такие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вклады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обладают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минимумом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функций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под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определенный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процент.</w:t>
      </w:r>
    </w:p>
    <w:p w:rsidR="0083540C" w:rsidRPr="00652268" w:rsidRDefault="0010720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Накопительные.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Достаточно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интересный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банковский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продукт,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позволяющий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насобирать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достаточно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крупную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сумму.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Данный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депозит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пополняют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всего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срока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действия,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временем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увеличивается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процент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ваших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накоплений.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Многие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банки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предлагают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продлить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депозит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еще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один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срок.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Интересна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разновидность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этого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вклада,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клиенту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предлагается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накопить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определенное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количество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покупку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(квартиры,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авто),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чего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выдает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кредит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недостающую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сумму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покупки.</w:t>
      </w:r>
    </w:p>
    <w:p w:rsidR="0083540C" w:rsidRPr="00652268" w:rsidRDefault="0010720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Расчетные.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Этот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вклад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необходим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тем,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кто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желает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сохранить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частичный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контроль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над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своими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деньгами.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Самый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простой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пример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такого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депозита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клиент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получает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ежемесячно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проценты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свой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пластиковую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карту.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вклад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пополняемым.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банки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оговаривают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какую-то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минимальную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сумму,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должна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оставаться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счету,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иначе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будет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снижена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процентная</w:t>
      </w:r>
      <w:r w:rsidR="007E0200">
        <w:rPr>
          <w:color w:val="000000"/>
          <w:sz w:val="28"/>
          <w:szCs w:val="28"/>
        </w:rPr>
        <w:t xml:space="preserve"> </w:t>
      </w:r>
      <w:r w:rsidR="0083540C" w:rsidRPr="00652268">
        <w:rPr>
          <w:color w:val="000000"/>
          <w:sz w:val="28"/>
          <w:szCs w:val="28"/>
        </w:rPr>
        <w:t>ставка.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Специальные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многие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разрабатывают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студентов,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пенсионеров,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работников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какого-либо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предприятия.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примеру,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оформив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специализированный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пенсионеры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пенсию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(карту),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куда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автоматически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начисляются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проценты.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Экзотические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</w:t>
      </w:r>
    </w:p>
    <w:p w:rsidR="0083540C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Существует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используются,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привлекательными.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примеру,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позволяют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колебания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драгоценных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мировых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Обычно,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граммах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выбранного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начисляются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владелец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обладателем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«виртуально»,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забрать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драгоценный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расторжении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металла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конвертируется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валюту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рубли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оговаривается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заранее).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забрать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«слиток»,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издержки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гораздо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больше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накопленных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процентов.</w:t>
      </w:r>
    </w:p>
    <w:p w:rsidR="00516128" w:rsidRPr="00652268" w:rsidRDefault="0083540C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Индексируемые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продукты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позволяют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заработать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разнице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котировок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актива,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мировых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рынках.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риска,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независимости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котировок,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потеряете.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C03860" w:rsidRDefault="00C03860" w:rsidP="00C03860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5" w:name="_Toc268009060"/>
      <w:r w:rsidRPr="00C03860">
        <w:rPr>
          <w:color w:val="000000"/>
          <w:kern w:val="28"/>
          <w:lang w:val="uk-UA"/>
        </w:rPr>
        <w:t>4.</w:t>
      </w:r>
      <w:r w:rsidR="00516128" w:rsidRPr="00C03860">
        <w:rPr>
          <w:color w:val="000000"/>
          <w:kern w:val="28"/>
        </w:rPr>
        <w:t>7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Охарактеризуйте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работу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банка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при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расчетах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по</w:t>
      </w:r>
      <w:r w:rsidR="007E0200">
        <w:rPr>
          <w:color w:val="000000"/>
          <w:kern w:val="28"/>
        </w:rPr>
        <w:t xml:space="preserve"> </w:t>
      </w:r>
      <w:r w:rsidR="00516128" w:rsidRPr="00C03860">
        <w:rPr>
          <w:color w:val="000000"/>
          <w:kern w:val="28"/>
        </w:rPr>
        <w:t>ИНКАССО</w:t>
      </w:r>
      <w:bookmarkEnd w:id="15"/>
    </w:p>
    <w:p w:rsidR="00C03860" w:rsidRPr="00C03860" w:rsidRDefault="00C03860" w:rsidP="00C0386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Инкассо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широко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распространенный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продавца,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поручению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покупателя.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Передача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происходит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платежа,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проводимого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акцепта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тратт.</w:t>
      </w: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Инкассовое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поручение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списание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бесспорном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порядке.</w:t>
      </w: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поручений:</w:t>
      </w:r>
    </w:p>
    <w:p w:rsidR="005A2D94" w:rsidRPr="00652268" w:rsidRDefault="005A2D94" w:rsidP="00652268">
      <w:pPr>
        <w:numPr>
          <w:ilvl w:val="0"/>
          <w:numId w:val="5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бесспорный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выполняющими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функции;</w:t>
      </w:r>
    </w:p>
    <w:p w:rsidR="005A2D94" w:rsidRPr="00652268" w:rsidRDefault="005A2D94" w:rsidP="00652268">
      <w:pPr>
        <w:numPr>
          <w:ilvl w:val="0"/>
          <w:numId w:val="5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документам;</w:t>
      </w:r>
    </w:p>
    <w:p w:rsidR="005A2D94" w:rsidRPr="00652268" w:rsidRDefault="005A2D94" w:rsidP="00652268">
      <w:pPr>
        <w:numPr>
          <w:ilvl w:val="0"/>
          <w:numId w:val="5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сторонами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обслуживающему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безакцептного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списания.</w:t>
      </w: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доверительных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торговыми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партнерами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незначительными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суммами.</w:t>
      </w: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преимущества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сравнению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расчетов:</w:t>
      </w:r>
    </w:p>
    <w:p w:rsidR="005A2D94" w:rsidRPr="00652268" w:rsidRDefault="005A2D94" w:rsidP="00652268">
      <w:pPr>
        <w:numPr>
          <w:ilvl w:val="0"/>
          <w:numId w:val="6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товарораспорядительные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вручаются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импортеру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акцепта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тратты;</w:t>
      </w:r>
    </w:p>
    <w:p w:rsidR="005A2D94" w:rsidRPr="00652268" w:rsidRDefault="005A2D94" w:rsidP="00652268">
      <w:pPr>
        <w:numPr>
          <w:ilvl w:val="0"/>
          <w:numId w:val="6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гибкость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многих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позволяют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легко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задержек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проводить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операции;</w:t>
      </w:r>
    </w:p>
    <w:p w:rsidR="00652268" w:rsidRDefault="005A2D94" w:rsidP="00652268">
      <w:pPr>
        <w:numPr>
          <w:ilvl w:val="0"/>
          <w:numId w:val="6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тарифы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ниже,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аккредитив.</w:t>
      </w:r>
    </w:p>
    <w:p w:rsidR="005A2D94" w:rsidRPr="00652268" w:rsidRDefault="005A2D94" w:rsidP="00652268">
      <w:pPr>
        <w:tabs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Недостатки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</w:t>
      </w:r>
    </w:p>
    <w:p w:rsidR="005A2D94" w:rsidRPr="00652268" w:rsidRDefault="005A2D94" w:rsidP="00652268">
      <w:pPr>
        <w:numPr>
          <w:ilvl w:val="0"/>
          <w:numId w:val="2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Разрыв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времени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отгрузкой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передачей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платежа,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достаточно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продолжительным,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замедляет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оборачиваемость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экспортёра;</w:t>
      </w:r>
    </w:p>
    <w:p w:rsidR="005A2D94" w:rsidRPr="00652268" w:rsidRDefault="005A2D94" w:rsidP="00652268">
      <w:pPr>
        <w:numPr>
          <w:ilvl w:val="0"/>
          <w:numId w:val="2"/>
        </w:numPr>
        <w:tabs>
          <w:tab w:val="left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Отсутствие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надежности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неплатёжеспособным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прибытия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импортёра).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недостатки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преодолеваются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путём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телеграфного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позволяющего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сократить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нежелательный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разрыв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времени,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счёт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инкассо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предварительно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гарантией,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позволяет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создать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надёжность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платежа,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близкую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безотзывным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аккредитивам.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8158E5" w:rsidRDefault="00C03860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6" w:name="_Toc268009061"/>
      <w:r w:rsidRPr="008158E5">
        <w:rPr>
          <w:color w:val="000000"/>
          <w:kern w:val="28"/>
          <w:lang w:val="uk-UA"/>
        </w:rPr>
        <w:t>4.</w:t>
      </w:r>
      <w:r w:rsidR="00516128" w:rsidRPr="008158E5">
        <w:rPr>
          <w:color w:val="000000"/>
          <w:kern w:val="28"/>
        </w:rPr>
        <w:t>8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Назовите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особенности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операций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кредитных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организаций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с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неэмисионными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ценными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бумагами</w:t>
      </w:r>
      <w:bookmarkEnd w:id="16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упорядочения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временный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России:</w:t>
      </w:r>
    </w:p>
    <w:p w:rsidR="00FC689B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Постановлением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ФКЦБ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16.10.97,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векселя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принимающая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п.2.2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сопровождающееся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приеме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отражаются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внебалансовом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90803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хранения".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векселей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принадлежащих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именуемых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выполняться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требования: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штуках.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рамках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аналитического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депонента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хранения.</w:t>
      </w:r>
    </w:p>
    <w:p w:rsid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ведущие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регистрационную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(Приложение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25.07.96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Инструкция)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дополнительное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поле: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"8.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Тип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(эмиссионные,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иные)"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регистрационной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"Номер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выпуска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заполняется.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описанных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п.6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аналитического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выполняться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требования: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находящаяся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уникальный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рамках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(анкета),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параметры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зависимости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особенностей.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параметров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результате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карточку.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карточек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электронном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реквизиты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карточек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закрытого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штуках,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доступ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операционного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журнала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отражении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(бухгалтерских)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оборотов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штуках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доступ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участвовавших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обеспечивают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владельцам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одинаковые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совокупность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называется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партией.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входящим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приведенные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п.5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применяться.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правила: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Заполняется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указывать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неэмисснонных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играет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анкеты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(карточки)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выпуска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эмиссионной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выполняться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вместо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указывать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отличающих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остальных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соответственно,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уменьшено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количество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остаются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новую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равенстве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обеспечиваемых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список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корректность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Дополнительные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аналитического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приведенного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Особенности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принимающей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утвержденные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регламент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депозитария.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Соответствие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синтетических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синтетических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дополнений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бухгалтерского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расположенных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61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июня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1997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62-У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11.12.97.</w:t>
      </w:r>
    </w:p>
    <w:p w:rsidR="005A2D94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Хранение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принадлежащих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кассовых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Федерации"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N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25.03.97.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находящиеся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хранилище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отражаемые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синтетическом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98000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"Ценные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хранении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депозитарии".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возлагается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руководством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подразделение,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учета.</w:t>
      </w:r>
    </w:p>
    <w:p w:rsidR="00516128" w:rsidRPr="00652268" w:rsidRDefault="005A2D9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осуществляющею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частичный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номера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номинальной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определена).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Допускается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партии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количества.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инвентарные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карточки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(партий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неэмиссионных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бумаг),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депозитарии,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копии.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8158E5" w:rsidRDefault="00516128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17" w:name="_Toc268009062"/>
      <w:r w:rsidR="008158E5" w:rsidRPr="008158E5">
        <w:rPr>
          <w:color w:val="000000"/>
          <w:kern w:val="28"/>
          <w:lang w:val="uk-UA"/>
        </w:rPr>
        <w:t>5</w:t>
      </w:r>
      <w:r w:rsidR="007E0200">
        <w:rPr>
          <w:color w:val="000000"/>
          <w:kern w:val="28"/>
          <w:lang w:val="uk-UA"/>
        </w:rPr>
        <w:t xml:space="preserve"> </w:t>
      </w:r>
      <w:r w:rsidRPr="008158E5">
        <w:rPr>
          <w:color w:val="000000"/>
          <w:kern w:val="28"/>
        </w:rPr>
        <w:t>Налоговое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право</w:t>
      </w:r>
      <w:bookmarkEnd w:id="17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516128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18" w:name="_Toc268009063"/>
      <w:r w:rsidRPr="008158E5">
        <w:rPr>
          <w:color w:val="000000"/>
          <w:kern w:val="28"/>
          <w:lang w:val="uk-UA"/>
        </w:rPr>
        <w:t>5.</w:t>
      </w:r>
      <w:r w:rsidR="00516128" w:rsidRPr="008158E5">
        <w:rPr>
          <w:color w:val="000000"/>
          <w:kern w:val="28"/>
        </w:rPr>
        <w:t>1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каком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условии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банки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имеют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право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не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открывать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счета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организациям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индивидуальным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предпринимателям?</w:t>
      </w:r>
      <w:bookmarkEnd w:id="18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7E63C9" w:rsidRPr="00652268" w:rsidRDefault="004343B7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63C9" w:rsidRPr="00652268">
        <w:rPr>
          <w:color w:val="000000"/>
          <w:sz w:val="28"/>
          <w:szCs w:val="28"/>
        </w:rPr>
        <w:t>первые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отказать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заговорили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2006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году.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авангарде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движения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стояла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Международная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группа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борьбе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финансовыми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злоупотреблениями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(FATF).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мнению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энтузиастов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FATF,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банки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уже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накопили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достаточно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опыта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оценке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добросовестности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клиентов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могли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отказывать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подозрительным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физическим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юридическим</w:t>
      </w:r>
      <w:r w:rsidR="007E0200">
        <w:rPr>
          <w:color w:val="000000"/>
          <w:sz w:val="28"/>
          <w:szCs w:val="28"/>
        </w:rPr>
        <w:t xml:space="preserve"> </w:t>
      </w:r>
      <w:r w:rsidR="007E63C9" w:rsidRPr="00652268">
        <w:rPr>
          <w:color w:val="000000"/>
          <w:sz w:val="28"/>
          <w:szCs w:val="28"/>
        </w:rPr>
        <w:t>лицам.</w:t>
      </w:r>
    </w:p>
    <w:p w:rsidR="007E63C9" w:rsidRPr="00652268" w:rsidRDefault="007E63C9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Проникшись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серьезностью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группа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депутатов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Думы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разработала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поправки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направила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Центробанк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службу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мониторингу.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Центробанка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28-И,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разрешила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году.</w:t>
      </w:r>
    </w:p>
    <w:p w:rsidR="007E63C9" w:rsidRPr="00652268" w:rsidRDefault="007E63C9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полезности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эффективности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законопроекта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периодически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стороны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Росфинмониторинга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депутатов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Госдумы.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ничего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сделано.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очередь,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особенно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сферы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малого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бизнеса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«неинтересных»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отраслях,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громче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жалуются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казалось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простой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необременительной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счета.</w:t>
      </w:r>
    </w:p>
    <w:p w:rsidR="007E63C9" w:rsidRPr="00652268" w:rsidRDefault="007E63C9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сегодняшний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просто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Однако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сославшись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«антиотмывочный»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115-ФЗ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противодействии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легализации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(отмыванию)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преступных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путем,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финансированию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терроризма»,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(депозитам)»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28-И,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причину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неясной,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потенциального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подозрительными.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всякой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борьбы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терроризмом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заподозрить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потенциальном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компанию,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лишь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статуса).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нужны.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счета.</w:t>
      </w:r>
    </w:p>
    <w:p w:rsidR="005A4BCB" w:rsidRPr="00652268" w:rsidRDefault="005A4BC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вкладу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(депозиту)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действовавшей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Инструкции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СССР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открывался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разрешительной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надписи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счета.</w:t>
      </w:r>
    </w:p>
    <w:p w:rsidR="005A4BCB" w:rsidRPr="00652268" w:rsidRDefault="005A4BC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Клиенту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отказано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идентификации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недостоверные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проводят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идентификацию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проверяют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правоспособности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(дееспособности).</w:t>
      </w:r>
    </w:p>
    <w:p w:rsidR="005A4BCB" w:rsidRPr="00652268" w:rsidRDefault="005A4BC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идентификации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(клиентов),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выгодоприобретателей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19.08.2004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262-П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идентификации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кредитными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выгодоприобретателей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легализации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(отмыванию)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преступным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путем,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финансированию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терроризма».</w:t>
      </w:r>
    </w:p>
    <w:p w:rsidR="005A4BCB" w:rsidRPr="00652268" w:rsidRDefault="005A4BC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Банк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идентифицировать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находящееся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обслуживании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совершающее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идентифицировать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выгодоприобретателя,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выгоде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клиент,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поручения,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комиссии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доверительного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банковских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операций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8158E5" w:rsidRDefault="00516128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19" w:name="_Toc268009064"/>
      <w:r w:rsidR="008158E5" w:rsidRPr="008158E5">
        <w:rPr>
          <w:color w:val="000000"/>
          <w:kern w:val="28"/>
          <w:lang w:val="uk-UA"/>
        </w:rPr>
        <w:t>5.</w:t>
      </w:r>
      <w:r w:rsidRPr="008158E5">
        <w:rPr>
          <w:color w:val="000000"/>
          <w:kern w:val="28"/>
        </w:rPr>
        <w:t>2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В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каком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порядке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взыскиваются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санкции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за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налоговые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правонарушения</w:t>
      </w:r>
      <w:bookmarkEnd w:id="19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специфическими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мерами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(штрафов),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пре­дусмотрены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хотя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смягчающего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подлежит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уменьшению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меньше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сравнению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размером.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отягчающего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увеличивается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процентов.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правонарушений?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двух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поглощения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строгой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строгой.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предпринимателя?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судебном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114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РФ).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недоимку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штрафы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согласен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списать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бесспорном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порядке?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арбитражный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доказательства,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обосновывающие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претензии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должнику.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очередь,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оспаривать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решений.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санкции?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обратиться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шести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месяцев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обнаружения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соответствующе­го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(ч.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115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РФ).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удовлетворил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требования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инспекции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недоимок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финансовых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сокрытие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занижение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налогооблагаемой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базы,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необходимо,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недоимка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имелась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рассмотрения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дела.</w:t>
      </w:r>
    </w:p>
    <w:p w:rsidR="000C14AD" w:rsidRPr="00652268" w:rsidRDefault="000C14AD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рассматривает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денежную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выплатить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причитающихся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уплачиваемых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перемещением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таможенную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границу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сравнению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сроки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РФ).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3AF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0" w:name="_Toc268009065"/>
      <w:r w:rsidRPr="008158E5">
        <w:rPr>
          <w:color w:val="000000"/>
          <w:kern w:val="28"/>
          <w:lang w:val="uk-UA"/>
        </w:rPr>
        <w:t>5.</w:t>
      </w:r>
      <w:r w:rsidR="003E6E00" w:rsidRPr="008158E5">
        <w:rPr>
          <w:color w:val="000000"/>
          <w:kern w:val="28"/>
        </w:rPr>
        <w:t>3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Какие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действия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могут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квалифицироваться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как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налоговое</w:t>
      </w:r>
      <w:r w:rsidR="007E0200">
        <w:rPr>
          <w:color w:val="000000"/>
          <w:kern w:val="28"/>
        </w:rPr>
        <w:t xml:space="preserve"> </w:t>
      </w:r>
      <w:r w:rsidR="00B55B1F" w:rsidRPr="008158E5">
        <w:rPr>
          <w:color w:val="000000"/>
          <w:kern w:val="28"/>
        </w:rPr>
        <w:t>правонарушение</w:t>
      </w:r>
      <w:bookmarkEnd w:id="20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Статья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"виновно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противоправное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(действие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бездействие)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ответственность".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означает,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четыре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соблюдении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квалифицироваться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правонарушение.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Это,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во-первых,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противоправность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бездействия,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т.е.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несоблюдение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квалифицироваться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виновность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правонарушителя,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умысла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проявленная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неосторожность.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санкций.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Следующий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обязательный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противоправным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вредными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последствиями.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Наконец,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четвертое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наказуемости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противоправных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наступление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абсолютно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исключается.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привлечены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привлекаться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наступает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преступления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уголовным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Основания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исключительно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кодексом.</w:t>
      </w:r>
    </w:p>
    <w:p w:rsidR="00E52BD4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устанавливает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недопустимость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повторного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Одновременно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отметить,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взыскиваются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поглощения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строгих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санкций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строгими.</w:t>
      </w:r>
    </w:p>
    <w:p w:rsidR="00C17CD2" w:rsidRPr="00652268" w:rsidRDefault="00E52BD4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Привлечение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освобождает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(перечислению)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пени.</w:t>
      </w:r>
    </w:p>
    <w:p w:rsidR="008158E5" w:rsidRDefault="008158E5" w:rsidP="00652268">
      <w:pPr>
        <w:pStyle w:val="1"/>
        <w:widowControl/>
        <w:spacing w:after="0" w:line="360" w:lineRule="auto"/>
        <w:ind w:firstLine="709"/>
        <w:jc w:val="both"/>
        <w:rPr>
          <w:b w:val="0"/>
          <w:bCs w:val="0"/>
          <w:color w:val="000000"/>
          <w:lang w:val="uk-UA"/>
        </w:rPr>
      </w:pPr>
      <w:bookmarkStart w:id="21" w:name="_Toc268009066"/>
    </w:p>
    <w:p w:rsidR="00516128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4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Какой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документ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служит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основанием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для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принятия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предъявленных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сумм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налога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на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добавленную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стоимость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вычету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или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возмещению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каковы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его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реквизиты</w:t>
      </w:r>
      <w:bookmarkEnd w:id="21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516128" w:rsidRPr="00652268" w:rsidRDefault="00EF5EDB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Согласно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169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служащим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предъявленных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добавленную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возмещению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Счёт-факту́ра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выставляемый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(направляемый)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продавцом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(подрядчиком,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исполнителем)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покупателю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(заказчику).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Выставляется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согласования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Счёт-фактура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(расчёта).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зависимости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различные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функции.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Например,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странах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Евросоюза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счёт-фактура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акцизов,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СССР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оборота.</w:t>
      </w:r>
    </w:p>
    <w:p w:rsidR="00EF5EDB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счета-фактуры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реквизиты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закреплены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Счёт-фактура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оформляемый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продавцом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(работ,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возложена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служащим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предъявленных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продавцом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Счёт-фактура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информацию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наименовании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реквизитах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продавца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покупателя,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перечне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цене,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ставке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прочих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показателях.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счетов-фактур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НДС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формируется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«Книга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покупок»,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счетов-фактур</w:t>
      </w:r>
      <w:r w:rsidR="007E0200">
        <w:rPr>
          <w:color w:val="000000"/>
          <w:sz w:val="28"/>
          <w:szCs w:val="28"/>
        </w:rPr>
        <w:t xml:space="preserve"> </w:t>
      </w:r>
      <w:r w:rsidR="00107204"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«Книга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продаж».</w:t>
      </w:r>
    </w:p>
    <w:p w:rsidR="00516128" w:rsidRPr="00652268" w:rsidRDefault="00516128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128" w:rsidRPr="008158E5" w:rsidRDefault="00383223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2" w:name="_Toc268009067"/>
      <w:r w:rsidRPr="008158E5">
        <w:rPr>
          <w:color w:val="000000"/>
          <w:kern w:val="28"/>
        </w:rPr>
        <w:t>5</w:t>
      </w:r>
      <w:r w:rsidR="00516128" w:rsidRPr="008158E5">
        <w:rPr>
          <w:color w:val="000000"/>
          <w:kern w:val="28"/>
        </w:rPr>
        <w:t>.</w:t>
      </w:r>
      <w:r w:rsidR="008158E5" w:rsidRPr="008158E5">
        <w:rPr>
          <w:color w:val="000000"/>
          <w:kern w:val="28"/>
          <w:lang w:val="uk-UA"/>
        </w:rPr>
        <w:t>5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Какие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категории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налогоплательщиков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имеют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право</w:t>
      </w:r>
      <w:r w:rsidR="007E0200">
        <w:rPr>
          <w:color w:val="000000"/>
          <w:kern w:val="28"/>
        </w:rPr>
        <w:t xml:space="preserve"> </w:t>
      </w:r>
      <w:r w:rsidR="00516128" w:rsidRPr="008158E5">
        <w:rPr>
          <w:color w:val="000000"/>
          <w:kern w:val="28"/>
        </w:rPr>
        <w:t>на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профессиональные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вычеты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уплате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налога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доходы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физического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лица</w:t>
      </w:r>
      <w:bookmarkEnd w:id="22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исчислении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210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категории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налогоплательщиков: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227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фактически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произведенных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извлечением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самостоятельно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аналогичном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«Налог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прибыль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относится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пошлина,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подпункте,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являющееся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«Налог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жилых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домов,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квартир,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гаражей),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используется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состоянии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подтвердить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зарегистрированных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предпринимателей»;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Данный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предпринимателям,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нотариусам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занимающимся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практикой.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Вычет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фактически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произведенных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извлечением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аналогично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прибыль,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(далее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«Налог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прибыль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организаций».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Кроме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того,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ноября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2004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№127-ФЗ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внесении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первую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вторую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утратившими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отдельных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(положений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относится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пошлина,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Необходимо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учитываются: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статьями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главы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«Налог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жилых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домов,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квартир,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гаражей)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–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используемому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единого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социального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индивидуальным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отчетном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ставкам,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работодателя,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наемным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работникам;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начисленные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действующим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зачету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несколько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совокупная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осуществляемой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деятельностью,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профессиональный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размере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%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базы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учитываться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одновременно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норматива.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Профессиональные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окончании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доходы.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«2)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(оказания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гражданско-правового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фактически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произведенных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(оказанием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услуг)».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Расходы,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принимаемые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относиться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подтверждены.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каких-либо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относительно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выполнением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работ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расходы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заказчиком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компенсируются,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производятся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исполнителя.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Профессиональные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вычеты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предоставляются: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а)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налогоплательщика;</w:t>
      </w:r>
    </w:p>
    <w:p w:rsidR="00C52911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б)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окончании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периода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письменного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декларацией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доходы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агентами,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источника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Федерации.</w:t>
      </w:r>
    </w:p>
    <w:p w:rsidR="00C52911" w:rsidRPr="00652268" w:rsidRDefault="00C52911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911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3" w:name="_Toc268009068"/>
      <w:r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6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Кто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может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быть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привлечен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в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качестве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свидетеля</w:t>
      </w:r>
      <w:bookmarkEnd w:id="23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вызвано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любое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известны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какие-либо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подлежащие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делу.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обязывающее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явиться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вызову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время,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251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правонарушениях.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поскольку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административных,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применимо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неявки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уклонения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уважительных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причин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влечет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первой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</w:p>
    <w:p w:rsidR="00DB1A8E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Процессуальным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возложена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правдивые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показания.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оговаривает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только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основаниям,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случаи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иммунитета,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священнослужителя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разглашать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ставшие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известными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исповеди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УПК);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свидетельствовать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против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себя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самого,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супруга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близких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родственников,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круг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51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Конституции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др.</w:t>
      </w:r>
    </w:p>
    <w:p w:rsidR="00C52911" w:rsidRPr="00652268" w:rsidRDefault="00DB1A8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Неправомерный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отказ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влечет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второй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128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Здесь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ответственность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заведомо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ложных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показаний.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Заведомость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говорит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правонарушение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прямым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умыслом,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неосторожности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исключаются.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Ложным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показание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будет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считаться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тогда,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когда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частично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искажены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важные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существу.</w:t>
      </w:r>
    </w:p>
    <w:p w:rsidR="00C52911" w:rsidRPr="00652268" w:rsidRDefault="00C52911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911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4" w:name="_Toc268009069"/>
      <w:r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7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каких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условиях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привлекаются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специалисты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для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проведения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налоговой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проверки</w:t>
      </w:r>
      <w:bookmarkEnd w:id="24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4405C6" w:rsidRPr="00652268" w:rsidRDefault="004405C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Пунктом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96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контроля.</w:t>
      </w:r>
    </w:p>
    <w:p w:rsidR="004405C6" w:rsidRPr="00652268" w:rsidRDefault="004405C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связаны:</w:t>
      </w:r>
    </w:p>
    <w:p w:rsidR="004405C6" w:rsidRPr="00652268" w:rsidRDefault="004405C6" w:rsidP="0065226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процессе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выездных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проверок.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говоря,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82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вправе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привлекать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ссылаясь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95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РФ;</w:t>
      </w:r>
    </w:p>
    <w:p w:rsidR="004405C6" w:rsidRPr="00652268" w:rsidRDefault="004405C6" w:rsidP="0065226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недостаточностью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собственных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навыков,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умений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контроль;</w:t>
      </w:r>
    </w:p>
    <w:p w:rsidR="004405C6" w:rsidRPr="00652268" w:rsidRDefault="004405C6" w:rsidP="0065226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подменять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собой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Иначе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говоря,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носить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специализированный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характер,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быть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разовыми,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систематическими.</w:t>
      </w:r>
    </w:p>
    <w:p w:rsidR="004405C6" w:rsidRPr="00652268" w:rsidRDefault="004405C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отличие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привлекается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помощи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действий.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Например,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выемки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помощь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вскрытии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сейфа,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экспертизы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помогает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правильно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эксперта.</w:t>
      </w:r>
    </w:p>
    <w:p w:rsidR="004405C6" w:rsidRPr="00652268" w:rsidRDefault="004405C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Привлечение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предполагает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лишь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разъяснения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(пояснений)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вопросов,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выражается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заключения,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лишь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мнение,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имеющее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процессуального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значения,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послужить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поводом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экспертизы.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исключает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возможности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опроса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свидетеля.</w:t>
      </w:r>
    </w:p>
    <w:p w:rsidR="00C52911" w:rsidRPr="00652268" w:rsidRDefault="004405C6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Привлечение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качестве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специалиста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основе.</w:t>
      </w:r>
    </w:p>
    <w:p w:rsidR="00C52911" w:rsidRPr="00652268" w:rsidRDefault="00C52911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911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5" w:name="_Toc268009070"/>
      <w:r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8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Могут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ли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быть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признаны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взаимозависимыми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физическое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лицо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организация</w:t>
      </w:r>
      <w:bookmarkEnd w:id="25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Статьей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введено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новое,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применяемое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"взаимозависимые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лица".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Вместе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известны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многом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сходные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ассоциированных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аффилированных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ассоциированными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Соглашениях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избежании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двойного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понимаются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прямо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косвенно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участвующие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контроле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капитале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предприятия.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Понятие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аффилированных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содержится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нормативных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правовых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включая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следующие: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Закон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22.03.1991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948-1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"О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конкуренции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монополистической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рынках";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Распоряжение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Госкомимущества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05.04..1994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723-р.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Аффилированные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способные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оказывать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влияние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юридических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предпринимательскую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(статья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22.03.1991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№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948-1).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Итак,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говоря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взаимозависимых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следует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отметить,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что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РФ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установил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ряд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признаков,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безусловно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взаимозависимыми.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Взаимозависимыми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целей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признаются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оказывать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влияние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условия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экономические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результаты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представляемых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именно: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косвенно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участвует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суммарная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составляет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более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20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процентов.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косвенного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через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последовательность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определяется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виде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произведения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непосредственного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участия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последовательности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другой;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одно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подчиняется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другому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должностному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положению;</w:t>
      </w:r>
    </w:p>
    <w:p w:rsidR="003400FA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состоят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семейным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брачных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родства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свойства,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усыновителя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усыновленного,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опекаемого.</w:t>
      </w:r>
    </w:p>
    <w:p w:rsidR="00C52911" w:rsidRPr="00652268" w:rsidRDefault="003400FA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Суд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может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взаимозависимыми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основаниям,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пунктом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отношения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между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могут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повлиять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результаты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реализации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товаров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(работ,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услуг).</w:t>
      </w:r>
    </w:p>
    <w:p w:rsidR="00C52911" w:rsidRPr="00652268" w:rsidRDefault="00C52911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911" w:rsidRPr="008158E5" w:rsidRDefault="008158E5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bookmarkStart w:id="26" w:name="_Toc268009071"/>
      <w:r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9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наличии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каких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оснований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возникает,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изменяется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прекращается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обязательство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по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уплате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налога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и</w:t>
      </w:r>
      <w:r w:rsidR="007E0200">
        <w:rPr>
          <w:color w:val="000000"/>
          <w:kern w:val="28"/>
        </w:rPr>
        <w:t xml:space="preserve"> </w:t>
      </w:r>
      <w:r w:rsidR="00C52911" w:rsidRPr="008158E5">
        <w:rPr>
          <w:color w:val="000000"/>
          <w:kern w:val="28"/>
        </w:rPr>
        <w:t>сбора</w:t>
      </w:r>
      <w:bookmarkEnd w:id="26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Обязанность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возникает,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изменяется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прекращается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наличии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оснований,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сборах.</w:t>
      </w: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Обязанность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конкретного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возлагается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момента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возникновения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предусматривающих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сбора.</w:t>
      </w: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Обязанность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прекращается:</w:t>
      </w: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1)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плательщиком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сбора;</w:t>
      </w: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2)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возникновением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обстоятельств,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связывает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прекращение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уплате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сбора;</w:t>
      </w:r>
    </w:p>
    <w:p w:rsid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3)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смертью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умершим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порядке,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Федерации.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Задолженность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поимущественным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налогам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умершего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умершим,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погашается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пределах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стоимости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наследственного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имущества;</w:t>
      </w:r>
    </w:p>
    <w:p w:rsidR="00C52911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4)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ликвидацией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организации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-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налогоплательщика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проведения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ликвидационной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комиссией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всех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расчетов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бюджетами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(внебюджетными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фондами)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статьей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49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Кодекса.</w:t>
      </w:r>
    </w:p>
    <w:p w:rsidR="00C52911" w:rsidRPr="00652268" w:rsidRDefault="00C52911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911" w:rsidRPr="008158E5" w:rsidRDefault="00C52911" w:rsidP="008158E5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27" w:name="_Toc268009072"/>
      <w:r w:rsidR="008158E5" w:rsidRPr="008158E5">
        <w:rPr>
          <w:color w:val="000000"/>
          <w:kern w:val="28"/>
          <w:lang w:val="uk-UA"/>
        </w:rPr>
        <w:t>5.</w:t>
      </w:r>
      <w:r w:rsidR="00383223" w:rsidRPr="008158E5">
        <w:rPr>
          <w:color w:val="000000"/>
          <w:kern w:val="28"/>
        </w:rPr>
        <w:t>10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Какие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органы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выполняют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обязанность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сообщать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в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налоговые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органы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сведения,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связанные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с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учетом</w:t>
      </w:r>
      <w:r w:rsidR="007E0200">
        <w:rPr>
          <w:color w:val="000000"/>
          <w:kern w:val="28"/>
        </w:rPr>
        <w:t xml:space="preserve"> </w:t>
      </w:r>
      <w:r w:rsidR="002D7C53" w:rsidRPr="008158E5">
        <w:rPr>
          <w:color w:val="000000"/>
          <w:kern w:val="28"/>
        </w:rPr>
        <w:t>налогоплательщиков</w:t>
      </w:r>
      <w:bookmarkEnd w:id="27"/>
    </w:p>
    <w:p w:rsidR="008158E5" w:rsidRPr="008158E5" w:rsidRDefault="008158E5" w:rsidP="008158E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юстиции,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наделяющие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нотариусов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полномочиями,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получивших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назначенных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должность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нотариуса,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занимающегося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практикой,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освобожденных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издания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приказа.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Советы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палат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30-го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числа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каждого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месяца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членами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палаты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субъекта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избранной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образования,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приостановлении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(возобновлении)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прекращении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статуса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адвоката.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актов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состояния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соответственно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либо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смерти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фактов.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государственную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недвижимое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сделок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ним,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транспортных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расположенном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подведомственной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недвижимом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транспортных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средствах,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зарегистрированных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(правах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сделках,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зарегистрированных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органах),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владельцах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попечительства,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воспитательные,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лечебные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социальной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защиты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населения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аналогичные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учреждения,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федеральным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законодательством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подопечного,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недееспособными,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попечительстве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малолетних,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несовершеннолетних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ограниченных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дееспособности,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дееспособных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над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которыми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установлено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попечительство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форме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патронажа,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физических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признанных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судом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безвестно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отсутствующими,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последующих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указанной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опекой,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попечительством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управлением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имуществом,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принятия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решения.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(учреждения),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уполномоченные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совершать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нотариальные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действия,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нотариусы,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частную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практику,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нотариальном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наследство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договоров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дарения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позднее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нотариального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если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иное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предусмотрено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настоящим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Кодексом.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учет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(или)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регистрацию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пользователей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природными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ресурсами,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также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лицензирование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деятельности,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связанной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пользованием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этими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ресурсами,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предоставлении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прав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такое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пользование,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являющихся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объектом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налогообложения,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своего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нахождения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10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после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регистрации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(выдачи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соответствующей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лицензии,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разрешения)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природопользователя.</w:t>
      </w:r>
    </w:p>
    <w:p w:rsidR="0075474E" w:rsidRPr="00652268" w:rsidRDefault="0075474E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Органы,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осуществляющие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замену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документов,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удостоверяющих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личность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обязаны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сообщать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налоговый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месту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жительства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сведения:</w:t>
      </w:r>
    </w:p>
    <w:p w:rsidR="0075474E" w:rsidRPr="00652268" w:rsidRDefault="0075474E" w:rsidP="006522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замены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личность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изменениях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персональных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данных,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содержащихся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вновь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выданном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документе,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пяти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выдачи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нового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документа;</w:t>
      </w:r>
    </w:p>
    <w:p w:rsidR="002D7C53" w:rsidRPr="00652268" w:rsidRDefault="0075474E" w:rsidP="006522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2268">
        <w:rPr>
          <w:color w:val="000000"/>
          <w:sz w:val="28"/>
          <w:szCs w:val="28"/>
        </w:rPr>
        <w:t>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фактах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подачи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гражданином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эти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органы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заявления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об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утрате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документа,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удостоверяющего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личность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гражданина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на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территории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Российской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Федерации,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в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течение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трех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дней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со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дня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его</w:t>
      </w:r>
      <w:r w:rsidR="007E0200">
        <w:rPr>
          <w:color w:val="000000"/>
          <w:sz w:val="28"/>
          <w:szCs w:val="28"/>
        </w:rPr>
        <w:t xml:space="preserve"> </w:t>
      </w:r>
      <w:r w:rsidRPr="00652268">
        <w:rPr>
          <w:color w:val="000000"/>
          <w:sz w:val="28"/>
          <w:szCs w:val="28"/>
        </w:rPr>
        <w:t>подачи.</w:t>
      </w:r>
    </w:p>
    <w:p w:rsidR="002D7C53" w:rsidRPr="00652268" w:rsidRDefault="002D7C53" w:rsidP="00652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7C53" w:rsidRDefault="00330D47" w:rsidP="00B0391A">
      <w:pPr>
        <w:pStyle w:val="1"/>
        <w:widowControl/>
        <w:spacing w:after="0" w:line="360" w:lineRule="auto"/>
        <w:ind w:firstLine="709"/>
        <w:rPr>
          <w:color w:val="000000"/>
          <w:kern w:val="28"/>
          <w:lang w:val="uk-UA"/>
        </w:rPr>
      </w:pPr>
      <w:r w:rsidRPr="00652268">
        <w:rPr>
          <w:b w:val="0"/>
          <w:bCs w:val="0"/>
          <w:color w:val="000000"/>
        </w:rPr>
        <w:br w:type="page"/>
      </w:r>
      <w:bookmarkStart w:id="28" w:name="_Toc268009073"/>
      <w:r w:rsidRPr="008158E5">
        <w:rPr>
          <w:color w:val="000000"/>
          <w:kern w:val="28"/>
        </w:rPr>
        <w:t>Список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использованной</w:t>
      </w:r>
      <w:r w:rsidR="007E0200">
        <w:rPr>
          <w:color w:val="000000"/>
          <w:kern w:val="28"/>
        </w:rPr>
        <w:t xml:space="preserve"> </w:t>
      </w:r>
      <w:r w:rsidRPr="008158E5">
        <w:rPr>
          <w:color w:val="000000"/>
          <w:kern w:val="28"/>
        </w:rPr>
        <w:t>литературы</w:t>
      </w:r>
      <w:bookmarkEnd w:id="28"/>
    </w:p>
    <w:p w:rsidR="008158E5" w:rsidRPr="008158E5" w:rsidRDefault="008158E5" w:rsidP="00B0391A">
      <w:pPr>
        <w:spacing w:line="360" w:lineRule="auto"/>
        <w:jc w:val="center"/>
        <w:rPr>
          <w:sz w:val="28"/>
          <w:szCs w:val="28"/>
          <w:lang w:val="uk-UA"/>
        </w:rPr>
      </w:pP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Андреева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Л.В.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Коммерческое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Волтерс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Клувер,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Богуславский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М.М.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Международное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частное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Практикум.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Юристъ,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2008.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Викторова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Н.Г.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Налоговое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Краткий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курс.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СПб.: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Питер,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2010.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Гетьман-Павлова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И.В.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Международное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частное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Конспект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лекций.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Юрайт-Издат,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Ерпылева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Н.Ю.,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Гетьман-Павлова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И.В.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Международное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частное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Практикум.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Эксмо,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2007.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Завражных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М.Л.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Таможенное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Омега-Л,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2007.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Комментарий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Налоговому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кодексу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Российской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Федерации.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Частям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1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и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/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Под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редакцией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Ф.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Кваши.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Юрайт-Издат,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Косаренко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Н.Н.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Таможенное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Курс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лекций.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Флинта,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МПСИ,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Пугинский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Б.И.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Коммерческое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Юрайт,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2010.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Свит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Ю.П.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Коммерческое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Конспект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лекций.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Юрайт,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2010.</w:t>
      </w:r>
    </w:p>
    <w:p w:rsidR="00187DA4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Тимошенко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И.В.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Таможенное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России.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Ростов-на-Дону: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Феникс,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</w:p>
    <w:p w:rsidR="00330D47" w:rsidRPr="008158E5" w:rsidRDefault="00187DA4" w:rsidP="008158E5">
      <w:pPr>
        <w:numPr>
          <w:ilvl w:val="1"/>
          <w:numId w:val="7"/>
        </w:numPr>
        <w:tabs>
          <w:tab w:val="num" w:pos="1134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8158E5">
        <w:rPr>
          <w:color w:val="000000"/>
          <w:kern w:val="28"/>
          <w:sz w:val="28"/>
          <w:szCs w:val="28"/>
        </w:rPr>
        <w:t>Толчинский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М.А.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Банковское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право.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Конспект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лекций.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–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М.: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Высшее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образование,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Юрайт-Издат,</w:t>
      </w:r>
      <w:r w:rsidR="007E0200">
        <w:rPr>
          <w:color w:val="000000"/>
          <w:kern w:val="28"/>
          <w:sz w:val="28"/>
          <w:szCs w:val="28"/>
        </w:rPr>
        <w:t xml:space="preserve"> </w:t>
      </w:r>
      <w:r w:rsidRPr="008158E5">
        <w:rPr>
          <w:color w:val="000000"/>
          <w:kern w:val="28"/>
          <w:sz w:val="28"/>
          <w:szCs w:val="28"/>
        </w:rPr>
        <w:t>2009.</w:t>
      </w:r>
      <w:bookmarkStart w:id="29" w:name="_GoBack"/>
      <w:bookmarkEnd w:id="29"/>
    </w:p>
    <w:sectPr w:rsidR="00330D47" w:rsidRPr="008158E5" w:rsidSect="00652268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74" w:rsidRDefault="00940D74" w:rsidP="00A76F28">
      <w:r>
        <w:separator/>
      </w:r>
    </w:p>
  </w:endnote>
  <w:endnote w:type="continuationSeparator" w:id="0">
    <w:p w:rsidR="00940D74" w:rsidRDefault="00940D74" w:rsidP="00A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74" w:rsidRDefault="00940D74" w:rsidP="00A76F28">
      <w:r>
        <w:separator/>
      </w:r>
    </w:p>
  </w:footnote>
  <w:footnote w:type="continuationSeparator" w:id="0">
    <w:p w:rsidR="00940D74" w:rsidRDefault="00940D74" w:rsidP="00A7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DED"/>
    <w:multiLevelType w:val="hybridMultilevel"/>
    <w:tmpl w:val="AA027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8A75A2"/>
    <w:multiLevelType w:val="hybridMultilevel"/>
    <w:tmpl w:val="0DAC00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87470D7"/>
    <w:multiLevelType w:val="hybridMultilevel"/>
    <w:tmpl w:val="75E2C5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D21E07"/>
    <w:multiLevelType w:val="hybridMultilevel"/>
    <w:tmpl w:val="38662B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555561"/>
    <w:multiLevelType w:val="hybridMultilevel"/>
    <w:tmpl w:val="6CFEA4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192121"/>
    <w:multiLevelType w:val="hybridMultilevel"/>
    <w:tmpl w:val="51386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EAA304E"/>
    <w:multiLevelType w:val="hybridMultilevel"/>
    <w:tmpl w:val="B82871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C7015A7"/>
    <w:multiLevelType w:val="hybridMultilevel"/>
    <w:tmpl w:val="D0B2DE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2B"/>
    <w:rsid w:val="00010EDD"/>
    <w:rsid w:val="00024D2B"/>
    <w:rsid w:val="00026A56"/>
    <w:rsid w:val="00057B0E"/>
    <w:rsid w:val="00061384"/>
    <w:rsid w:val="00061B9B"/>
    <w:rsid w:val="00066130"/>
    <w:rsid w:val="00066E60"/>
    <w:rsid w:val="000813D9"/>
    <w:rsid w:val="00092392"/>
    <w:rsid w:val="00092CDD"/>
    <w:rsid w:val="000A03D2"/>
    <w:rsid w:val="000B2391"/>
    <w:rsid w:val="000C14AD"/>
    <w:rsid w:val="000D1CED"/>
    <w:rsid w:val="000D2AE6"/>
    <w:rsid w:val="000D36ED"/>
    <w:rsid w:val="000E491F"/>
    <w:rsid w:val="000E765F"/>
    <w:rsid w:val="000F3B8C"/>
    <w:rsid w:val="000F623D"/>
    <w:rsid w:val="00105409"/>
    <w:rsid w:val="00107204"/>
    <w:rsid w:val="00107CC0"/>
    <w:rsid w:val="00120944"/>
    <w:rsid w:val="00130F93"/>
    <w:rsid w:val="001321CF"/>
    <w:rsid w:val="0014249E"/>
    <w:rsid w:val="001563E1"/>
    <w:rsid w:val="00162F71"/>
    <w:rsid w:val="00163801"/>
    <w:rsid w:val="00175553"/>
    <w:rsid w:val="00176F25"/>
    <w:rsid w:val="00187DA4"/>
    <w:rsid w:val="00194ABE"/>
    <w:rsid w:val="001A2167"/>
    <w:rsid w:val="001A3946"/>
    <w:rsid w:val="001B7B9D"/>
    <w:rsid w:val="001C10A4"/>
    <w:rsid w:val="001C3479"/>
    <w:rsid w:val="001C3ADD"/>
    <w:rsid w:val="001D095A"/>
    <w:rsid w:val="001E4263"/>
    <w:rsid w:val="00200767"/>
    <w:rsid w:val="00200FCE"/>
    <w:rsid w:val="00210D46"/>
    <w:rsid w:val="00223095"/>
    <w:rsid w:val="00223116"/>
    <w:rsid w:val="0023382E"/>
    <w:rsid w:val="00242C77"/>
    <w:rsid w:val="00251E20"/>
    <w:rsid w:val="0027353D"/>
    <w:rsid w:val="002862ED"/>
    <w:rsid w:val="00293B6B"/>
    <w:rsid w:val="002A7FC2"/>
    <w:rsid w:val="002C778B"/>
    <w:rsid w:val="002D7C53"/>
    <w:rsid w:val="002E2E79"/>
    <w:rsid w:val="002E4D70"/>
    <w:rsid w:val="002E52A1"/>
    <w:rsid w:val="002F4B25"/>
    <w:rsid w:val="002F7B02"/>
    <w:rsid w:val="00300EE3"/>
    <w:rsid w:val="00304494"/>
    <w:rsid w:val="00316F80"/>
    <w:rsid w:val="003252B6"/>
    <w:rsid w:val="00330D47"/>
    <w:rsid w:val="003329FD"/>
    <w:rsid w:val="00337AC7"/>
    <w:rsid w:val="003400FA"/>
    <w:rsid w:val="00342A8D"/>
    <w:rsid w:val="00357388"/>
    <w:rsid w:val="0037076D"/>
    <w:rsid w:val="00383223"/>
    <w:rsid w:val="003844E8"/>
    <w:rsid w:val="003A45AA"/>
    <w:rsid w:val="003B5407"/>
    <w:rsid w:val="003B5CF8"/>
    <w:rsid w:val="003C224E"/>
    <w:rsid w:val="003C352B"/>
    <w:rsid w:val="003D2317"/>
    <w:rsid w:val="003D3661"/>
    <w:rsid w:val="003D3FD6"/>
    <w:rsid w:val="003E6E00"/>
    <w:rsid w:val="003E769B"/>
    <w:rsid w:val="00405A54"/>
    <w:rsid w:val="004108C3"/>
    <w:rsid w:val="004135FA"/>
    <w:rsid w:val="0041555B"/>
    <w:rsid w:val="0042089C"/>
    <w:rsid w:val="00425390"/>
    <w:rsid w:val="00425D7E"/>
    <w:rsid w:val="00430009"/>
    <w:rsid w:val="004343B7"/>
    <w:rsid w:val="004405C6"/>
    <w:rsid w:val="0044210A"/>
    <w:rsid w:val="0044314D"/>
    <w:rsid w:val="004447E1"/>
    <w:rsid w:val="00445EB6"/>
    <w:rsid w:val="00447F67"/>
    <w:rsid w:val="00450D60"/>
    <w:rsid w:val="00451D11"/>
    <w:rsid w:val="00457F95"/>
    <w:rsid w:val="004641A2"/>
    <w:rsid w:val="004801D0"/>
    <w:rsid w:val="00492A18"/>
    <w:rsid w:val="0049438B"/>
    <w:rsid w:val="004C1140"/>
    <w:rsid w:val="004D35CF"/>
    <w:rsid w:val="004F2B5D"/>
    <w:rsid w:val="00502290"/>
    <w:rsid w:val="0050365A"/>
    <w:rsid w:val="00516128"/>
    <w:rsid w:val="0054067E"/>
    <w:rsid w:val="005458C4"/>
    <w:rsid w:val="00547037"/>
    <w:rsid w:val="0055023E"/>
    <w:rsid w:val="00561672"/>
    <w:rsid w:val="0059337C"/>
    <w:rsid w:val="00594FB9"/>
    <w:rsid w:val="005A2D94"/>
    <w:rsid w:val="005A4BCB"/>
    <w:rsid w:val="005A6483"/>
    <w:rsid w:val="005A6E43"/>
    <w:rsid w:val="005B08E2"/>
    <w:rsid w:val="005B429D"/>
    <w:rsid w:val="005D0ABB"/>
    <w:rsid w:val="005E0C49"/>
    <w:rsid w:val="005E3022"/>
    <w:rsid w:val="005F580B"/>
    <w:rsid w:val="006013E5"/>
    <w:rsid w:val="00602F7D"/>
    <w:rsid w:val="00603378"/>
    <w:rsid w:val="00614977"/>
    <w:rsid w:val="00614F8E"/>
    <w:rsid w:val="00624172"/>
    <w:rsid w:val="006404E1"/>
    <w:rsid w:val="006419DF"/>
    <w:rsid w:val="00652268"/>
    <w:rsid w:val="00661E88"/>
    <w:rsid w:val="00667230"/>
    <w:rsid w:val="00672EAB"/>
    <w:rsid w:val="006739BF"/>
    <w:rsid w:val="00675026"/>
    <w:rsid w:val="00681A08"/>
    <w:rsid w:val="006A0D36"/>
    <w:rsid w:val="006A2C07"/>
    <w:rsid w:val="006A5AC5"/>
    <w:rsid w:val="006A6447"/>
    <w:rsid w:val="006B77AB"/>
    <w:rsid w:val="006C220F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27642"/>
    <w:rsid w:val="0073361E"/>
    <w:rsid w:val="007357D9"/>
    <w:rsid w:val="00737486"/>
    <w:rsid w:val="0075474E"/>
    <w:rsid w:val="007701ED"/>
    <w:rsid w:val="0077424A"/>
    <w:rsid w:val="0078274D"/>
    <w:rsid w:val="00783EAC"/>
    <w:rsid w:val="00785114"/>
    <w:rsid w:val="007A69E6"/>
    <w:rsid w:val="007C1F45"/>
    <w:rsid w:val="007C49DB"/>
    <w:rsid w:val="007C4EAD"/>
    <w:rsid w:val="007D4F87"/>
    <w:rsid w:val="007E0200"/>
    <w:rsid w:val="007E63C9"/>
    <w:rsid w:val="007E7AB4"/>
    <w:rsid w:val="007E7E93"/>
    <w:rsid w:val="00811163"/>
    <w:rsid w:val="008151AD"/>
    <w:rsid w:val="00815598"/>
    <w:rsid w:val="008158E5"/>
    <w:rsid w:val="008235C3"/>
    <w:rsid w:val="0083540C"/>
    <w:rsid w:val="00844409"/>
    <w:rsid w:val="00853C54"/>
    <w:rsid w:val="00856E39"/>
    <w:rsid w:val="00860B56"/>
    <w:rsid w:val="00867BEA"/>
    <w:rsid w:val="00870D62"/>
    <w:rsid w:val="00896BCE"/>
    <w:rsid w:val="00896DE6"/>
    <w:rsid w:val="008B3FA3"/>
    <w:rsid w:val="008C1D7D"/>
    <w:rsid w:val="008E00D7"/>
    <w:rsid w:val="008E2C56"/>
    <w:rsid w:val="008E5E1E"/>
    <w:rsid w:val="00907B2F"/>
    <w:rsid w:val="0091401C"/>
    <w:rsid w:val="00915F5B"/>
    <w:rsid w:val="00940D74"/>
    <w:rsid w:val="0094161E"/>
    <w:rsid w:val="0095702A"/>
    <w:rsid w:val="00976B8F"/>
    <w:rsid w:val="00977B03"/>
    <w:rsid w:val="00986207"/>
    <w:rsid w:val="00991FE6"/>
    <w:rsid w:val="009B423C"/>
    <w:rsid w:val="009B4A84"/>
    <w:rsid w:val="009B4DC8"/>
    <w:rsid w:val="009B5079"/>
    <w:rsid w:val="009C110F"/>
    <w:rsid w:val="009C3DFD"/>
    <w:rsid w:val="009D20CB"/>
    <w:rsid w:val="009D4048"/>
    <w:rsid w:val="009D4C49"/>
    <w:rsid w:val="009E2619"/>
    <w:rsid w:val="009E7FCC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42CA"/>
    <w:rsid w:val="00A75D0E"/>
    <w:rsid w:val="00A76F14"/>
    <w:rsid w:val="00A76F28"/>
    <w:rsid w:val="00A868FA"/>
    <w:rsid w:val="00AC0A69"/>
    <w:rsid w:val="00AD67E4"/>
    <w:rsid w:val="00AE0B8D"/>
    <w:rsid w:val="00AE4911"/>
    <w:rsid w:val="00AE7D82"/>
    <w:rsid w:val="00B0391A"/>
    <w:rsid w:val="00B11FA0"/>
    <w:rsid w:val="00B20874"/>
    <w:rsid w:val="00B22CB4"/>
    <w:rsid w:val="00B25540"/>
    <w:rsid w:val="00B32A7E"/>
    <w:rsid w:val="00B34BAD"/>
    <w:rsid w:val="00B464AE"/>
    <w:rsid w:val="00B47976"/>
    <w:rsid w:val="00B501AE"/>
    <w:rsid w:val="00B52DE4"/>
    <w:rsid w:val="00B54AF1"/>
    <w:rsid w:val="00B55B1F"/>
    <w:rsid w:val="00B81CB8"/>
    <w:rsid w:val="00B910BB"/>
    <w:rsid w:val="00B93B55"/>
    <w:rsid w:val="00B97016"/>
    <w:rsid w:val="00BA09F3"/>
    <w:rsid w:val="00BA41A5"/>
    <w:rsid w:val="00BB09AC"/>
    <w:rsid w:val="00BB4FF1"/>
    <w:rsid w:val="00BC07E8"/>
    <w:rsid w:val="00BC121C"/>
    <w:rsid w:val="00BC20AE"/>
    <w:rsid w:val="00BD6570"/>
    <w:rsid w:val="00BE54F9"/>
    <w:rsid w:val="00BE73CE"/>
    <w:rsid w:val="00C020A5"/>
    <w:rsid w:val="00C03860"/>
    <w:rsid w:val="00C120B0"/>
    <w:rsid w:val="00C17CD2"/>
    <w:rsid w:val="00C20461"/>
    <w:rsid w:val="00C259A7"/>
    <w:rsid w:val="00C315F8"/>
    <w:rsid w:val="00C400A9"/>
    <w:rsid w:val="00C45101"/>
    <w:rsid w:val="00C52911"/>
    <w:rsid w:val="00C66984"/>
    <w:rsid w:val="00C74B19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255B9"/>
    <w:rsid w:val="00D47ACB"/>
    <w:rsid w:val="00D50A17"/>
    <w:rsid w:val="00D576F5"/>
    <w:rsid w:val="00D67CE4"/>
    <w:rsid w:val="00D77347"/>
    <w:rsid w:val="00D83334"/>
    <w:rsid w:val="00D90F13"/>
    <w:rsid w:val="00DA13AF"/>
    <w:rsid w:val="00DA3DEA"/>
    <w:rsid w:val="00DA4038"/>
    <w:rsid w:val="00DA52EE"/>
    <w:rsid w:val="00DB1A8E"/>
    <w:rsid w:val="00DD08EF"/>
    <w:rsid w:val="00DD2418"/>
    <w:rsid w:val="00DE2ABF"/>
    <w:rsid w:val="00DE5892"/>
    <w:rsid w:val="00E0291F"/>
    <w:rsid w:val="00E132E6"/>
    <w:rsid w:val="00E157D3"/>
    <w:rsid w:val="00E41654"/>
    <w:rsid w:val="00E52BD4"/>
    <w:rsid w:val="00E62424"/>
    <w:rsid w:val="00E66EBA"/>
    <w:rsid w:val="00E75C5F"/>
    <w:rsid w:val="00E76D4B"/>
    <w:rsid w:val="00E83984"/>
    <w:rsid w:val="00E87721"/>
    <w:rsid w:val="00E9459A"/>
    <w:rsid w:val="00EA3C2B"/>
    <w:rsid w:val="00EA4BB8"/>
    <w:rsid w:val="00EB099D"/>
    <w:rsid w:val="00EB4AFE"/>
    <w:rsid w:val="00ED6D07"/>
    <w:rsid w:val="00ED6F32"/>
    <w:rsid w:val="00EE048A"/>
    <w:rsid w:val="00EE6949"/>
    <w:rsid w:val="00EF5EDB"/>
    <w:rsid w:val="00F008A7"/>
    <w:rsid w:val="00F0187D"/>
    <w:rsid w:val="00F04B05"/>
    <w:rsid w:val="00F06D92"/>
    <w:rsid w:val="00F13153"/>
    <w:rsid w:val="00F36F3D"/>
    <w:rsid w:val="00F45C9C"/>
    <w:rsid w:val="00F50462"/>
    <w:rsid w:val="00F72C5F"/>
    <w:rsid w:val="00F82A25"/>
    <w:rsid w:val="00F8744F"/>
    <w:rsid w:val="00F9719A"/>
    <w:rsid w:val="00FA1E62"/>
    <w:rsid w:val="00FB7175"/>
    <w:rsid w:val="00FC638E"/>
    <w:rsid w:val="00FC689B"/>
    <w:rsid w:val="00FE2774"/>
    <w:rsid w:val="00FE4CA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151D00-6B23-4CB5-B20A-6601680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2DE4"/>
    <w:pPr>
      <w:widowControl w:val="0"/>
      <w:suppressAutoHyphens/>
      <w:spacing w:after="120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330D47"/>
  </w:style>
  <w:style w:type="character" w:styleId="a3">
    <w:name w:val="Hyperlink"/>
    <w:uiPriority w:val="99"/>
    <w:rsid w:val="00330D4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87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187DA4"/>
    <w:rPr>
      <w:rFonts w:cs="Times New Roman"/>
    </w:rPr>
  </w:style>
  <w:style w:type="paragraph" w:styleId="a7">
    <w:name w:val="footer"/>
    <w:basedOn w:val="a"/>
    <w:link w:val="a8"/>
    <w:uiPriority w:val="99"/>
    <w:rsid w:val="00652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12899</Words>
  <Characters>73529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86256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2014-03-05T23:30:00Z</dcterms:created>
  <dcterms:modified xsi:type="dcterms:W3CDTF">2014-03-05T23:30:00Z</dcterms:modified>
</cp:coreProperties>
</file>