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42D" w:rsidRDefault="004F242D">
      <w:pPr>
        <w:pStyle w:val="a3"/>
        <w:ind w:left="454" w:firstLine="0"/>
        <w:jc w:val="center"/>
        <w:rPr>
          <w:rFonts w:ascii="Book Antiqua" w:eastAsia="Batang" w:hAnsi="Book Antiqua"/>
          <w:i/>
          <w:iCs/>
          <w:spacing w:val="20"/>
        </w:rPr>
      </w:pPr>
      <w:r>
        <w:rPr>
          <w:rFonts w:ascii="Book Antiqua" w:eastAsia="Batang" w:hAnsi="Book Antiqua"/>
          <w:i/>
          <w:iCs/>
          <w:spacing w:val="20"/>
        </w:rPr>
        <w:t>СОДЕРЖАНИЕ</w:t>
      </w:r>
    </w:p>
    <w:p w:rsidR="004F242D" w:rsidRDefault="004F242D">
      <w:pPr>
        <w:pStyle w:val="a3"/>
        <w:rPr>
          <w:rFonts w:ascii="Book Antiqua" w:eastAsia="Batang" w:hAnsi="Book Antiqua"/>
          <w:i/>
          <w:iCs/>
          <w:spacing w:val="20"/>
        </w:rPr>
      </w:pPr>
    </w:p>
    <w:p w:rsidR="004F242D" w:rsidRDefault="004F242D">
      <w:pPr>
        <w:pStyle w:val="a3"/>
        <w:numPr>
          <w:ilvl w:val="1"/>
          <w:numId w:val="1"/>
        </w:numPr>
        <w:rPr>
          <w:rFonts w:ascii="Book Antiqua" w:eastAsia="Batang" w:hAnsi="Book Antiqua"/>
          <w:spacing w:val="20"/>
        </w:rPr>
      </w:pPr>
      <w:r>
        <w:rPr>
          <w:rFonts w:ascii="Book Antiqua" w:eastAsia="Batang" w:hAnsi="Book Antiqua"/>
          <w:spacing w:val="20"/>
        </w:rPr>
        <w:t>Структура и организация НАТО</w:t>
      </w:r>
    </w:p>
    <w:p w:rsidR="004F242D" w:rsidRDefault="004F242D">
      <w:pPr>
        <w:pStyle w:val="a3"/>
        <w:numPr>
          <w:ilvl w:val="1"/>
          <w:numId w:val="1"/>
        </w:numPr>
        <w:rPr>
          <w:rFonts w:ascii="Book Antiqua" w:eastAsia="Batang" w:hAnsi="Book Antiqua"/>
          <w:spacing w:val="20"/>
        </w:rPr>
      </w:pPr>
      <w:r>
        <w:rPr>
          <w:rFonts w:ascii="Book Antiqua" w:eastAsia="Batang" w:hAnsi="Book Antiqua"/>
          <w:spacing w:val="20"/>
        </w:rPr>
        <w:t>Гражданская оборона НАТО</w:t>
      </w:r>
    </w:p>
    <w:p w:rsidR="004F242D" w:rsidRDefault="004F242D">
      <w:pPr>
        <w:pStyle w:val="a3"/>
        <w:numPr>
          <w:ilvl w:val="2"/>
          <w:numId w:val="1"/>
        </w:numPr>
        <w:rPr>
          <w:rFonts w:ascii="Book Antiqua" w:eastAsia="Batang" w:hAnsi="Book Antiqua"/>
          <w:spacing w:val="20"/>
        </w:rPr>
      </w:pPr>
      <w:r>
        <w:rPr>
          <w:rFonts w:ascii="Book Antiqua" w:eastAsia="Batang" w:hAnsi="Book Antiqua"/>
          <w:spacing w:val="20"/>
        </w:rPr>
        <w:t>Инженерное оборудование</w:t>
      </w:r>
    </w:p>
    <w:p w:rsidR="004F242D" w:rsidRDefault="004F242D">
      <w:pPr>
        <w:pStyle w:val="a3"/>
        <w:numPr>
          <w:ilvl w:val="2"/>
          <w:numId w:val="1"/>
        </w:numPr>
        <w:rPr>
          <w:rFonts w:ascii="Book Antiqua" w:eastAsia="Batang" w:hAnsi="Book Antiqua"/>
          <w:spacing w:val="20"/>
        </w:rPr>
      </w:pPr>
      <w:r>
        <w:rPr>
          <w:rFonts w:ascii="Book Antiqua" w:eastAsia="Batang" w:hAnsi="Book Antiqua"/>
          <w:spacing w:val="20"/>
        </w:rPr>
        <w:t>Использование убежищ со специальным оборудованием</w:t>
      </w:r>
    </w:p>
    <w:p w:rsidR="004F242D" w:rsidRDefault="004F242D">
      <w:pPr>
        <w:pStyle w:val="a3"/>
        <w:numPr>
          <w:ilvl w:val="2"/>
          <w:numId w:val="1"/>
        </w:numPr>
        <w:rPr>
          <w:rFonts w:ascii="Book Antiqua" w:eastAsia="Batang" w:hAnsi="Book Antiqua"/>
          <w:spacing w:val="20"/>
        </w:rPr>
      </w:pPr>
      <w:r>
        <w:rPr>
          <w:rFonts w:ascii="Book Antiqua" w:eastAsia="Batang" w:hAnsi="Book Antiqua"/>
          <w:spacing w:val="20"/>
        </w:rPr>
        <w:t>Подготовка путей для отхода населения</w:t>
      </w:r>
    </w:p>
    <w:p w:rsidR="004F242D" w:rsidRDefault="004F242D">
      <w:pPr>
        <w:pStyle w:val="a3"/>
        <w:numPr>
          <w:ilvl w:val="2"/>
          <w:numId w:val="1"/>
        </w:numPr>
        <w:rPr>
          <w:rFonts w:ascii="Book Antiqua" w:eastAsia="Batang" w:hAnsi="Book Antiqua"/>
          <w:spacing w:val="20"/>
        </w:rPr>
      </w:pPr>
      <w:r>
        <w:rPr>
          <w:rFonts w:ascii="Book Antiqua" w:eastAsia="Batang" w:hAnsi="Book Antiqua"/>
          <w:spacing w:val="20"/>
        </w:rPr>
        <w:t>Водоснабжение населения</w:t>
      </w:r>
    </w:p>
    <w:p w:rsidR="004F242D" w:rsidRDefault="004F242D">
      <w:pPr>
        <w:pStyle w:val="a3"/>
        <w:numPr>
          <w:ilvl w:val="1"/>
          <w:numId w:val="1"/>
        </w:numPr>
        <w:rPr>
          <w:rFonts w:ascii="Book Antiqua" w:eastAsia="Batang" w:hAnsi="Book Antiqua"/>
          <w:spacing w:val="20"/>
        </w:rPr>
      </w:pPr>
      <w:r>
        <w:rPr>
          <w:rFonts w:ascii="Book Antiqua" w:eastAsia="Batang" w:hAnsi="Book Antiqua"/>
          <w:spacing w:val="20"/>
        </w:rPr>
        <w:t xml:space="preserve">Гражданская оборона </w:t>
      </w:r>
      <w:r>
        <w:rPr>
          <w:rFonts w:ascii="Book Antiqua" w:eastAsia="Batang" w:hAnsi="Book Antiqua"/>
          <w:spacing w:val="20"/>
          <w:lang w:val="en-US"/>
        </w:rPr>
        <w:t>XXI</w:t>
      </w:r>
      <w:r>
        <w:rPr>
          <w:rFonts w:ascii="Book Antiqua" w:eastAsia="Batang" w:hAnsi="Book Antiqua"/>
          <w:spacing w:val="20"/>
        </w:rPr>
        <w:t xml:space="preserve"> века</w:t>
      </w:r>
    </w:p>
    <w:p w:rsidR="004F242D" w:rsidRDefault="004F242D">
      <w:pPr>
        <w:pStyle w:val="a3"/>
        <w:numPr>
          <w:ilvl w:val="1"/>
          <w:numId w:val="1"/>
        </w:numPr>
        <w:rPr>
          <w:rFonts w:ascii="Book Antiqua" w:eastAsia="Batang" w:hAnsi="Book Antiqua"/>
          <w:spacing w:val="20"/>
        </w:rPr>
      </w:pPr>
      <w:r>
        <w:rPr>
          <w:rFonts w:ascii="Book Antiqua" w:eastAsia="Batang" w:hAnsi="Book Antiqua"/>
          <w:spacing w:val="20"/>
        </w:rPr>
        <w:t>Техногенные катастрофы в странах НАТО</w:t>
      </w:r>
    </w:p>
    <w:p w:rsidR="004F242D" w:rsidRDefault="004F242D">
      <w:pPr>
        <w:pStyle w:val="a3"/>
        <w:numPr>
          <w:ilvl w:val="1"/>
          <w:numId w:val="1"/>
        </w:numPr>
        <w:rPr>
          <w:rFonts w:ascii="Book Antiqua" w:eastAsia="Batang" w:hAnsi="Book Antiqua"/>
          <w:spacing w:val="20"/>
        </w:rPr>
      </w:pPr>
      <w:r>
        <w:rPr>
          <w:rFonts w:ascii="Book Antiqua" w:eastAsia="Batang" w:hAnsi="Book Antiqua"/>
          <w:spacing w:val="20"/>
        </w:rPr>
        <w:t>Чрезвычайные ситуации</w:t>
      </w: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4"/>
        <w:rPr>
          <w:rFonts w:ascii="Book Antiqua" w:eastAsia="Batang" w:hAnsi="Book Antiqua"/>
          <w:spacing w:val="20"/>
        </w:rPr>
      </w:pPr>
      <w:r>
        <w:rPr>
          <w:rFonts w:ascii="Book Antiqua" w:eastAsia="Batang" w:hAnsi="Book Antiqua"/>
          <w:spacing w:val="20"/>
        </w:rPr>
        <w:t>Структура и организация НАТО</w:t>
      </w:r>
    </w:p>
    <w:p w:rsidR="004F242D" w:rsidRDefault="004F242D">
      <w:pPr>
        <w:pStyle w:val="a3"/>
        <w:rPr>
          <w:rFonts w:ascii="Book Antiqua" w:eastAsia="Batang" w:hAnsi="Book Antiqua"/>
          <w:spacing w:val="20"/>
        </w:rPr>
      </w:pPr>
      <w:r>
        <w:rPr>
          <w:rFonts w:ascii="Book Antiqua" w:eastAsia="Batang" w:hAnsi="Book Antiqua"/>
          <w:spacing w:val="20"/>
        </w:rPr>
        <w:t>Северо – атлантический альянс (блок НАТО) был образован в 1949 г. представителями 12 стран: Соединённые Штаты Америки, Бельгия, Канада, Дания, Франция, Исландия, Италия, Люксембург, Нидерланды, Норвегия, Португалия, Великобритания. Договор северного Атлантического Альянса, подписанный в Вашингтоне 4 апреля 1949 г., предусматривал взаимную защиту и коллективную безопасность, первоначально против угрозы агрессии со стороны Советского Союза. США являлись организаторами этого союза, который был создан в период послевоенного времени, когда только начиналась холодная война и большинство стран признавало свою слабость в отношении Советского Союза. Это был первый союз послевоенного времени, созданный Соединёнными Штатами Америки и представлявший собой союз капиталистических стран.</w:t>
      </w:r>
    </w:p>
    <w:p w:rsidR="004F242D" w:rsidRDefault="004F242D">
      <w:pPr>
        <w:pStyle w:val="a3"/>
        <w:rPr>
          <w:rFonts w:ascii="Book Antiqua" w:eastAsia="Batang" w:hAnsi="Book Antiqua"/>
          <w:spacing w:val="20"/>
        </w:rPr>
      </w:pPr>
      <w:r>
        <w:rPr>
          <w:rFonts w:ascii="Book Antiqua" w:eastAsia="Batang" w:hAnsi="Book Antiqua"/>
          <w:spacing w:val="20"/>
        </w:rPr>
        <w:t>20 января 1949 г. в речи, посвящённой началу 2 го срока своего президентства, Трумэн заявил: «Мы сейчас вырабатываем с рядом государств общее соглашение, предназначенное для укрепления безопасности района Северной Атлантики».</w:t>
      </w:r>
    </w:p>
    <w:p w:rsidR="004F242D" w:rsidRDefault="004F242D">
      <w:pPr>
        <w:pStyle w:val="a3"/>
        <w:rPr>
          <w:rFonts w:ascii="Book Antiqua" w:eastAsia="Batang" w:hAnsi="Book Antiqua"/>
          <w:spacing w:val="20"/>
        </w:rPr>
      </w:pPr>
      <w:r>
        <w:rPr>
          <w:rFonts w:ascii="Book Antiqua" w:eastAsia="Batang" w:hAnsi="Book Antiqua"/>
          <w:spacing w:val="20"/>
        </w:rPr>
        <w:t>Через два с половиной месяца, 4 апреля 1949 г. представители 12 правительств подписали в Вашингтоне договор о Северо – Атлантическом военном союзе, названном НАТО. Вашингтон оказывал сильное давление на Стокгольм. Но Швеция, сохранившая нейтралитет в двух мировых войнах предпочла не вступать в военный союз. Спустя некоторое время США объявили Грецию и Турцию северо – атлантическими государствами и добились включения их в НАТО в 1952 г. Впоследствии в 1955 г. по настоянию американцев, полноправным членом этого военного союза официально стала и Федеративная Республика Германия. А ещё позже в 1982 г. и Испания. И вот совсем недавно в январе 1999 г. Польша, Чехия, Венгрия. Сейчас в НАТО вступили бывшие советские республики Прибалтики: Латвия, Литва, Эстония. США заключали и другие военные союзы, но НАТО продолжало оставаться центральным, самым важным из них, приковавшем к себе основное внимание госдепартамента США, олицетворявшим послевоенную глобальную политику Вашингтона, направленную на борьбу с мировой социалистической системой, с национально – освободительным и революционным движением во всём мире.</w:t>
      </w:r>
    </w:p>
    <w:p w:rsidR="004F242D" w:rsidRDefault="004F242D">
      <w:pPr>
        <w:pStyle w:val="a3"/>
        <w:rPr>
          <w:rFonts w:ascii="Book Antiqua" w:eastAsia="Batang" w:hAnsi="Book Antiqua"/>
          <w:spacing w:val="20"/>
        </w:rPr>
      </w:pPr>
      <w:r>
        <w:rPr>
          <w:rFonts w:ascii="Book Antiqua" w:eastAsia="Batang" w:hAnsi="Book Antiqua"/>
          <w:spacing w:val="20"/>
        </w:rPr>
        <w:t>После второй мировой войны США не только заключали военные союзы с иностранными государствами, но и выступали и выступают как инициатор и создатель этих союзов. Более того, в отличие от военных союзов в прошлом, НАТО создало свои штабы и свои вооружённые силы, куда входят сухопутные войска, военно – морские и военно – воздушные силы ряда государств. В соответствии с этим договором суверенные государства Западной Европы позволили Соединённым Штатам содержать в мирное время вооружённые силы на своей территории. Самолёты НАТО патрулируют надо воздушное пространство надо странами, вступившими в НАТО. Формировать общие вооружённые силы НАТО было решено в 1950 г. Это решение принял Совет НАТО в ответ на корейскую войну, которая началась в июне 1950 г. и воспринималась западными странами, как часть всемирного социалистического наступления.</w:t>
      </w:r>
    </w:p>
    <w:p w:rsidR="004F242D" w:rsidRDefault="004F242D">
      <w:pPr>
        <w:pStyle w:val="a3"/>
        <w:rPr>
          <w:rFonts w:ascii="Book Antiqua" w:eastAsia="Batang" w:hAnsi="Book Antiqua"/>
          <w:spacing w:val="20"/>
        </w:rPr>
      </w:pPr>
      <w:r>
        <w:rPr>
          <w:rFonts w:ascii="Book Antiqua" w:eastAsia="Batang" w:hAnsi="Book Antiqua"/>
          <w:spacing w:val="20"/>
        </w:rPr>
        <w:t>Вскоре после создания Совета НАТО 6 октября 1949 г. конгресс США принял акт о так называемой взаимной помощи, предусматривающий ассигнование 1314 млн. долларов на оказание военной помощи членам НАТО, но этого оказалось недостаточно. США доказывали, что американские союзники в Европе сам вооружиться не смогут и что поэтому их должны вооружить Соединённые Штаты. В мае 1952 г. США, Англия и Франция подписали соглашение о Западной Германии о включении её в НАТО. Учреждён специальный орган Совет НАТО, который принимает все необходимые решения. Америка является доверенным лицом всего альянса. Совет является высшим органом НАТО. Из всех структур НАТО, только Совет уполномочен принимать решения. Он собирается не реже одного раза в неделю. Также собирается и на более высоком уровне – с участием министров иностранных дел, либо представителей правительства. Была создана в 1955 г. Организация Варшавского договора. Это сотрудничество стран соцлагеря. После второй мировой войны в странах Восточной Европы пришли к власти правительства во главе с коммунистами, отчасти это было связано с тем, что после второй мировой войны в Восточной Европе остались советские войска, создававшие психологический фон. В 1949 г. был создан Совет экономической взаимопомощи, в который первоначально вошли СССР, Болгария, Венгрия, Польша, Румыния и Чехословакия, а затем и ряд других стран.</w:t>
      </w:r>
    </w:p>
    <w:p w:rsidR="004F242D" w:rsidRDefault="004F242D">
      <w:pPr>
        <w:pStyle w:val="a3"/>
        <w:rPr>
          <w:rFonts w:ascii="Book Antiqua" w:eastAsia="Batang" w:hAnsi="Book Antiqua"/>
          <w:spacing w:val="20"/>
        </w:rPr>
      </w:pPr>
      <w:r>
        <w:rPr>
          <w:rFonts w:ascii="Book Antiqua" w:eastAsia="Batang" w:hAnsi="Book Antiqua"/>
          <w:spacing w:val="20"/>
        </w:rPr>
        <w:t>Создание НАТО было следствием холодной войны и поэтому вся его деятельность была направлена на противоборство с Советским Союзом и другими соцстранами (в последствии объединившимися в Варшавский договор). В 1949 г. была ликвидирована атомная монополия США, что привело к резкому усилению тенденции соперничества и наращиванию производств оружия массового уничтожения. После создания термоядерного оружия в 50 х годах, СССР направил свои усилия на установление военно  - стратегического паритета с США, которое произошло на рубеже 60 – х, 70 – х годов.</w:t>
      </w:r>
    </w:p>
    <w:p w:rsidR="004F242D" w:rsidRDefault="004F242D">
      <w:pPr>
        <w:pStyle w:val="a3"/>
        <w:rPr>
          <w:rFonts w:ascii="Book Antiqua" w:eastAsia="Batang" w:hAnsi="Book Antiqua"/>
          <w:spacing w:val="20"/>
        </w:rPr>
      </w:pPr>
    </w:p>
    <w:p w:rsidR="004F242D" w:rsidRDefault="004F242D">
      <w:pPr>
        <w:pStyle w:val="a3"/>
        <w:jc w:val="center"/>
        <w:rPr>
          <w:rFonts w:ascii="Book Antiqua" w:eastAsia="Batang" w:hAnsi="Book Antiqua"/>
          <w:i/>
          <w:iCs/>
          <w:spacing w:val="20"/>
        </w:rPr>
      </w:pPr>
      <w:r>
        <w:rPr>
          <w:rFonts w:ascii="Book Antiqua" w:eastAsia="Batang" w:hAnsi="Book Antiqua"/>
          <w:i/>
          <w:iCs/>
          <w:spacing w:val="20"/>
        </w:rPr>
        <w:t>Гражданская оборона НАТО</w:t>
      </w:r>
    </w:p>
    <w:p w:rsidR="004F242D" w:rsidRDefault="004F242D">
      <w:pPr>
        <w:pStyle w:val="a3"/>
        <w:rPr>
          <w:rFonts w:ascii="Book Antiqua" w:eastAsia="Batang" w:hAnsi="Book Antiqua"/>
          <w:spacing w:val="20"/>
        </w:rPr>
      </w:pPr>
      <w:r>
        <w:rPr>
          <w:rFonts w:ascii="Book Antiqua" w:eastAsia="Batang" w:hAnsi="Book Antiqua"/>
          <w:spacing w:val="20"/>
        </w:rPr>
        <w:t>Большое значение придаёт НАТО гражданской обороне. Проводятся различные учения населения, строятся убежища и т.д. знакомят население с правилами поведения и действиями в очагах ядерного поражения. Под очагом ядерного поражения понимается территория с населёнными пунктами, промышленными, с/х и др. объектами, подвергшаяся непосредственному воздействию ядерного оружия противника. Поведение и действие населения в очаге ядерного поражения во многом зависят от того, где оно находилось в момент ядерного взрыва: в убежищах или вне их. Убежища являются эффективным средством защиты от всех поражающих факторов ядерного оружия и от последствий, вызванных применением этого оружия, а так же от умения населения соблюдать правила пребывания в них и соблюдение требований комендантов и других лиц.</w:t>
      </w:r>
    </w:p>
    <w:p w:rsidR="004F242D" w:rsidRDefault="004F242D">
      <w:pPr>
        <w:pStyle w:val="a3"/>
        <w:rPr>
          <w:rFonts w:ascii="Book Antiqua" w:eastAsia="Batang" w:hAnsi="Book Antiqua"/>
          <w:spacing w:val="20"/>
        </w:rPr>
      </w:pPr>
      <w:r>
        <w:rPr>
          <w:rFonts w:ascii="Book Antiqua" w:eastAsia="Batang" w:hAnsi="Book Antiqua"/>
          <w:spacing w:val="20"/>
        </w:rPr>
        <w:t>Не исключено, что из убежищ, а тем более из противорадиационных или простейших укрытий, оказавшихся в зоне опасного (с уровнем радиации более 240 р/ч) радиоактивного заражения, готовят проводить эвакуацию населения в незаражённые районы. Это вызывается тем, что длительное пребывание людей в этих защитных сооружениях сопряжено с серьёзными физическими и психологическими нагрузками. Страны НАТО серьёзно относятся к проведению учёния населения. Знакомят население с место нахождением медицинских формирований и обмывочных пунктов вблизи пути движения. Учат население, что во время ядерного взрыва, находящиеся вне убежищ на открытой местности или на улице в целях защиты следует использовать ближайшие естественные укрытия. Учат население, что если таких укрытий нет, надо повернуться к взрыву спиной, лечь на землю лицом вниз, руки спрятать под себя. Что бы предотвратить тяжёлые последствия облучения и ослабить появление лучевой болезни во всех случаях пребывания на заражённой местности, готовы проводить медицинскую профилактику поражений ионизирующими излучениями.</w:t>
      </w:r>
    </w:p>
    <w:p w:rsidR="004F242D" w:rsidRDefault="004F242D">
      <w:pPr>
        <w:pStyle w:val="a3"/>
        <w:rPr>
          <w:rFonts w:ascii="Book Antiqua" w:eastAsia="Batang" w:hAnsi="Book Antiqua"/>
          <w:spacing w:val="20"/>
        </w:rPr>
      </w:pPr>
      <w:r>
        <w:rPr>
          <w:rFonts w:ascii="Book Antiqua" w:eastAsia="Batang" w:hAnsi="Book Antiqua"/>
          <w:spacing w:val="20"/>
        </w:rPr>
        <w:t>Большинство имеющихся противорадиационных препаратов готовы вводить в организм населения с таким расчетом, что бы они успели попасть во все клетки и ткани до возможного облучения человека. Разработана схема приёма препаратов, в зависимости от способа их введения в организм. Таблеточные препараты например принимаются за 30 – 40 мин., препараты, вводимые путём инъекции внутримышечно за 5 мин. до начала возможного облучения. Противорадиационные препараты имеются в специальных наборах, рассчитанных на индивидуальное использование. Учат население, что в целях уменьшения возможности поражения радиоактивными веществами на территории очага поражения запрещается применять пищу, пить и курить. Население знает, что для частичной дезактивации одежды, обуви, средств защиты даже для частичной санитарной обработки может использоваться незаражённый снег. Летом – санитарную обработку можно организовать в реке или другом проточном водоёме.</w:t>
      </w:r>
    </w:p>
    <w:p w:rsidR="004F242D" w:rsidRDefault="004F242D">
      <w:pPr>
        <w:pStyle w:val="a3"/>
        <w:rPr>
          <w:rFonts w:ascii="Book Antiqua" w:eastAsia="Batang" w:hAnsi="Book Antiqua"/>
          <w:spacing w:val="20"/>
        </w:rPr>
      </w:pPr>
      <w:r>
        <w:rPr>
          <w:rFonts w:ascii="Book Antiqua" w:eastAsia="Batang" w:hAnsi="Book Antiqua"/>
          <w:spacing w:val="20"/>
        </w:rPr>
        <w:t>Гражданская оборона стран НАТО является составной частью системы общегосударственных оборонных мероприятий, проводимых в мирное и военное время для защиты населения от оружия массового поражения и других средств нападения противника, а так же проведения спасательных и неотложных аварийно – восстановительных работ в очагах поражения и зонах катострафического затопления.</w:t>
      </w:r>
    </w:p>
    <w:p w:rsidR="004F242D" w:rsidRDefault="004F242D">
      <w:pPr>
        <w:pStyle w:val="a3"/>
        <w:rPr>
          <w:rFonts w:ascii="Book Antiqua" w:eastAsia="Batang" w:hAnsi="Book Antiqua"/>
          <w:spacing w:val="20"/>
        </w:rPr>
      </w:pPr>
      <w:r>
        <w:rPr>
          <w:rFonts w:ascii="Book Antiqua" w:eastAsia="Batang" w:hAnsi="Book Antiqua"/>
          <w:spacing w:val="20"/>
        </w:rPr>
        <w:t>Своё предназначение гражданская оборона стран НАТО призвана осуществлять вместе с вооружёнными силами НАТО. Проводя оборонительные мероприятия гражданская оборона должна обеспечивать максимальное ослабление воздействия оружия противника в случаях применения его по городам, промышленным предприятиям, ж/д узлам и другим важным объектам. Опыт многочисленных учений гражданской обороны стран НАТО, данные научных исследований свидетельствуют о том, что при хорошей постановке гражданской обороны, умелом осуществлении комплекса мероприятий по защите населения, можно добиться значительного снижения губительных последствий применения средств массового поражения.</w:t>
      </w:r>
    </w:p>
    <w:p w:rsidR="004F242D" w:rsidRDefault="004F242D">
      <w:pPr>
        <w:pStyle w:val="a3"/>
        <w:rPr>
          <w:rFonts w:ascii="Book Antiqua" w:eastAsia="Batang" w:hAnsi="Book Antiqua"/>
          <w:spacing w:val="20"/>
        </w:rPr>
      </w:pPr>
      <w:r>
        <w:rPr>
          <w:rFonts w:ascii="Book Antiqua" w:eastAsia="Batang" w:hAnsi="Book Antiqua"/>
          <w:spacing w:val="20"/>
        </w:rPr>
        <w:t>Гражданская оборона стран НАТО организуется таким образом, что бы практическое осуществление её мероприятий было возможно во всех необходимых случаях, немедленно и в полном объёме, в соответствии с обстановкой. Главную задачу гражданской обороны составляет защита населения. Люди, как известно, - наивысшая ценность любого государства. Обеспечение безопасности людей составляет важнейшую цель оборонных мероприятий стран НАТО. От успешного решения задачи защиты населения всецело зависит успех решения всех остальных задач, как гражданской обороны, так и вообще обороны государства.</w:t>
      </w:r>
    </w:p>
    <w:p w:rsidR="004F242D" w:rsidRDefault="004F242D">
      <w:pPr>
        <w:pStyle w:val="a3"/>
        <w:rPr>
          <w:rFonts w:ascii="Book Antiqua" w:eastAsia="Batang" w:hAnsi="Book Antiqua"/>
          <w:spacing w:val="20"/>
        </w:rPr>
      </w:pPr>
      <w:r>
        <w:rPr>
          <w:rFonts w:ascii="Book Antiqua" w:eastAsia="Batang" w:hAnsi="Book Antiqua"/>
          <w:spacing w:val="20"/>
        </w:rPr>
        <w:t>Страны НАТО поддерживают способность выпускать установленные виды продукции в объёмах, предусмотренных соответствующими планами (для объектов и отраслей не производящих материальные ценности,  - транспорт, связь и другие – выполнять свои функции) во время войны. С указанными задачами тесным образом связана ещё одна важная задача гражданской защиты – проведение спасательных и неотложных аварийно – восстановительных работ в очагах поражения и зонах катастрофического затопления. Основная цель этих работ   - спасение пострадавших при ударах противника населения и оказание поражённым необходимой помощи. Без успешного проведения таких работ невозможно наладить деятельность объектов, подвергшихся ударам противника, нельзя будет создать нормальные условия для жизнедеятельности населения, пострадавших городов и районов.</w:t>
      </w:r>
    </w:p>
    <w:p w:rsidR="004F242D" w:rsidRDefault="004F242D">
      <w:pPr>
        <w:pStyle w:val="a3"/>
        <w:rPr>
          <w:rFonts w:ascii="Book Antiqua" w:eastAsia="Batang" w:hAnsi="Book Antiqua"/>
          <w:spacing w:val="20"/>
        </w:rPr>
      </w:pPr>
      <w:r>
        <w:rPr>
          <w:rFonts w:ascii="Book Antiqua" w:eastAsia="Batang" w:hAnsi="Book Antiqua"/>
          <w:spacing w:val="20"/>
        </w:rPr>
        <w:t>К спасательным и неотложным аварийно – восстановительным работам относятся: разведка очагов поражения, розыск и спасение пострадавшего населения, оказание ему необходимой помощи; борьба с пожарами, локализация и ликвидация аварий на различных объектах; санитарная обработка людей, обеззараживание территории, сооружений, техники, одежды, обуви и продовольствия в случаях их заражения радиоактивными отравляющими веществами или бактериальными средствами.</w:t>
      </w:r>
    </w:p>
    <w:p w:rsidR="004F242D" w:rsidRDefault="004F242D">
      <w:pPr>
        <w:pStyle w:val="a3"/>
        <w:rPr>
          <w:rFonts w:ascii="Book Antiqua" w:eastAsia="Batang" w:hAnsi="Book Antiqua"/>
          <w:spacing w:val="20"/>
        </w:rPr>
      </w:pPr>
      <w:r>
        <w:rPr>
          <w:rFonts w:ascii="Book Antiqua" w:eastAsia="Batang" w:hAnsi="Book Antiqua"/>
          <w:spacing w:val="20"/>
        </w:rPr>
        <w:t>Большое значение страны НАТО придают инженерному оборудованию, которое заключается в устройстве фортификационных сооружений. Простейшие сооружения открытого типа – окопы, траншеи и ходы – сообщения оборудуются военными силами стран НАТО. Над этими сооружениями устанавливаются перекрытия, которые значительно снижают поражающее воздействие ударной волны светового излучения, проникающей радиации ядерных взрывов, радиоактивного излучения от заражённой местности, а так же защищают от зажигательных веществ и прямого заражения каплями и аэрозолями отравляющих веществ. Наиболее надёжную защиту населения от оружия массового поражения обеспечивают сооружения закрытого типа – блиндажи и убежища. Убежища оснащаются специальным оборудованием. Для размещения медицинских пунктов, обеспечения отдыха населения и приёма пищи на заражённой местности возводятся убежища со специальным оборудованием, которое обеспечивает безопасное пребывание населения без средств индивидуальной защиты. Специальное фильтро – вентиляционное оборудование включает: воздухозаборное и защитное устройство, средства герметизации ходов и выходов, которые состоят из герметических дверей, очистка воздуха в убежищах от отравляющих веществ радиоактивной пыли и бактериальных средств, осуществляется с помощью фильтров – поглотителей.</w:t>
      </w:r>
    </w:p>
    <w:p w:rsidR="004F242D" w:rsidRDefault="004F242D">
      <w:pPr>
        <w:pStyle w:val="a3"/>
        <w:rPr>
          <w:rFonts w:ascii="Book Antiqua" w:eastAsia="Batang" w:hAnsi="Book Antiqua"/>
          <w:spacing w:val="20"/>
        </w:rPr>
      </w:pPr>
      <w:r>
        <w:rPr>
          <w:rFonts w:ascii="Book Antiqua" w:eastAsia="Batang" w:hAnsi="Book Antiqua"/>
          <w:spacing w:val="20"/>
        </w:rPr>
        <w:t>Разработан план для манёвра населения. Вывод его из – под ядерных и химических ударов, обхода или преодоления зон заражения. Пути для манёвра выбираются с учётом маскирующих средств местности. С наименьшим количеством мостов, переправ и т.д., так, что бы обеспечивалась возможность быстрого и скрытного рассредоточения населения.</w:t>
      </w:r>
    </w:p>
    <w:p w:rsidR="004F242D" w:rsidRDefault="004F242D">
      <w:pPr>
        <w:pStyle w:val="a3"/>
        <w:rPr>
          <w:rFonts w:ascii="Book Antiqua" w:eastAsia="Batang" w:hAnsi="Book Antiqua"/>
          <w:spacing w:val="20"/>
        </w:rPr>
      </w:pPr>
      <w:r>
        <w:rPr>
          <w:rFonts w:ascii="Book Antiqua" w:eastAsia="Batang" w:hAnsi="Book Antiqua"/>
          <w:spacing w:val="20"/>
        </w:rPr>
        <w:t>Содержание путей организуется инженерной службой в тесном взаимодействии с военной службой на маршрутах движения населения. Задача – поддерживать пути в проезжем состоянии. Пункты водоснабжения и водоразборные пункты надёжно защищены от заражения радиоактивными, отравляющими веществами и биологическими средствами, а воду при её добыче и хранении рекомендуется обеззараживать. На указанных пунктах устанавливается постоянный дозиметрический, химический и биологический контроль качества воды.</w:t>
      </w:r>
    </w:p>
    <w:p w:rsidR="004F242D" w:rsidRDefault="004F242D">
      <w:pPr>
        <w:pStyle w:val="a5"/>
        <w:jc w:val="center"/>
        <w:rPr>
          <w:rFonts w:ascii="Book Antiqua" w:hAnsi="Book Antiqua"/>
          <w:i/>
          <w:iCs/>
          <w:spacing w:val="20"/>
          <w:sz w:val="28"/>
        </w:rPr>
      </w:pPr>
    </w:p>
    <w:p w:rsidR="004F242D" w:rsidRDefault="004F242D">
      <w:pPr>
        <w:pStyle w:val="a5"/>
        <w:ind w:firstLine="0"/>
        <w:jc w:val="center"/>
        <w:rPr>
          <w:rFonts w:ascii="Book Antiqua" w:hAnsi="Book Antiqua"/>
          <w:i/>
          <w:iCs/>
          <w:spacing w:val="20"/>
          <w:sz w:val="28"/>
        </w:rPr>
      </w:pPr>
      <w:r>
        <w:rPr>
          <w:rFonts w:ascii="Book Antiqua" w:hAnsi="Book Antiqua"/>
          <w:i/>
          <w:iCs/>
          <w:spacing w:val="20"/>
          <w:sz w:val="28"/>
        </w:rPr>
        <w:t xml:space="preserve">Гражданская оборона </w:t>
      </w:r>
      <w:r>
        <w:rPr>
          <w:rFonts w:ascii="Book Antiqua" w:hAnsi="Book Antiqua"/>
          <w:i/>
          <w:iCs/>
          <w:spacing w:val="20"/>
          <w:sz w:val="28"/>
          <w:lang w:val="en-US"/>
        </w:rPr>
        <w:t>XXI</w:t>
      </w:r>
      <w:r>
        <w:rPr>
          <w:rFonts w:ascii="Book Antiqua" w:hAnsi="Book Antiqua"/>
          <w:i/>
          <w:iCs/>
          <w:spacing w:val="20"/>
          <w:sz w:val="28"/>
        </w:rPr>
        <w:t xml:space="preserve"> века</w:t>
      </w:r>
    </w:p>
    <w:p w:rsidR="004F242D" w:rsidRDefault="004F242D">
      <w:pPr>
        <w:pStyle w:val="a5"/>
        <w:rPr>
          <w:rFonts w:ascii="Book Antiqua" w:hAnsi="Book Antiqua"/>
          <w:spacing w:val="20"/>
          <w:sz w:val="28"/>
        </w:rPr>
      </w:pPr>
      <w:r>
        <w:rPr>
          <w:rFonts w:ascii="Book Antiqua" w:hAnsi="Book Antiqua"/>
          <w:spacing w:val="20"/>
          <w:sz w:val="28"/>
        </w:rPr>
        <w:t>Гражданская оборона НАТО выполняет стратегическую оборонную задачу: защищает население и промышленность от оружия массового поражения вероятного противника, большинство населения обеспечивает укрытием в надёжных защитных сооружениях, имеются запасы средств индивидуальной защиты, приборы радиационной и химической разведки. Многое делается для повышения устойчивости работы промышленных предприятий. Несмотря на принимаемые меры вероятность возникновения чрезвычайных ситуаций природного и техногенного характера остаётся высокой. Принятые за последние годы решения о сокращении ядерных потенциалов, запрещение и уничтожение химического оружия снижают возможность применения оружия массового поражения в современных войнах и вооружённых конфликтах, но полностью угрозу не исключают. Не следует забывать, что количество государств, владеющих ядерным оружием увеличилось за счёт Индии и Пакистана. Давно известно о наличии атомных бомб в Израиле. Вместе с тем в концепциях ведения современных войн всё большая роль отводится высокоточному оружию и оружию на новых физических принципах (так называемому не летальному), использованию политических, экономических и информационных мер давления на противника. В последние годы значительную угрозу начинает приобретать международный терроризм. В этих условиях задачи гражданской обороны как и прежде продолжают оставаться актуальными, а по некоторым направлениям приобретают большую значимость.</w:t>
      </w:r>
    </w:p>
    <w:p w:rsidR="004F242D" w:rsidRDefault="004F242D">
      <w:pPr>
        <w:ind w:firstLine="454"/>
        <w:jc w:val="both"/>
        <w:rPr>
          <w:rFonts w:ascii="Book Antiqua" w:hAnsi="Book Antiqua"/>
          <w:spacing w:val="20"/>
          <w:sz w:val="28"/>
        </w:rPr>
      </w:pPr>
      <w:r>
        <w:rPr>
          <w:rFonts w:ascii="Book Antiqua" w:hAnsi="Book Antiqua"/>
          <w:spacing w:val="20"/>
          <w:sz w:val="28"/>
        </w:rPr>
        <w:t xml:space="preserve">Гражданская оборона стран НАТО выполняет функции по защите населения и территории от природно – техногенных опасностей в мирное время и обеспечивает защиту населения в военное время. Как показывает опыт риск мирного и военного времени в значительной степени похож, методы защиты населения почти одинаковы. Страны НАТО решают весь комплекс задач по противодействию чрезвычайным ситуациям в мирное и военное время. Они занимаются предупреждением и ликвидацией чрезвычайных ситуаций природного и техногенного характера, а так же успешно действуют в период опасности, появляющихся при возникновении военных конфликтов и в ходе военных действий. Большое значение придаётся выполнению инженерно – технических мероприятий по защите населения как мирное, так и в военное время. Постоянное и всё усиливающееся обучение населения. Последние годы в рядя стран НАТО – Германии, Франции и д.р. в связи с изменившейся военно – политической обстановкой, происходит трансформация взглядов на роль гражданской обороны и порядок её ведения. Эти страны определяют, что силы и средства гражданской обороны должны готовиться не столько к действиям в условиях ядерной войны, сколько уметь решать задачи, возникающие в мирное время, уделяя при этом особое внимание мобилизационному планированию. Коренные изменения в характере военных конфликтов, средствах вооружения, социально – экономической обстановке требуют нового, более обстоятельного и всеобъемлющего отношения к защитным мероприятиям. В </w:t>
      </w:r>
      <w:r>
        <w:rPr>
          <w:rFonts w:ascii="Book Antiqua" w:hAnsi="Book Antiqua"/>
          <w:spacing w:val="20"/>
          <w:sz w:val="28"/>
          <w:lang w:val="en-US"/>
        </w:rPr>
        <w:t>XXI</w:t>
      </w:r>
      <w:r>
        <w:rPr>
          <w:rFonts w:ascii="Book Antiqua" w:hAnsi="Book Antiqua"/>
          <w:spacing w:val="20"/>
          <w:sz w:val="28"/>
        </w:rPr>
        <w:t xml:space="preserve"> веке НАТО становится более значимой структурой для стран не только в военное, но и в мирное время. Активное участие её сил и средств в ликвидации любых чрезвычайных ситуаций становится необходимым.</w:t>
      </w:r>
    </w:p>
    <w:p w:rsidR="004F242D" w:rsidRDefault="004F242D">
      <w:pPr>
        <w:ind w:firstLine="454"/>
        <w:jc w:val="both"/>
        <w:rPr>
          <w:rFonts w:ascii="Book Antiqua" w:hAnsi="Book Antiqua"/>
          <w:spacing w:val="20"/>
          <w:sz w:val="28"/>
        </w:rPr>
      </w:pPr>
      <w:r>
        <w:rPr>
          <w:rFonts w:ascii="Book Antiqua" w:hAnsi="Book Antiqua"/>
          <w:spacing w:val="20"/>
          <w:sz w:val="28"/>
        </w:rPr>
        <w:t xml:space="preserve">Вся оборона стран НАТО строится по принципу стратегической мобильности: промышленность, с/х, органы управления – готовы к быстрому переходу на работу по планам военного времени. Основные тенденции развития гражданской обороны НАТО, её доктрину на начало </w:t>
      </w:r>
      <w:r>
        <w:rPr>
          <w:rFonts w:ascii="Book Antiqua" w:hAnsi="Book Antiqua"/>
          <w:spacing w:val="20"/>
          <w:sz w:val="28"/>
          <w:lang w:val="en-US"/>
        </w:rPr>
        <w:t>XXI</w:t>
      </w:r>
      <w:r>
        <w:rPr>
          <w:rFonts w:ascii="Book Antiqua" w:hAnsi="Book Antiqua"/>
          <w:spacing w:val="20"/>
          <w:sz w:val="28"/>
        </w:rPr>
        <w:t xml:space="preserve"> века можно было бы сформулировать так: максимальное сохранение имеющегося потенциала, адоптация к новым военно – политическим и социально – экономическим условиям, создание возможностей для последовательного оперативного развёртывания сил и средств в короткие сроки и до необходимого уровня, гибкое стратегическое и оперативное реагирование на изменение обстановки.</w:t>
      </w:r>
    </w:p>
    <w:p w:rsidR="004F242D" w:rsidRDefault="004F242D">
      <w:pPr>
        <w:pStyle w:val="1"/>
        <w:rPr>
          <w:spacing w:val="20"/>
        </w:rPr>
      </w:pPr>
    </w:p>
    <w:p w:rsidR="004F242D" w:rsidRDefault="004F242D">
      <w:pPr>
        <w:pStyle w:val="1"/>
        <w:rPr>
          <w:spacing w:val="20"/>
        </w:rPr>
      </w:pPr>
      <w:r>
        <w:rPr>
          <w:spacing w:val="20"/>
        </w:rPr>
        <w:t>Техногенные катастрофы в странах НАТО</w:t>
      </w:r>
    </w:p>
    <w:p w:rsidR="004F242D" w:rsidRDefault="004F242D">
      <w:pPr>
        <w:pStyle w:val="2"/>
        <w:rPr>
          <w:spacing w:val="20"/>
        </w:rPr>
      </w:pPr>
      <w:r>
        <w:rPr>
          <w:spacing w:val="20"/>
        </w:rPr>
        <w:t>Техногенная катастрофа – это следствие умышленных или неумышленных действий человека. Наиболее сильные техногенные катастрофы, происшедшие в странах НАТО – авиа – катастрофы, взрывы, железнодорожные катастрофы, катастрофы на воде, пожары, экологические катастрофы.</w:t>
      </w:r>
    </w:p>
    <w:p w:rsidR="004F242D" w:rsidRDefault="004F242D">
      <w:pPr>
        <w:ind w:firstLine="454"/>
        <w:jc w:val="both"/>
        <w:rPr>
          <w:rFonts w:ascii="Book Antiqua" w:hAnsi="Book Antiqua"/>
          <w:spacing w:val="20"/>
          <w:sz w:val="28"/>
        </w:rPr>
      </w:pPr>
      <w:r>
        <w:rPr>
          <w:rFonts w:ascii="Book Antiqua" w:hAnsi="Book Antiqua"/>
          <w:spacing w:val="20"/>
          <w:sz w:val="28"/>
        </w:rPr>
        <w:t>29 ноября 1949 г – урановый рудник в Йоханнгеоргенндштадт погибло 370 человек. 24 января 2000 г в Норвегии самая страшная железнодорожная катастрофа за всю историю страны – погибло 30 человек. 2 июня 1969 г в Рейне начала гибнуть рыба, за два года до этого в реку попали две 25 килограммовые канистры с инсектицидом – эта катастрофа вызвала мор нескольких миллионов рыб. Ярким примером международного терроризма является террористический акт против США (хотя США официально не является членом НАТО), совершённый 11 сентября 2002 г, когда террористы протаранили захваченными самолётами две башни – небоскрёба. В результате этого терракта погибло несколько тысяч человек. США и страны НАТО сразу изменили свои взгляды на международный терроризм. Встали на путь сотрудничества в том числе и с Россией по объединению усилий в борьбе с этим злом.</w:t>
      </w:r>
    </w:p>
    <w:p w:rsidR="004F242D" w:rsidRDefault="004F242D">
      <w:pPr>
        <w:ind w:firstLine="454"/>
        <w:jc w:val="both"/>
        <w:rPr>
          <w:rFonts w:ascii="Book Antiqua" w:hAnsi="Book Antiqua"/>
          <w:spacing w:val="20"/>
          <w:sz w:val="28"/>
        </w:rPr>
      </w:pPr>
      <w:r>
        <w:rPr>
          <w:rFonts w:ascii="Book Antiqua" w:hAnsi="Book Antiqua"/>
          <w:spacing w:val="20"/>
          <w:sz w:val="28"/>
        </w:rPr>
        <w:t>Подразделения гражданской обороны стран НАТО были задействованы, когда начались крупные наводнения (осень – зима 2003 – 2004 г) в Италии и во Франции, а так же во время железнодорожной катастрофы в Испании.</w:t>
      </w:r>
    </w:p>
    <w:p w:rsidR="004F242D" w:rsidRDefault="004F242D">
      <w:pPr>
        <w:ind w:firstLine="454"/>
        <w:jc w:val="both"/>
        <w:rPr>
          <w:rFonts w:ascii="Book Antiqua" w:hAnsi="Book Antiqua"/>
          <w:spacing w:val="20"/>
          <w:sz w:val="28"/>
        </w:rPr>
      </w:pPr>
    </w:p>
    <w:p w:rsidR="004F242D" w:rsidRDefault="004F242D">
      <w:pPr>
        <w:pStyle w:val="1"/>
        <w:ind w:firstLine="0"/>
        <w:rPr>
          <w:spacing w:val="20"/>
        </w:rPr>
      </w:pPr>
      <w:r>
        <w:rPr>
          <w:spacing w:val="20"/>
        </w:rPr>
        <w:t>Чрезвычайные ситуации</w:t>
      </w:r>
    </w:p>
    <w:p w:rsidR="004F242D" w:rsidRDefault="004F242D">
      <w:pPr>
        <w:ind w:firstLine="454"/>
        <w:jc w:val="both"/>
        <w:rPr>
          <w:rFonts w:ascii="Book Antiqua" w:hAnsi="Book Antiqua"/>
          <w:spacing w:val="20"/>
          <w:sz w:val="28"/>
        </w:rPr>
      </w:pPr>
      <w:r>
        <w:rPr>
          <w:rFonts w:ascii="Book Antiqua" w:hAnsi="Book Antiqua"/>
          <w:spacing w:val="20"/>
          <w:sz w:val="28"/>
          <w:lang w:val="en-US"/>
        </w:rPr>
        <w:t>XXI</w:t>
      </w:r>
      <w:r>
        <w:rPr>
          <w:rFonts w:ascii="Book Antiqua" w:hAnsi="Book Antiqua"/>
          <w:spacing w:val="20"/>
          <w:sz w:val="28"/>
        </w:rPr>
        <w:t xml:space="preserve"> век выдвинул на первый план глобальные проблемы в сфере социального развития и безопасности. Социальные проблемы, успешно решаемые странами НАТО, на основе достижений научно – технического прогресса, начали драматично переплетаться с негативными последствиями торжества новых технологий – с так называемыми техногенными проблемами, преодоление которых требует отвлечения значительной части национального дохода, иной системы концентрации ресурсов, а так же координирующей роли государств, совместных действий в границах огромных регионов а даже всего мирового сообщества. Практическая работа стран НАТО в этих стратегических направлениях признаётся эффективной, пользуется общественной поддержкой и широко освещается в средствах массовой информации.</w:t>
      </w:r>
    </w:p>
    <w:p w:rsidR="004F242D" w:rsidRDefault="004F242D">
      <w:pPr>
        <w:ind w:firstLine="454"/>
        <w:jc w:val="both"/>
        <w:rPr>
          <w:rFonts w:ascii="Book Antiqua" w:hAnsi="Book Antiqua"/>
          <w:spacing w:val="20"/>
          <w:sz w:val="28"/>
        </w:rPr>
      </w:pPr>
      <w:r>
        <w:rPr>
          <w:rFonts w:ascii="Book Antiqua" w:hAnsi="Book Antiqua"/>
          <w:spacing w:val="20"/>
          <w:sz w:val="28"/>
        </w:rPr>
        <w:t>На основе накопленного опыта представляется целесообразным сделать попытку осмысления этих сложных проблем. Без чёткого представления и понимания национальных интересов не возможна выработка концепции безопасности стран НАТО, что диктуется объективными изменениями, происходящими во всем мире. Эти перемены в существенной мере определяются критическим состоянием окружающей среды и динамичными демографическими процессами на планете, практично не контролируемой антропогенной деятельностью, видимыми пределами истощения природных ресурсов при недостаточном во многих странах внимания к ресурсо – сберегающим технологиям, существующими в мире колоссальными запасами сверхразрушительных средств вооружённой борьбы ядерных, химических, бактериологических и других. Национальная безопасность предполагает безусловную защиту жизненно важных интересов стран от любых как внутренних, так и внешних политических, экономических, военных, информационных, экологических и других угроз. Гарантия техногенной экологической безопасности определяется прежде всего развитием безопасных технологий, качественными параметрами производства и наличием ресурсов, используемых для снижения вероятности возникновения драматических последствиях его функционирования, прогнозированием природных катастроф и концентрации средств на ликвидацию их последствий.</w:t>
      </w:r>
    </w:p>
    <w:p w:rsidR="004F242D" w:rsidRDefault="004F242D">
      <w:pPr>
        <w:ind w:firstLine="454"/>
        <w:jc w:val="both"/>
        <w:rPr>
          <w:rFonts w:ascii="Book Antiqua" w:hAnsi="Book Antiqua"/>
          <w:spacing w:val="20"/>
          <w:sz w:val="28"/>
        </w:rPr>
      </w:pPr>
      <w:r>
        <w:rPr>
          <w:rFonts w:ascii="Book Antiqua" w:hAnsi="Book Antiqua"/>
          <w:spacing w:val="20"/>
          <w:sz w:val="28"/>
        </w:rPr>
        <w:t xml:space="preserve">Можно вычленить два вида воздействия на эти процессы – внешний и внутренний. Внутренний связан с собственными затратами различных промышленных структур, которые в процессе своей деятельности создают факторы защищённости, где в свою очередь конкуренция стимулирует снижение доли такого рода затрат. Внешний – когда иные структуры становятся институтом, влияющим на предотвращение катастрофических проявлений. Это преимущественно такие структуры, которые вырабатывают определённые требования к производственным структурам, таким образом оптимизируя в процессе производства объёмы и содержание затрат на преодоление чрезвычайных ситуаций. Следует отметить, что в условиях экономических кризисов стран НАТО решения таких вопросов усложняются. Эта обстановка усиливает необходимость прямого вмешательства в такого рода процесс со стороны государственных структур. В связи с изложенным можно отметить, что само развитие техногенной цивилизации подошло к критическим рубежам, которые обозначили границу её роста. Это обнаружилось во второй половине </w:t>
      </w:r>
      <w:r>
        <w:rPr>
          <w:rFonts w:ascii="Book Antiqua" w:hAnsi="Book Antiqua"/>
          <w:spacing w:val="20"/>
          <w:sz w:val="28"/>
          <w:lang w:val="en-US"/>
        </w:rPr>
        <w:t>XX</w:t>
      </w:r>
      <w:r>
        <w:rPr>
          <w:rFonts w:ascii="Book Antiqua" w:hAnsi="Book Antiqua"/>
          <w:spacing w:val="20"/>
          <w:sz w:val="28"/>
        </w:rPr>
        <w:t xml:space="preserve"> века, в связи с возникновением глобальных кризисов и геополитических осложнениях. Среди многочисленных проблем, порождённых техногенной цивилизацией и поставивших под угрозу само существование человечества, можно выделить три главные.</w:t>
      </w:r>
    </w:p>
    <w:p w:rsidR="004F242D" w:rsidRDefault="004F242D">
      <w:pPr>
        <w:ind w:firstLine="454"/>
        <w:jc w:val="both"/>
        <w:rPr>
          <w:rFonts w:ascii="Book Antiqua" w:hAnsi="Book Antiqua"/>
          <w:spacing w:val="20"/>
          <w:sz w:val="28"/>
        </w:rPr>
      </w:pPr>
      <w:r>
        <w:rPr>
          <w:rFonts w:ascii="Book Antiqua" w:hAnsi="Book Antiqua"/>
          <w:spacing w:val="20"/>
          <w:sz w:val="28"/>
        </w:rPr>
        <w:t xml:space="preserve">Первое – проблема выживания в условиях непрерывного совершенствования оружия массового уничтожения. Второй такой же острой проблемой становится нарастание в глобальных масштабах экологического кризиса, когда два аспекта человеческого существования – человека, как части природы и как деятельного существа, преобразующего природу, пришли в конфликтное противостояние. И наконец третья проблема – это сохранение человеческой личности, как био – социальной структуры в условиях всесторонних нарастающих процессов отчуждения, когда совершенствуя свой мир, человек всё чаще вызывает к жизни такие силы, которые он практически мало контролирует и которые становятся чуждыми его природе. Для реализации такого рода задач сформированы действенные структуры, как в каждом государстве, так и в целом мировом сообществе. Это значит, что практика определила необходимость выработки чёткой позиции, связанной с созданием индустрии безопасности. На пороге </w:t>
      </w:r>
      <w:r>
        <w:rPr>
          <w:rFonts w:ascii="Book Antiqua" w:hAnsi="Book Antiqua"/>
          <w:spacing w:val="20"/>
          <w:sz w:val="28"/>
          <w:lang w:val="en-US"/>
        </w:rPr>
        <w:t>XXI</w:t>
      </w:r>
      <w:r>
        <w:rPr>
          <w:rFonts w:ascii="Book Antiqua" w:hAnsi="Book Antiqua"/>
          <w:spacing w:val="20"/>
          <w:sz w:val="28"/>
        </w:rPr>
        <w:t xml:space="preserve"> века основой жизнедеятельности общества становится его безопасность, система критериев которой включает количественные и качественные характеристики ресурсного экономического производственного научно – технического и оборонного потенциалов; эффективность их использования и развития, обеспечения целостности экономического пространства и возможности адаптации общественно – экономической системы к динамично развивающимся условиям. Составляющие безопасности, связанные с направлением деятельности НАТО прежде всего такие, как техногенная, технологическая, экологическая безопасность, а так же борьба с терроризмом. В совокупности этих сложных проблем, определяющую роль играют следующие обстоятельства:</w:t>
      </w:r>
    </w:p>
    <w:p w:rsidR="004F242D" w:rsidRDefault="004F242D">
      <w:pPr>
        <w:numPr>
          <w:ilvl w:val="0"/>
          <w:numId w:val="2"/>
        </w:numPr>
        <w:jc w:val="both"/>
        <w:rPr>
          <w:rFonts w:ascii="Book Antiqua" w:hAnsi="Book Antiqua"/>
          <w:spacing w:val="20"/>
          <w:sz w:val="28"/>
        </w:rPr>
      </w:pPr>
      <w:r>
        <w:rPr>
          <w:rFonts w:ascii="Book Antiqua" w:hAnsi="Book Antiqua"/>
          <w:spacing w:val="20"/>
          <w:sz w:val="28"/>
        </w:rPr>
        <w:t>оценка роли того или иного фактора в решении как каждой из этих задач, так и их совокупности с определением приоритетов.</w:t>
      </w:r>
    </w:p>
    <w:p w:rsidR="004F242D" w:rsidRDefault="004F242D">
      <w:pPr>
        <w:numPr>
          <w:ilvl w:val="0"/>
          <w:numId w:val="2"/>
        </w:numPr>
        <w:jc w:val="both"/>
        <w:rPr>
          <w:rFonts w:ascii="Book Antiqua" w:hAnsi="Book Antiqua"/>
          <w:spacing w:val="20"/>
          <w:sz w:val="28"/>
        </w:rPr>
      </w:pPr>
      <w:r>
        <w:rPr>
          <w:rFonts w:ascii="Book Antiqua" w:hAnsi="Book Antiqua"/>
          <w:spacing w:val="20"/>
          <w:sz w:val="28"/>
        </w:rPr>
        <w:t>Наличие и способность конкретных структур и конкретных специалистов выполнить эти задачи</w:t>
      </w:r>
    </w:p>
    <w:p w:rsidR="004F242D" w:rsidRDefault="004F242D">
      <w:pPr>
        <w:numPr>
          <w:ilvl w:val="0"/>
          <w:numId w:val="2"/>
        </w:numPr>
        <w:jc w:val="both"/>
        <w:rPr>
          <w:rFonts w:ascii="Book Antiqua" w:hAnsi="Book Antiqua"/>
          <w:spacing w:val="20"/>
          <w:sz w:val="28"/>
        </w:rPr>
      </w:pPr>
      <w:r>
        <w:rPr>
          <w:rFonts w:ascii="Book Antiqua" w:hAnsi="Book Antiqua"/>
          <w:spacing w:val="20"/>
          <w:sz w:val="28"/>
        </w:rPr>
        <w:t>Определение имеющихся ресурсов, путей их наращивания, а так же способов экономической оценки эффективности использования всегда ограниченных средств с учётом реализуемых методов мотивации и стимулирования.</w:t>
      </w:r>
    </w:p>
    <w:p w:rsidR="004F242D" w:rsidRDefault="004F242D">
      <w:pPr>
        <w:pStyle w:val="a5"/>
        <w:rPr>
          <w:rFonts w:ascii="Book Antiqua" w:hAnsi="Book Antiqua"/>
          <w:spacing w:val="20"/>
          <w:sz w:val="28"/>
        </w:rPr>
      </w:pPr>
      <w:r>
        <w:rPr>
          <w:rFonts w:ascii="Book Antiqua" w:hAnsi="Book Antiqua"/>
          <w:spacing w:val="20"/>
          <w:sz w:val="28"/>
        </w:rPr>
        <w:t>В процессе решения этих проблем в рамках деятельности различных стран НАТО, совершенствуются методы реализации следующих научных, технических, экономических, организационных вопросов: мониторинг окружающей среды; прогнозирование чрезвычайных ситуаций, повышение технологической безопасности и эксплуатационной надёжности производственных процессов; защиты населения и его первоочередное жизнеобеспечение в условиях чрезвычайных ситуаций; влияние на рациональное размещение производительных сил и населённых пунктов на территории стран НАТО, инженерная защита территорий и населённых пунктов; локализация зон воздействия поражающих факторов, источников чрезвычайных ситуаций; поддержание в постоянной готовности систем управления, предупреждение и ликвидация последствий аварий, катастроф и стихийных бедствий, информирование населения о возможных чс и подготовка его к действиям в этих условиях. Совокупность перечисленных проблем определяет тенденцию, которую можно характеризовать, как формирование индустрии безопасности стран НАТО. Последние десятилетия стремительно и в существенной мере изменили как мир, так и приоритеты мировых интересов, когда не только количество и масштабы, но и последствия конфликтных ситуаций приобретают весьма драматический характер. В этой связи отметим, что как изучение общей теории конфликтов, так и анализ специфики основных типов конфликтов в общественной жизни, дают возможность рассматривать проблемы управления конфликтами.</w:t>
      </w:r>
    </w:p>
    <w:p w:rsidR="004F242D" w:rsidRDefault="004F242D">
      <w:pPr>
        <w:ind w:firstLine="454"/>
        <w:jc w:val="both"/>
        <w:rPr>
          <w:rFonts w:ascii="Book Antiqua" w:hAnsi="Book Antiqua"/>
          <w:spacing w:val="20"/>
          <w:sz w:val="28"/>
        </w:rPr>
      </w:pPr>
      <w:r>
        <w:rPr>
          <w:rFonts w:ascii="Book Antiqua" w:hAnsi="Book Antiqua"/>
          <w:spacing w:val="20"/>
          <w:sz w:val="28"/>
        </w:rPr>
        <w:t>Сама постановка вопроса управления конфликтами вытекает из принципиального понимания конфликтов как неотъемлемой стороны общественных процессов. Важнейшей процедурой становится экологический аудит со стороны государственных организаций или систематическая оценка степени воздействия на окружающую среду процессов производства товаром и услуг. Развитие событий привело к расширению и трансформации поля ответственности. Различные аспекты происшедших изменений стран НАТО нашли отражение в таких сферах, как правовая ответственность, социальное сознание учёных, профессиональная этика инженеров и других работников. Это значит, что ситуация решительным образом изменилась, поскольку современная техника потребовала от человека действий таких необычных по своему размаху целям и результатам, что они уже не могут регулироваться нормами старой этики и права. Ни одной этической доктрине не приходилось исходить из глобального масштаба человеческого существования, принимать во внимание перспективу далёкого будущего или проблемы выживания человеческого рода. Психологическую и этическую сложность этого процесса ярко выразил лауреат Нобелевской премии – один из создателей квантовой механики, известный немецкий физик – теоретик Макс Борн : «Нет науки,  которая полностью была бы отделена от жизни. Даже самому бесстрастному учёному не чуждо человеческое: он хочет был правым, желает убедиться, что интуиция не обманывает его, надеется добиться известности и успеха – это совокупность, т.е. синтез знаний и ответственности приведёт к эффективному управлению как социальными, так и техническими системами.»</w:t>
      </w:r>
    </w:p>
    <w:p w:rsidR="004F242D" w:rsidRDefault="004F242D">
      <w:pPr>
        <w:ind w:firstLine="454"/>
        <w:jc w:val="both"/>
        <w:rPr>
          <w:rFonts w:ascii="Book Antiqua" w:hAnsi="Book Antiqua"/>
          <w:spacing w:val="20"/>
          <w:sz w:val="28"/>
          <w:lang w:val="en-US"/>
        </w:rPr>
      </w:pPr>
      <w:r>
        <w:rPr>
          <w:rFonts w:ascii="Book Antiqua" w:hAnsi="Book Antiqua"/>
          <w:spacing w:val="20"/>
          <w:sz w:val="28"/>
        </w:rPr>
        <w:t>Рассмотрев только не большую часть узловых обеспечения безопасности жизнедеятельности, связанных с практическими действиями стран НАТО, привлекает внимание к этим проблемам не только руководителей различных государственных, производственных, финансово –экономических, юридических структур, средств массовой информации, но и широкие круги научной общественности, поскольку для решения этих проблем требуются не только концентрация огромных ресурсов, высокая организация, но и изменение общественного массового общественного сознания.</w:t>
      </w:r>
    </w:p>
    <w:p w:rsidR="004F242D" w:rsidRDefault="004F242D">
      <w:pPr>
        <w:ind w:firstLine="454"/>
        <w:jc w:val="both"/>
        <w:rPr>
          <w:rFonts w:ascii="Book Antiqua" w:hAnsi="Book Antiqua"/>
          <w:spacing w:val="20"/>
          <w:sz w:val="28"/>
          <w:lang w:val="en-US"/>
        </w:rPr>
      </w:pPr>
    </w:p>
    <w:p w:rsidR="004F242D" w:rsidRDefault="004F242D">
      <w:pPr>
        <w:pStyle w:val="a3"/>
        <w:jc w:val="center"/>
        <w:rPr>
          <w:rFonts w:ascii="Book Antiqua" w:eastAsia="Batang" w:hAnsi="Book Antiqua"/>
          <w:i/>
          <w:iCs/>
          <w:spacing w:val="20"/>
        </w:rPr>
      </w:pPr>
      <w:r>
        <w:rPr>
          <w:rFonts w:ascii="Book Antiqua" w:eastAsia="Batang" w:hAnsi="Book Antiqua"/>
          <w:i/>
          <w:iCs/>
          <w:spacing w:val="20"/>
        </w:rPr>
        <w:t>Используемая литература:</w:t>
      </w:r>
    </w:p>
    <w:p w:rsidR="004F242D" w:rsidRDefault="004F242D">
      <w:pPr>
        <w:pStyle w:val="a3"/>
        <w:numPr>
          <w:ilvl w:val="0"/>
          <w:numId w:val="3"/>
        </w:numPr>
        <w:rPr>
          <w:rFonts w:ascii="Book Antiqua" w:eastAsia="Batang" w:hAnsi="Book Antiqua"/>
          <w:spacing w:val="20"/>
        </w:rPr>
      </w:pPr>
      <w:r>
        <w:rPr>
          <w:rFonts w:ascii="Book Antiqua" w:eastAsia="Batang" w:hAnsi="Book Antiqua"/>
          <w:spacing w:val="20"/>
        </w:rPr>
        <w:t>США во время войны и после М., 1979 г.</w:t>
      </w:r>
    </w:p>
    <w:p w:rsidR="004F242D" w:rsidRDefault="004F242D">
      <w:pPr>
        <w:pStyle w:val="a3"/>
        <w:numPr>
          <w:ilvl w:val="0"/>
          <w:numId w:val="1"/>
        </w:numPr>
        <w:rPr>
          <w:rFonts w:ascii="Book Antiqua" w:eastAsia="Batang" w:hAnsi="Book Antiqua"/>
          <w:spacing w:val="20"/>
        </w:rPr>
      </w:pPr>
      <w:r>
        <w:rPr>
          <w:rFonts w:ascii="Book Antiqua" w:eastAsia="Batang" w:hAnsi="Book Antiqua"/>
          <w:spacing w:val="20"/>
        </w:rPr>
        <w:t>Кортунов А. Вашингтон против освободившихся стран М., 1986 г.</w:t>
      </w:r>
    </w:p>
    <w:p w:rsidR="004F242D" w:rsidRDefault="004F242D">
      <w:pPr>
        <w:pStyle w:val="a3"/>
        <w:numPr>
          <w:ilvl w:val="0"/>
          <w:numId w:val="1"/>
        </w:numPr>
        <w:rPr>
          <w:rFonts w:ascii="Book Antiqua" w:eastAsia="Batang" w:hAnsi="Book Antiqua"/>
          <w:spacing w:val="20"/>
        </w:rPr>
      </w:pPr>
      <w:r>
        <w:rPr>
          <w:rFonts w:ascii="Book Antiqua" w:eastAsia="Batang" w:hAnsi="Book Antiqua"/>
          <w:spacing w:val="20"/>
        </w:rPr>
        <w:t>Зин Г. США в военные и послевоенные годы М., 1987 г.</w:t>
      </w:r>
    </w:p>
    <w:p w:rsidR="004F242D" w:rsidRDefault="004F242D">
      <w:pPr>
        <w:pStyle w:val="a3"/>
        <w:numPr>
          <w:ilvl w:val="0"/>
          <w:numId w:val="1"/>
        </w:numPr>
        <w:rPr>
          <w:rFonts w:ascii="Book Antiqua" w:eastAsia="Batang" w:hAnsi="Book Antiqua"/>
          <w:spacing w:val="20"/>
        </w:rPr>
      </w:pPr>
      <w:r>
        <w:rPr>
          <w:rFonts w:ascii="Book Antiqua" w:eastAsia="Batang" w:hAnsi="Book Antiqua"/>
          <w:spacing w:val="20"/>
        </w:rPr>
        <w:t>Дэвис Б. Энциклопедия выживания и спасения М., изд-во «Вече» , 1997г.</w:t>
      </w:r>
    </w:p>
    <w:p w:rsidR="004F242D" w:rsidRDefault="004F242D">
      <w:pPr>
        <w:pStyle w:val="a3"/>
        <w:numPr>
          <w:ilvl w:val="0"/>
          <w:numId w:val="1"/>
        </w:numPr>
        <w:rPr>
          <w:rFonts w:ascii="Book Antiqua" w:eastAsia="Batang" w:hAnsi="Book Antiqua"/>
          <w:spacing w:val="20"/>
        </w:rPr>
      </w:pPr>
      <w:r>
        <w:rPr>
          <w:rFonts w:ascii="Book Antiqua" w:eastAsia="Batang" w:hAnsi="Book Antiqua"/>
          <w:spacing w:val="20"/>
        </w:rPr>
        <w:t>Манкович Защита от ионизирующих излучений справочник М., энергоиздат 1982 г.</w:t>
      </w:r>
    </w:p>
    <w:p w:rsidR="004F242D" w:rsidRDefault="004F242D">
      <w:pPr>
        <w:pStyle w:val="a3"/>
        <w:numPr>
          <w:ilvl w:val="0"/>
          <w:numId w:val="1"/>
        </w:numPr>
        <w:rPr>
          <w:rFonts w:ascii="Book Antiqua" w:eastAsia="Batang" w:hAnsi="Book Antiqua"/>
          <w:spacing w:val="20"/>
        </w:rPr>
      </w:pPr>
      <w:r>
        <w:rPr>
          <w:rFonts w:ascii="Book Antiqua" w:eastAsia="Batang" w:hAnsi="Book Antiqua"/>
          <w:spacing w:val="20"/>
        </w:rPr>
        <w:t>Гражданская оборона. Под редакцией генерала армии А.Т.Алтунина М., воениздат 1982 г.</w:t>
      </w:r>
    </w:p>
    <w:p w:rsidR="004F242D" w:rsidRDefault="004F242D">
      <w:pPr>
        <w:pStyle w:val="a3"/>
        <w:numPr>
          <w:ilvl w:val="0"/>
          <w:numId w:val="1"/>
        </w:numPr>
        <w:rPr>
          <w:rFonts w:ascii="Book Antiqua" w:eastAsia="Batang" w:hAnsi="Book Antiqua"/>
          <w:spacing w:val="20"/>
        </w:rPr>
      </w:pPr>
      <w:r>
        <w:rPr>
          <w:rFonts w:ascii="Book Antiqua" w:eastAsia="Batang" w:hAnsi="Book Antiqua"/>
          <w:spacing w:val="20"/>
        </w:rPr>
        <w:t>Рыбаков В.А. и др.  Национальная безопасность: гражданская оборона и чрезвычайные ситуации – «Экономика и производство»,  1998 г  №12  стр.4</w:t>
      </w:r>
    </w:p>
    <w:p w:rsidR="004F242D" w:rsidRDefault="004F242D">
      <w:pPr>
        <w:ind w:firstLine="454"/>
        <w:jc w:val="both"/>
        <w:rPr>
          <w:rFonts w:ascii="Book Antiqua" w:hAnsi="Book Antiqua"/>
          <w:spacing w:val="20"/>
          <w:sz w:val="28"/>
        </w:rPr>
      </w:pPr>
    </w:p>
    <w:p w:rsidR="004F242D" w:rsidRDefault="004F242D">
      <w:pPr>
        <w:ind w:firstLine="454"/>
        <w:jc w:val="both"/>
        <w:rPr>
          <w:rFonts w:ascii="Book Antiqua" w:hAnsi="Book Antiqua"/>
          <w:spacing w:val="20"/>
          <w:sz w:val="28"/>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rPr>
      </w:pPr>
    </w:p>
    <w:p w:rsidR="004F242D" w:rsidRDefault="004F242D">
      <w:pPr>
        <w:pStyle w:val="a3"/>
        <w:rPr>
          <w:rFonts w:ascii="Book Antiqua" w:eastAsia="Batang" w:hAnsi="Book Antiqua"/>
          <w:spacing w:val="20"/>
          <w:sz w:val="32"/>
        </w:rPr>
      </w:pPr>
    </w:p>
    <w:p w:rsidR="004F242D" w:rsidRDefault="004F242D">
      <w:pPr>
        <w:pStyle w:val="a3"/>
        <w:rPr>
          <w:rFonts w:ascii="Book Antiqua" w:eastAsia="Batang" w:hAnsi="Book Antiqua"/>
          <w:spacing w:val="20"/>
          <w:sz w:val="32"/>
        </w:rPr>
      </w:pPr>
    </w:p>
    <w:p w:rsidR="004F242D" w:rsidRDefault="004F242D">
      <w:pPr>
        <w:pStyle w:val="a3"/>
        <w:rPr>
          <w:rFonts w:ascii="Book Antiqua" w:eastAsia="Batang" w:hAnsi="Book Antiqua"/>
          <w:spacing w:val="20"/>
          <w:sz w:val="32"/>
        </w:rPr>
      </w:pPr>
    </w:p>
    <w:p w:rsidR="004F242D" w:rsidRDefault="004F242D">
      <w:pPr>
        <w:pStyle w:val="a3"/>
        <w:rPr>
          <w:rFonts w:ascii="Book Antiqua" w:eastAsia="Batang" w:hAnsi="Book Antiqua"/>
          <w:spacing w:val="20"/>
          <w:sz w:val="32"/>
        </w:rPr>
      </w:pPr>
    </w:p>
    <w:p w:rsidR="004F242D" w:rsidRDefault="004F242D">
      <w:pPr>
        <w:pStyle w:val="a3"/>
        <w:rPr>
          <w:rFonts w:ascii="Book Antiqua" w:eastAsia="Batang" w:hAnsi="Book Antiqua"/>
          <w:spacing w:val="20"/>
          <w:sz w:val="32"/>
        </w:rPr>
      </w:pPr>
    </w:p>
    <w:p w:rsidR="004F242D" w:rsidRDefault="004F242D">
      <w:pPr>
        <w:pStyle w:val="a3"/>
        <w:rPr>
          <w:rFonts w:ascii="Book Antiqua" w:eastAsia="Batang" w:hAnsi="Book Antiqua"/>
          <w:spacing w:val="20"/>
          <w:sz w:val="32"/>
        </w:rPr>
      </w:pPr>
    </w:p>
    <w:p w:rsidR="004F242D" w:rsidRDefault="004F242D">
      <w:pPr>
        <w:pStyle w:val="a3"/>
        <w:rPr>
          <w:rFonts w:ascii="Book Antiqua" w:eastAsia="Batang" w:hAnsi="Book Antiqua"/>
          <w:spacing w:val="20"/>
          <w:sz w:val="32"/>
        </w:rPr>
      </w:pPr>
    </w:p>
    <w:p w:rsidR="004F242D" w:rsidRDefault="004F242D">
      <w:pPr>
        <w:pStyle w:val="a3"/>
        <w:rPr>
          <w:rFonts w:ascii="Book Antiqua" w:eastAsia="Batang" w:hAnsi="Book Antiqua"/>
          <w:spacing w:val="20"/>
          <w:sz w:val="32"/>
        </w:rPr>
      </w:pPr>
    </w:p>
    <w:p w:rsidR="004F242D" w:rsidRDefault="004F242D">
      <w:pPr>
        <w:pStyle w:val="a3"/>
        <w:ind w:firstLine="0"/>
        <w:rPr>
          <w:rFonts w:ascii="Book Antiqua" w:eastAsia="Batang" w:hAnsi="Book Antiqua"/>
          <w:b/>
          <w:bCs/>
          <w:spacing w:val="20"/>
          <w:sz w:val="40"/>
        </w:rPr>
      </w:pPr>
    </w:p>
    <w:p w:rsidR="004F242D" w:rsidRDefault="00373E30">
      <w:pPr>
        <w:pStyle w:val="a3"/>
        <w:ind w:firstLine="0"/>
        <w:rPr>
          <w:rFonts w:ascii="Book Antiqua" w:eastAsia="Batang" w:hAnsi="Book Antiqua"/>
          <w:b/>
          <w:bCs/>
          <w:spacing w:val="20"/>
          <w:sz w:val="40"/>
        </w:rPr>
      </w:pPr>
      <w:r>
        <w:rPr>
          <w:rFonts w:ascii="Book Antiqua" w:eastAsia="Batang" w:hAnsi="Book Antiqua"/>
          <w:b/>
          <w:bCs/>
          <w:noProof/>
          <w:spacing w:val="20"/>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25.6pt;margin-top:729pt;width:57pt;height:8.95pt;z-index:251656192;mso-position-horizontal:right" fillcolor="black">
            <v:shadow color="#868686"/>
            <v:textpath style="font-family:&quot;Bookman Old Style&quot;;font-size:16pt;v-text-spacing:78650f;v-text-kern:t" trim="t" fitpath="t" string="2004 г."/>
          </v:shape>
        </w:pict>
      </w:r>
    </w:p>
    <w:p w:rsidR="004F242D" w:rsidRDefault="004F242D">
      <w:pPr>
        <w:pStyle w:val="a3"/>
        <w:rPr>
          <w:rFonts w:ascii="Book Antiqua" w:eastAsia="Batang" w:hAnsi="Book Antiqua"/>
          <w:spacing w:val="20"/>
        </w:rPr>
      </w:pPr>
    </w:p>
    <w:p w:rsidR="004F242D" w:rsidRDefault="00373E30">
      <w:r>
        <w:rPr>
          <w:noProof/>
          <w:sz w:val="20"/>
        </w:rPr>
        <w:pict>
          <v:shape id="_x0000_s1029" type="#_x0000_t136" style="position:absolute;margin-left:373.1pt;margin-top:684pt;width:35.25pt;height:9.35pt;z-index:251659264;mso-position-horizontal:right" fillcolor="black">
            <v:shadow color="#868686"/>
            <v:textpath style="font-family:&quot;Book Antiqua&quot;;font-size:12pt;v-text-spacing:78650f;v-text-kern:t" trim="t" fitpath="t" string="2004 г."/>
          </v:shape>
        </w:pict>
      </w:r>
      <w:r>
        <w:rPr>
          <w:noProof/>
          <w:sz w:val="20"/>
        </w:rPr>
        <w:pict>
          <v:shape id="_x0000_s1028" type="#_x0000_t136" style="position:absolute;margin-left:36pt;margin-top:342pt;width:131.25pt;height:26.2pt;z-index:251658240" fillcolor="black">
            <v:shadow color="#868686"/>
            <v:textpath style="font-family:&quot;Book Antiqua&quot;;font-size:16pt;v-text-spacing:78650f;v-text-kern:t" trim="t" fitpath="t" string="КИ - 1 - 02&#10;Корсиков Андрей"/>
          </v:shape>
        </w:pict>
      </w:r>
      <w:r>
        <w:rPr>
          <w:noProof/>
          <w:sz w:val="20"/>
        </w:rPr>
        <w:pict>
          <v:shape id="_x0000_s1027" type="#_x0000_t136" style="position:absolute;margin-left:0;margin-top:243pt;width:378pt;height:45pt;z-index:251657216;mso-position-horizontal:center" fillcolor="black">
            <v:shadow color="#868686"/>
            <v:textpath style="font-family:&quot;Book Antiqua&quot;;font-size:18pt;v-text-spacing:78650f;v-text-kern:t" trim="t" fitpath="t" string="ГРАЖДАНСКАЯ ОБОРОНА НАТО"/>
          </v:shape>
        </w:pict>
      </w:r>
      <w:bookmarkStart w:id="0" w:name="_GoBack"/>
      <w:bookmarkEnd w:id="0"/>
    </w:p>
    <w:sectPr w:rsidR="004F242D">
      <w:pgSz w:w="11906" w:h="16838"/>
      <w:pgMar w:top="1418" w:right="1531" w:bottom="1418"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32B61"/>
    <w:multiLevelType w:val="hybridMultilevel"/>
    <w:tmpl w:val="E706752C"/>
    <w:lvl w:ilvl="0" w:tplc="EB1AD696">
      <w:start w:val="1"/>
      <w:numFmt w:val="decimal"/>
      <w:lvlText w:val="%1."/>
      <w:lvlJc w:val="left"/>
      <w:pPr>
        <w:tabs>
          <w:tab w:val="num" w:pos="829"/>
        </w:tabs>
        <w:ind w:left="829" w:hanging="375"/>
      </w:pPr>
      <w:rPr>
        <w:rFonts w:hint="default"/>
      </w:rPr>
    </w:lvl>
    <w:lvl w:ilvl="1" w:tplc="BDD88C60">
      <w:start w:val="1"/>
      <w:numFmt w:val="upperRoman"/>
      <w:lvlText w:val="%2."/>
      <w:lvlJc w:val="left"/>
      <w:pPr>
        <w:tabs>
          <w:tab w:val="num" w:pos="1894"/>
        </w:tabs>
        <w:ind w:left="1894" w:hanging="720"/>
      </w:pPr>
      <w:rPr>
        <w:rFonts w:hint="default"/>
      </w:rPr>
    </w:lvl>
    <w:lvl w:ilvl="2" w:tplc="AA14417A">
      <w:start w:val="1"/>
      <w:numFmt w:val="decimal"/>
      <w:lvlText w:val="%3.)"/>
      <w:lvlJc w:val="left"/>
      <w:pPr>
        <w:tabs>
          <w:tab w:val="num" w:pos="2524"/>
        </w:tabs>
        <w:ind w:left="2524" w:hanging="450"/>
      </w:pPr>
      <w:rPr>
        <w:rFonts w:hint="default"/>
      </w:r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1">
    <w:nsid w:val="54D23A6C"/>
    <w:multiLevelType w:val="hybridMultilevel"/>
    <w:tmpl w:val="56321C4A"/>
    <w:lvl w:ilvl="0" w:tplc="6ECC22AA">
      <w:numFmt w:val="bullet"/>
      <w:lvlText w:val="-"/>
      <w:lvlJc w:val="left"/>
      <w:pPr>
        <w:tabs>
          <w:tab w:val="num" w:pos="1069"/>
        </w:tabs>
        <w:ind w:left="1069" w:hanging="615"/>
      </w:pPr>
      <w:rPr>
        <w:rFonts w:ascii="Times New Roman" w:eastAsia="Times New Roman" w:hAnsi="Times New Roman" w:cs="Times New Roman"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2">
    <w:nsid w:val="66631F96"/>
    <w:multiLevelType w:val="hybridMultilevel"/>
    <w:tmpl w:val="47DE734A"/>
    <w:lvl w:ilvl="0" w:tplc="CDB08A90">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58C"/>
    <w:rsid w:val="0011358C"/>
    <w:rsid w:val="001A56F5"/>
    <w:rsid w:val="00373E30"/>
    <w:rsid w:val="004F2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E406FDAC-B0A5-420F-AA33-1C7A34B7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454"/>
      <w:jc w:val="center"/>
      <w:outlineLvl w:val="0"/>
    </w:pPr>
    <w:rPr>
      <w:rFonts w:ascii="Book Antiqua" w:hAnsi="Book Antiqua"/>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pPr>
      <w:ind w:firstLine="454"/>
      <w:jc w:val="both"/>
    </w:pPr>
    <w:rPr>
      <w:rFonts w:ascii="Bookman Old Style" w:hAnsi="Bookman Old Style"/>
      <w:sz w:val="28"/>
    </w:rPr>
  </w:style>
  <w:style w:type="paragraph" w:styleId="a4">
    <w:name w:val="Title"/>
    <w:basedOn w:val="a"/>
    <w:qFormat/>
    <w:pPr>
      <w:ind w:firstLine="454"/>
      <w:jc w:val="center"/>
    </w:pPr>
    <w:rPr>
      <w:rFonts w:ascii="Bookman Old Style" w:hAnsi="Bookman Old Style"/>
      <w:i/>
      <w:iCs/>
      <w:sz w:val="28"/>
    </w:rPr>
  </w:style>
  <w:style w:type="paragraph" w:styleId="a5">
    <w:name w:val="Body Text Indent"/>
    <w:basedOn w:val="a"/>
    <w:semiHidden/>
    <w:pPr>
      <w:ind w:firstLine="454"/>
      <w:jc w:val="both"/>
    </w:pPr>
    <w:rPr>
      <w:rFonts w:ascii="Bookman Old Style" w:hAnsi="Bookman Old Style"/>
    </w:rPr>
  </w:style>
  <w:style w:type="paragraph" w:styleId="2">
    <w:name w:val="Body Text Indent 2"/>
    <w:basedOn w:val="a"/>
    <w:semiHidden/>
    <w:pPr>
      <w:ind w:firstLine="454"/>
      <w:jc w:val="both"/>
    </w:pPr>
    <w:rPr>
      <w:rFonts w:ascii="Book Antiqua" w:hAnsi="Book Antiqu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4155</Words>
  <Characters>23684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Irina</cp:lastModifiedBy>
  <cp:revision>2</cp:revision>
  <cp:lastPrinted>2004-04-15T18:43:00Z</cp:lastPrinted>
  <dcterms:created xsi:type="dcterms:W3CDTF">2014-09-05T15:36:00Z</dcterms:created>
  <dcterms:modified xsi:type="dcterms:W3CDTF">2014-09-05T15:36:00Z</dcterms:modified>
</cp:coreProperties>
</file>