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5D" w:rsidRDefault="00620A5D">
      <w:pPr>
        <w:shd w:val="clear" w:color="auto" w:fill="FFFFFF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Гражданский кодекс Наполеона является источником французского гражданского права. </w:t>
      </w:r>
      <w:r>
        <w:rPr>
          <w:snapToGrid w:val="0"/>
          <w:color w:val="000000"/>
          <w:sz w:val="28"/>
          <w:szCs w:val="28"/>
        </w:rPr>
        <w:t>В его разработке приняли участие такие видные французские юристы, как Порталис, Тронше, Мальвиль и др., опиравшиеся на римское право, дореволюционную судеб</w:t>
      </w:r>
      <w:r>
        <w:rPr>
          <w:snapToGrid w:val="0"/>
          <w:color w:val="000000"/>
          <w:sz w:val="28"/>
          <w:szCs w:val="28"/>
        </w:rPr>
        <w:softHyphen/>
        <w:t>ную практику и кутюмы, которые они переработали в соот</w:t>
      </w:r>
      <w:r>
        <w:rPr>
          <w:snapToGrid w:val="0"/>
          <w:color w:val="000000"/>
          <w:sz w:val="28"/>
          <w:szCs w:val="28"/>
        </w:rPr>
        <w:softHyphen/>
        <w:t>ветствии с потребностями нового общества. Первый консул лично участвовал в обсуждении ряда статей Кодекса. Он устранил из проекта некоторые положения, которые ассо</w:t>
      </w:r>
      <w:r>
        <w:rPr>
          <w:snapToGrid w:val="0"/>
          <w:color w:val="000000"/>
          <w:sz w:val="28"/>
          <w:szCs w:val="28"/>
        </w:rPr>
        <w:softHyphen/>
        <w:t>циировались с революцией, а в послереволюцион</w:t>
      </w:r>
      <w:r>
        <w:rPr>
          <w:snapToGrid w:val="0"/>
          <w:color w:val="000000"/>
          <w:sz w:val="28"/>
          <w:szCs w:val="28"/>
        </w:rPr>
        <w:softHyphen/>
        <w:t>ный период, представлялись чрезмерно радикальными.</w:t>
      </w:r>
    </w:p>
    <w:p w:rsidR="00620A5D" w:rsidRDefault="00620A5D">
      <w:pPr>
        <w:shd w:val="clear" w:color="auto" w:fill="FFFFFF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Несмотря на отдельные консервативные отступления, именно в Кодексе Наполеона гражданское право Франции нашло свое классическое выражение. Поэтому и сам Кодекс имел для своей эпохи революционное значение, сыграл ис</w:t>
      </w:r>
      <w:r>
        <w:rPr>
          <w:snapToGrid w:val="0"/>
          <w:color w:val="000000"/>
          <w:sz w:val="28"/>
          <w:szCs w:val="28"/>
        </w:rPr>
        <w:softHyphen/>
        <w:t>ключительно важную роль в разработке и утверждении многих принципов нового гражданского права.</w:t>
      </w:r>
    </w:p>
    <w:p w:rsidR="00620A5D" w:rsidRDefault="00620A5D">
      <w:pPr>
        <w:shd w:val="clear" w:color="auto" w:fill="FFFFFF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Кодекс отличался стройностью изложения, сжатостью юридических формулировок и дефиниций, определенностью и четкостью трактовки основных понятий и институтов гра</w:t>
      </w:r>
      <w:r>
        <w:rPr>
          <w:snapToGrid w:val="0"/>
          <w:color w:val="000000"/>
          <w:sz w:val="28"/>
          <w:szCs w:val="28"/>
        </w:rPr>
        <w:softHyphen/>
        <w:t>жданского права. ГК Наполеона насчитывал 2281 статью и состоял из вводного титула и 3 книг. Его структура отрази</w:t>
      </w:r>
      <w:r>
        <w:rPr>
          <w:snapToGrid w:val="0"/>
          <w:color w:val="000000"/>
          <w:sz w:val="28"/>
          <w:szCs w:val="28"/>
        </w:rPr>
        <w:softHyphen/>
        <w:t>ла схему построения институций римского права: лица, вещи, наследование и обязательства. Данная структура Кодекса получила в гражданском праве название институционной.</w:t>
      </w:r>
    </w:p>
    <w:p w:rsidR="00620A5D" w:rsidRDefault="00620A5D">
      <w:pPr>
        <w:spacing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Французский гражданский кодекс 1804 г. (ФГК) занимает центральное место в системе наполеоновских кодексов, поскольку им регулируются важ</w:t>
      </w:r>
      <w:r>
        <w:rPr>
          <w:snapToGrid w:val="0"/>
          <w:color w:val="000000"/>
          <w:sz w:val="28"/>
          <w:szCs w:val="28"/>
        </w:rPr>
        <w:softHyphen/>
        <w:t>нейшие экономические отношения капиталистического общества. Этот кодекс наиболее значителен по своему объему (при первоначальном издании в нем насчитывалась 2281 статья), и он же считается наиболее совершенным из "классических" кодексов по форме изложения, в том числе по структуре. ФГК состоит из вводного титула и трех книг. В небольшом вводном титуле изложе</w:t>
      </w:r>
      <w:r>
        <w:rPr>
          <w:snapToGrid w:val="0"/>
          <w:color w:val="000000"/>
          <w:sz w:val="28"/>
          <w:szCs w:val="28"/>
        </w:rPr>
        <w:softHyphen/>
        <w:t>ны правила действия гражданских законов во времени и пространстве, а также некоторые правила, относящиеся к вступлению в силу и применению право</w:t>
      </w:r>
      <w:r>
        <w:rPr>
          <w:snapToGrid w:val="0"/>
          <w:color w:val="000000"/>
          <w:sz w:val="28"/>
          <w:szCs w:val="28"/>
        </w:rPr>
        <w:softHyphen/>
        <w:t>вых норм. Эти правила распространяются не только на ФГК, но и на иные французские законы.</w:t>
      </w:r>
    </w:p>
    <w:p w:rsidR="00620A5D" w:rsidRDefault="00620A5D">
      <w:pPr>
        <w:shd w:val="clear" w:color="auto" w:fill="FFFFFF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Книга первая "О лицах" открывается нормами, регулирующими правовой статус французов и гражданские права иностранцев во Франции. В этой же книге содержатся положения о порядке и последствиях признания лица безве</w:t>
      </w:r>
      <w:r>
        <w:rPr>
          <w:snapToGrid w:val="0"/>
          <w:color w:val="000000"/>
          <w:sz w:val="28"/>
          <w:szCs w:val="28"/>
        </w:rPr>
        <w:softHyphen/>
        <w:t>стно отсутствующим, о браке и разводе, о правовом статусе несовершеннолет</w:t>
      </w:r>
      <w:r>
        <w:rPr>
          <w:snapToGrid w:val="0"/>
          <w:color w:val="000000"/>
          <w:sz w:val="28"/>
          <w:szCs w:val="28"/>
        </w:rPr>
        <w:softHyphen/>
        <w:t>них, об опеке и попечительстве. В книге второй "Об имуществах и различных видоизменениях собственности" сосредоточены нормы, определяющие недви</w:t>
      </w:r>
      <w:r>
        <w:rPr>
          <w:snapToGrid w:val="0"/>
          <w:color w:val="000000"/>
          <w:sz w:val="28"/>
          <w:szCs w:val="28"/>
        </w:rPr>
        <w:softHyphen/>
        <w:t>жимое и движимое имущество, государственную и коммунальную собствен</w:t>
      </w:r>
      <w:r>
        <w:rPr>
          <w:snapToGrid w:val="0"/>
          <w:color w:val="000000"/>
          <w:sz w:val="28"/>
          <w:szCs w:val="28"/>
        </w:rPr>
        <w:softHyphen/>
        <w:t>ность, права собственников и пользователей имуществом. В книге третьей "О различных способах, которыми приобретается собственность", наиболее зна</w:t>
      </w:r>
      <w:r>
        <w:rPr>
          <w:snapToGrid w:val="0"/>
          <w:color w:val="000000"/>
          <w:sz w:val="28"/>
          <w:szCs w:val="28"/>
        </w:rPr>
        <w:softHyphen/>
        <w:t>чительной по объему, собраны нормы, регулирующие' многие институты фран</w:t>
      </w:r>
      <w:r>
        <w:rPr>
          <w:snapToGrid w:val="0"/>
          <w:color w:val="000000"/>
          <w:sz w:val="28"/>
          <w:szCs w:val="28"/>
        </w:rPr>
        <w:softHyphen/>
        <w:t>цузского гражданского права. Книга открывается нормами о наследовании и дарении. В ней подробнейшим образом изложены нормы, относящиеся к обя</w:t>
      </w:r>
      <w:r>
        <w:rPr>
          <w:snapToGrid w:val="0"/>
          <w:color w:val="000000"/>
          <w:sz w:val="28"/>
          <w:szCs w:val="28"/>
        </w:rPr>
        <w:softHyphen/>
        <w:t>зательственному праву, к договорам купли-продажи, найма, займа, поручения, поручительства, залога и др. В этой же книге изложены, применительно к инс</w:t>
      </w:r>
      <w:r>
        <w:rPr>
          <w:snapToGrid w:val="0"/>
          <w:color w:val="000000"/>
          <w:sz w:val="28"/>
          <w:szCs w:val="28"/>
        </w:rPr>
        <w:softHyphen/>
        <w:t>титуту дарения, правила исчисления сроков приобретательской и исковой дав</w:t>
      </w:r>
      <w:r>
        <w:rPr>
          <w:snapToGrid w:val="0"/>
          <w:color w:val="000000"/>
          <w:sz w:val="28"/>
          <w:szCs w:val="28"/>
        </w:rPr>
        <w:softHyphen/>
        <w:t>ности.</w:t>
      </w:r>
    </w:p>
    <w:p w:rsidR="00620A5D" w:rsidRDefault="00620A5D">
      <w:pPr>
        <w:shd w:val="clear" w:color="auto" w:fill="FFFFFF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ФГК подвергался многочисленным изменениям и дополнениям, в ходе ко</w:t>
      </w:r>
      <w:r>
        <w:rPr>
          <w:snapToGrid w:val="0"/>
          <w:color w:val="000000"/>
          <w:sz w:val="28"/>
          <w:szCs w:val="28"/>
        </w:rPr>
        <w:softHyphen/>
        <w:t>торых из него нередко изымались целые разделы либо включались дополни</w:t>
      </w:r>
      <w:r>
        <w:rPr>
          <w:snapToGrid w:val="0"/>
          <w:color w:val="000000"/>
          <w:sz w:val="28"/>
          <w:szCs w:val="28"/>
        </w:rPr>
        <w:softHyphen/>
        <w:t>тельные главы, заново регламентирующие крупные правовые институты, не говоря уже об исправлениях текста, коснувшихся большинства статей кодекса. Наибольшим преобразованиям подверглась книга первая ФГК в сфере регу</w:t>
      </w:r>
      <w:r>
        <w:rPr>
          <w:snapToGrid w:val="0"/>
          <w:color w:val="000000"/>
          <w:sz w:val="28"/>
          <w:szCs w:val="28"/>
        </w:rPr>
        <w:softHyphen/>
        <w:t>лирования брачно-семейных отношений, а также относительно объявления лица безвестно отсутствующим, которое ныне производится по правилам со</w:t>
      </w:r>
      <w:r>
        <w:rPr>
          <w:snapToGrid w:val="0"/>
          <w:color w:val="000000"/>
          <w:sz w:val="28"/>
          <w:szCs w:val="28"/>
        </w:rPr>
        <w:softHyphen/>
        <w:t>ответствующего акта 1977 г. Такого рода изменения и дополнения кодекса на</w:t>
      </w:r>
      <w:r>
        <w:rPr>
          <w:snapToGrid w:val="0"/>
          <w:color w:val="000000"/>
          <w:sz w:val="28"/>
          <w:szCs w:val="28"/>
        </w:rPr>
        <w:softHyphen/>
        <w:t xml:space="preserve">чали осуществляться еще в </w:t>
      </w:r>
      <w:r>
        <w:rPr>
          <w:snapToGrid w:val="0"/>
          <w:color w:val="000000"/>
          <w:sz w:val="28"/>
          <w:szCs w:val="28"/>
          <w:lang w:val="en-US"/>
        </w:rPr>
        <w:t xml:space="preserve">XIX </w:t>
      </w:r>
      <w:r>
        <w:rPr>
          <w:snapToGrid w:val="0"/>
          <w:color w:val="000000"/>
          <w:sz w:val="28"/>
          <w:szCs w:val="28"/>
        </w:rPr>
        <w:t>в., однако самые значительные из них отно</w:t>
      </w:r>
      <w:r>
        <w:rPr>
          <w:snapToGrid w:val="0"/>
          <w:color w:val="000000"/>
          <w:sz w:val="28"/>
          <w:szCs w:val="28"/>
        </w:rPr>
        <w:softHyphen/>
        <w:t>сятся к периоду после второй мировой войны и по настоящее время.</w:t>
      </w:r>
    </w:p>
    <w:p w:rsidR="00620A5D" w:rsidRDefault="00620A5D">
      <w:pPr>
        <w:shd w:val="clear" w:color="auto" w:fill="FFFFFF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Положения ФГК, относящиеся к самому важному из регулируемых им правовых институтов — праву собственности, подверглись существенным из</w:t>
      </w:r>
      <w:r>
        <w:rPr>
          <w:snapToGrid w:val="0"/>
          <w:color w:val="000000"/>
          <w:sz w:val="28"/>
          <w:szCs w:val="28"/>
        </w:rPr>
        <w:softHyphen/>
        <w:t>менениям. Ранее провозглашавшийся тезис об "абсолютном" характере права собственности дополнен возможностями ограничения этого права в интересах общества. Большое развитие получила государственная собственность, собст</w:t>
      </w:r>
      <w:r>
        <w:rPr>
          <w:snapToGrid w:val="0"/>
          <w:color w:val="000000"/>
          <w:sz w:val="28"/>
          <w:szCs w:val="28"/>
        </w:rPr>
        <w:softHyphen/>
        <w:t>венность компаний и других юридических лиц, в том числе на средства произ</w:t>
      </w:r>
      <w:r>
        <w:rPr>
          <w:snapToGrid w:val="0"/>
          <w:color w:val="000000"/>
          <w:sz w:val="28"/>
          <w:szCs w:val="28"/>
        </w:rPr>
        <w:softHyphen/>
        <w:t>водства и иную недвижимость.</w:t>
      </w:r>
    </w:p>
    <w:p w:rsidR="00620A5D" w:rsidRDefault="00620A5D">
      <w:pPr>
        <w:shd w:val="clear" w:color="auto" w:fill="FFFFFF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сфере обязательственного права наименьшим изменениям подверглись самые общие положения ФГК об основаниях возникновения, доказывании и исполнении обязательств, а также об ответственности за их невыполнение. Многие виды договоров ныне регулируются самостоятельными актами, либо включенными в текст ФГК, либо представляющими собой отдельные новые "кодексы".</w:t>
      </w:r>
    </w:p>
    <w:p w:rsidR="00620A5D" w:rsidRDefault="00620A5D">
      <w:pPr>
        <w:shd w:val="clear" w:color="auto" w:fill="FFFFFF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сфере семейного права по сравнению с нормами ФГК в первоначальной редакции 1804 г. к настоящему времени произошли весьма существенные из</w:t>
      </w:r>
      <w:r>
        <w:rPr>
          <w:snapToGrid w:val="0"/>
          <w:color w:val="000000"/>
          <w:sz w:val="28"/>
          <w:szCs w:val="28"/>
        </w:rPr>
        <w:softHyphen/>
        <w:t>менения, в частности после издания важных законодательных актов в этой об</w:t>
      </w:r>
      <w:r>
        <w:rPr>
          <w:snapToGrid w:val="0"/>
          <w:color w:val="000000"/>
          <w:sz w:val="28"/>
          <w:szCs w:val="28"/>
        </w:rPr>
        <w:softHyphen/>
        <w:t>ласти в 1965, 1975 и 1985 гг. Если, согласно прежнему законодательству, же</w:t>
      </w:r>
      <w:r>
        <w:rPr>
          <w:snapToGrid w:val="0"/>
          <w:color w:val="000000"/>
          <w:sz w:val="28"/>
          <w:szCs w:val="28"/>
        </w:rPr>
        <w:softHyphen/>
        <w:t>на не только была обязана следовать за мужем при перемене места жительст</w:t>
      </w:r>
      <w:r>
        <w:rPr>
          <w:snapToGrid w:val="0"/>
          <w:color w:val="000000"/>
          <w:sz w:val="28"/>
          <w:szCs w:val="28"/>
        </w:rPr>
        <w:softHyphen/>
        <w:t>ва, но и в распоряжении совместным имуществом и в ряде других вопросов пользовалась меньшими правами, то ныне достаточно последовательно проводится закрепленный в ст.216 ФГК принцип: "Каждый супруг обладает полной правоспособностью". Со временем была значительно упрощена проце</w:t>
      </w:r>
      <w:r>
        <w:rPr>
          <w:snapToGrid w:val="0"/>
          <w:color w:val="000000"/>
          <w:sz w:val="28"/>
          <w:szCs w:val="28"/>
        </w:rPr>
        <w:softHyphen/>
        <w:t>дура заключения брака, расширен перечень оснований для развода, получил распространение институт санкционированного судом раздельного прожива</w:t>
      </w:r>
      <w:r>
        <w:rPr>
          <w:snapToGrid w:val="0"/>
          <w:color w:val="000000"/>
          <w:sz w:val="28"/>
          <w:szCs w:val="28"/>
        </w:rPr>
        <w:softHyphen/>
        <w:t>ния супругов, существенно расширились права незаконнорожденных и усы</w:t>
      </w:r>
      <w:r>
        <w:rPr>
          <w:snapToGrid w:val="0"/>
          <w:color w:val="000000"/>
          <w:sz w:val="28"/>
          <w:szCs w:val="28"/>
        </w:rPr>
        <w:softHyphen/>
        <w:t>новленных детей и т. д. Согласно закону 1965 г., супруги вправе заключить договор, в котором закрепляется выбранный ими режим имущественных взаи</w:t>
      </w:r>
      <w:r>
        <w:rPr>
          <w:snapToGrid w:val="0"/>
          <w:color w:val="000000"/>
          <w:sz w:val="28"/>
          <w:szCs w:val="28"/>
        </w:rPr>
        <w:softHyphen/>
        <w:t>моотношений. Правовой статус усыновленных и ряд связанных с этим инсти</w:t>
      </w:r>
      <w:r>
        <w:rPr>
          <w:snapToGrid w:val="0"/>
          <w:color w:val="000000"/>
          <w:sz w:val="28"/>
          <w:szCs w:val="28"/>
        </w:rPr>
        <w:softHyphen/>
        <w:t>тутом вопросов ныне регулируются Законом об усыновлении, изданным в 1981 г., и другими актами.</w:t>
      </w:r>
    </w:p>
    <w:p w:rsidR="00620A5D" w:rsidRDefault="00620A5D">
      <w:pPr>
        <w:shd w:val="clear" w:color="auto" w:fill="FFFFFF"/>
        <w:spacing w:line="360" w:lineRule="auto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Наследование имущества, согласно действующим нормам ФГК, осуществ</w:t>
      </w:r>
      <w:r>
        <w:rPr>
          <w:snapToGrid w:val="0"/>
          <w:color w:val="000000"/>
          <w:sz w:val="28"/>
          <w:szCs w:val="28"/>
        </w:rPr>
        <w:softHyphen/>
        <w:t>ляется либо по закону, либо по завещанию (эти два вида наследования ныне регулируются статьями ФГК в редакции двух ордонансов 1958 г. и Закона 1972 г. и последующих актов). При этом на протяжении десятилетий просле</w:t>
      </w:r>
      <w:r>
        <w:rPr>
          <w:snapToGrid w:val="0"/>
          <w:color w:val="000000"/>
          <w:sz w:val="28"/>
          <w:szCs w:val="28"/>
        </w:rPr>
        <w:softHyphen/>
        <w:t>живается тенденция ограничить круг наследников по закону близкими родст</w:t>
      </w:r>
      <w:r>
        <w:rPr>
          <w:snapToGrid w:val="0"/>
          <w:color w:val="000000"/>
          <w:sz w:val="28"/>
          <w:szCs w:val="28"/>
        </w:rPr>
        <w:softHyphen/>
        <w:t>венниками и пережившим супругом. При наследовании по завещанию в зако</w:t>
      </w:r>
      <w:r>
        <w:rPr>
          <w:snapToGrid w:val="0"/>
          <w:color w:val="000000"/>
          <w:sz w:val="28"/>
          <w:szCs w:val="28"/>
        </w:rPr>
        <w:softHyphen/>
        <w:t>не оговорены права на обязательную долю детей наследодателя, в том числе внебрачных. Эта доля зависит от числа детей и составляет от половины до трех четвертей наследственного имущества.</w:t>
      </w:r>
    </w:p>
    <w:p w:rsidR="00620A5D" w:rsidRDefault="00620A5D">
      <w:pPr>
        <w:shd w:val="clear" w:color="auto" w:fill="FFFFFF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Статья 731 ГК предусматривает четыре категории наследников по закону: 1) дети и другие нисходящие родственни</w:t>
      </w:r>
      <w:r>
        <w:rPr>
          <w:snapToGrid w:val="0"/>
          <w:color w:val="000000"/>
          <w:sz w:val="28"/>
          <w:szCs w:val="28"/>
        </w:rPr>
        <w:softHyphen/>
        <w:t>ки наследодателя; 2) восходящие родственники наследодателя; 3) родственники наследодателя по боковой линии; 4) переживший супруг. При этом ст. 725 устанавливает, что наследниками могут быть лица, “существующие в момент открытия наследства”. По</w:t>
      </w:r>
      <w:r>
        <w:rPr>
          <w:snapToGrid w:val="0"/>
          <w:color w:val="000000"/>
          <w:sz w:val="28"/>
          <w:szCs w:val="28"/>
        </w:rPr>
        <w:softHyphen/>
        <w:t>нятие существования является более широким, нежели, напри</w:t>
      </w:r>
      <w:r>
        <w:rPr>
          <w:snapToGrid w:val="0"/>
          <w:color w:val="000000"/>
          <w:sz w:val="28"/>
          <w:szCs w:val="28"/>
        </w:rPr>
        <w:softHyphen/>
        <w:t>мер, понятие нахождения в живых, и позволяет наделить наслед</w:t>
      </w:r>
      <w:r>
        <w:rPr>
          <w:snapToGrid w:val="0"/>
          <w:color w:val="000000"/>
          <w:sz w:val="28"/>
          <w:szCs w:val="28"/>
        </w:rPr>
        <w:softHyphen/>
        <w:t>ственной правоспособностью зачатых, но еще не родившихся де</w:t>
      </w:r>
      <w:r>
        <w:rPr>
          <w:snapToGrid w:val="0"/>
          <w:color w:val="000000"/>
          <w:sz w:val="28"/>
          <w:szCs w:val="28"/>
        </w:rPr>
        <w:softHyphen/>
        <w:t>тей. Напротив, мертворожденные дети и дети, родившиеся “не</w:t>
      </w:r>
      <w:r>
        <w:rPr>
          <w:snapToGrid w:val="0"/>
          <w:color w:val="000000"/>
          <w:sz w:val="28"/>
          <w:szCs w:val="28"/>
        </w:rPr>
        <w:softHyphen/>
        <w:t>жизнеспособными”, наследниками не признаются. Другая катего</w:t>
      </w:r>
      <w:r>
        <w:rPr>
          <w:snapToGrid w:val="0"/>
          <w:color w:val="000000"/>
          <w:sz w:val="28"/>
          <w:szCs w:val="28"/>
        </w:rPr>
        <w:softHyphen/>
        <w:t>рия лиц, правовое положение которых в наследственных отношениях не всегда легко определить, — это безвестно отсутствующие. Поэтому Законом № 77—1447 от 28 декабря 1977 г. в ст. 725 ГК было внесено дополнение, прямо предусматривающее, что наслед</w:t>
      </w:r>
      <w:r>
        <w:rPr>
          <w:snapToGrid w:val="0"/>
          <w:color w:val="000000"/>
          <w:sz w:val="28"/>
          <w:szCs w:val="28"/>
        </w:rPr>
        <w:softHyphen/>
        <w:t>никами могут быть лица, в отношении которых вынесена пре</w:t>
      </w:r>
      <w:r>
        <w:rPr>
          <w:snapToGrid w:val="0"/>
          <w:color w:val="000000"/>
          <w:sz w:val="28"/>
          <w:szCs w:val="28"/>
        </w:rPr>
        <w:softHyphen/>
        <w:t>зумпция безвестного отсутствия.</w:t>
      </w:r>
    </w:p>
    <w:p w:rsidR="00620A5D" w:rsidRDefault="00620A5D">
      <w:pPr>
        <w:shd w:val="clear" w:color="auto" w:fill="FFFFFF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Еще одна категория наследников по закону, о которой следует сказать особо, — это лица, наследующие по праву представления.</w:t>
      </w:r>
    </w:p>
    <w:p w:rsidR="00620A5D" w:rsidRDefault="00620A5D">
      <w:pPr>
        <w:shd w:val="clear" w:color="auto" w:fill="FFFFFF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Статья 739 ГК определяет право представления как юриди</w:t>
      </w:r>
      <w:r>
        <w:rPr>
          <w:snapToGrid w:val="0"/>
          <w:color w:val="000000"/>
          <w:sz w:val="28"/>
          <w:szCs w:val="28"/>
        </w:rPr>
        <w:softHyphen/>
        <w:t>ческую фикцию, позволяющую признать за представителем поло</w:t>
      </w:r>
      <w:r>
        <w:rPr>
          <w:snapToGrid w:val="0"/>
          <w:color w:val="000000"/>
          <w:sz w:val="28"/>
          <w:szCs w:val="28"/>
        </w:rPr>
        <w:softHyphen/>
        <w:t>жение, степень родства и права, которыми обладал по отношению к наследству и наследодателю представляемый. Например, если у наследодателя было три сына, один из которых умер, оставив двух дочерей, то две внучки призваны к наследованию вместе с двумя оставшимися в живых сыновьями, как бы замещая умершего отца. Статья 744 ГК уточняет, что право представления не может иметь места в отношении лиц, находящихся в живых. Согласно этой же статье отказ представителя от наследства представляемого не препятствует представителю замещать представляемого в насле</w:t>
      </w:r>
      <w:r>
        <w:rPr>
          <w:snapToGrid w:val="0"/>
          <w:color w:val="000000"/>
          <w:sz w:val="28"/>
          <w:szCs w:val="28"/>
        </w:rPr>
        <w:softHyphen/>
        <w:t>довании по закону. Так, в нашем примере внучки будут призваны к наследованию даже в том случае, если ранее они отказались принять наследство своего отца.</w:t>
      </w:r>
    </w:p>
    <w:p w:rsidR="00620A5D" w:rsidRDefault="00620A5D">
      <w:pPr>
        <w:shd w:val="clear" w:color="auto" w:fill="FFFFFF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Право представления действует только по нисходящей и боко</w:t>
      </w:r>
      <w:r>
        <w:rPr>
          <w:snapToGrid w:val="0"/>
          <w:color w:val="000000"/>
          <w:sz w:val="28"/>
          <w:szCs w:val="28"/>
        </w:rPr>
        <w:softHyphen/>
        <w:t>вой линиям родства, без ограничения степеней родства по прямой линии, и включая племянников и их нисходящих по боковой линии. Гражданский кодекс не содержит четкого определения оче</w:t>
      </w:r>
      <w:r>
        <w:rPr>
          <w:snapToGrid w:val="0"/>
          <w:color w:val="000000"/>
          <w:sz w:val="28"/>
          <w:szCs w:val="28"/>
        </w:rPr>
        <w:softHyphen/>
        <w:t>редности призвания к наследованию наследников по закону. Одна</w:t>
      </w:r>
      <w:r>
        <w:rPr>
          <w:snapToGrid w:val="0"/>
          <w:color w:val="000000"/>
          <w:sz w:val="28"/>
          <w:szCs w:val="28"/>
        </w:rPr>
        <w:softHyphen/>
        <w:t>ко анализ его положений позволяет вывести пять очередей на</w:t>
      </w:r>
      <w:r>
        <w:rPr>
          <w:snapToGrid w:val="0"/>
          <w:color w:val="000000"/>
          <w:sz w:val="28"/>
          <w:szCs w:val="28"/>
        </w:rPr>
        <w:softHyphen/>
        <w:t>следников.</w:t>
      </w:r>
    </w:p>
    <w:p w:rsidR="00620A5D" w:rsidRDefault="00620A5D">
      <w:pPr>
        <w:shd w:val="clear" w:color="auto" w:fill="FFFFFF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Первую очередь образуют дети наследодателя и другие прямые нисходящие родственники, наследующие по праву представления.</w:t>
      </w:r>
    </w:p>
    <w:p w:rsidR="00620A5D" w:rsidRDefault="00620A5D">
      <w:pPr>
        <w:shd w:val="clear" w:color="auto" w:fill="FFFFFF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Вторую очередь составляют родители наследодателя, а также его братья и сестры и их нисходящие, наследующие по праву пред</w:t>
      </w:r>
      <w:r>
        <w:rPr>
          <w:snapToGrid w:val="0"/>
          <w:color w:val="000000"/>
          <w:sz w:val="28"/>
          <w:szCs w:val="28"/>
        </w:rPr>
        <w:softHyphen/>
        <w:t>ставления.</w:t>
      </w:r>
    </w:p>
    <w:p w:rsidR="00620A5D" w:rsidRDefault="00620A5D">
      <w:pPr>
        <w:shd w:val="clear" w:color="auto" w:fill="FFFFFF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третью очередь входят дед, бабка и прямые восходящие родственники более отдаленных степеней.</w:t>
      </w:r>
    </w:p>
    <w:p w:rsidR="00620A5D" w:rsidRDefault="00620A5D">
      <w:pPr>
        <w:shd w:val="clear" w:color="auto" w:fill="FFFFFF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четвертую очередь наследует переживший супруг.</w:t>
      </w:r>
    </w:p>
    <w:p w:rsidR="00620A5D" w:rsidRDefault="00620A5D">
      <w:pPr>
        <w:shd w:val="clear" w:color="auto" w:fill="FFFFFF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Пятая очередь состоит из боковых родственников, не попада</w:t>
      </w:r>
      <w:r>
        <w:rPr>
          <w:snapToGrid w:val="0"/>
          <w:color w:val="000000"/>
          <w:sz w:val="28"/>
          <w:szCs w:val="28"/>
        </w:rPr>
        <w:softHyphen/>
        <w:t>ющих во вторую очередь, до шестой степени родства включитель</w:t>
      </w:r>
      <w:r>
        <w:rPr>
          <w:snapToGrid w:val="0"/>
          <w:color w:val="000000"/>
          <w:sz w:val="28"/>
          <w:szCs w:val="28"/>
        </w:rPr>
        <w:softHyphen/>
        <w:t>но (к родственникам шестой степени относятся, например, троюродные братья и сестры). Однако в случае, когда наследодатель был неспособен к составлению завещания, в пятую очередь вхо</w:t>
      </w:r>
      <w:r>
        <w:rPr>
          <w:snapToGrid w:val="0"/>
          <w:color w:val="000000"/>
          <w:sz w:val="28"/>
          <w:szCs w:val="28"/>
        </w:rPr>
        <w:softHyphen/>
        <w:t>дят боковые родственники до двенадцатого колена включительно.</w:t>
      </w:r>
    </w:p>
    <w:p w:rsidR="00620A5D" w:rsidRDefault="00620A5D">
      <w:pPr>
        <w:shd w:val="clear" w:color="auto" w:fill="FFFFFF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Гражданский кодекс различает пять линий родства: нисходя</w:t>
      </w:r>
      <w:r>
        <w:rPr>
          <w:snapToGrid w:val="0"/>
          <w:color w:val="000000"/>
          <w:sz w:val="28"/>
          <w:szCs w:val="28"/>
        </w:rPr>
        <w:softHyphen/>
        <w:t>щую, восходящую по матери, восходящую по отцу, боковую по матери, боковую по отцу. В каждой из линий более близкие родст</w:t>
      </w:r>
      <w:r>
        <w:rPr>
          <w:snapToGrid w:val="0"/>
          <w:color w:val="000000"/>
          <w:sz w:val="28"/>
          <w:szCs w:val="28"/>
        </w:rPr>
        <w:softHyphen/>
        <w:t>венники устраняют от наследования более отдаленных, за исклю</w:t>
      </w:r>
      <w:r>
        <w:rPr>
          <w:snapToGrid w:val="0"/>
          <w:color w:val="000000"/>
          <w:sz w:val="28"/>
          <w:szCs w:val="28"/>
        </w:rPr>
        <w:softHyphen/>
        <w:t>чением случаев, когда более отдаленные наследуют по праву пред</w:t>
      </w:r>
      <w:r>
        <w:rPr>
          <w:snapToGrid w:val="0"/>
          <w:color w:val="000000"/>
          <w:sz w:val="28"/>
          <w:szCs w:val="28"/>
        </w:rPr>
        <w:softHyphen/>
        <w:t>ставления.</w:t>
      </w:r>
    </w:p>
    <w:p w:rsidR="00620A5D" w:rsidRDefault="00620A5D">
      <w:pPr>
        <w:shd w:val="clear" w:color="auto" w:fill="FFFFFF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Наследники второй, третьей и пятой очереди по материнской и отцовской линии призываются к наследованию отдельно.</w:t>
      </w:r>
    </w:p>
    <w:p w:rsidR="00620A5D" w:rsidRDefault="00620A5D">
      <w:pPr>
        <w:shd w:val="clear" w:color="auto" w:fill="FFFFFF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При отсутствии во второй очереди боковых родственников восходящие второй и третьей очередей объединяются в одну оче</w:t>
      </w:r>
      <w:r>
        <w:rPr>
          <w:snapToGrid w:val="0"/>
          <w:color w:val="000000"/>
          <w:sz w:val="28"/>
          <w:szCs w:val="28"/>
        </w:rPr>
        <w:softHyphen/>
        <w:t>редь.</w:t>
      </w:r>
    </w:p>
    <w:p w:rsidR="00620A5D" w:rsidRDefault="00620A5D">
      <w:pPr>
        <w:shd w:val="clear" w:color="auto" w:fill="FFFFFF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Если в одной из линий (материнской или отцовской) остались только боковые родственники, не относящиеся ко второй очереди, то причитающаяся на эту линию половина наследства отходит пере</w:t>
      </w:r>
      <w:r>
        <w:rPr>
          <w:snapToGrid w:val="0"/>
          <w:color w:val="000000"/>
          <w:sz w:val="28"/>
          <w:szCs w:val="28"/>
        </w:rPr>
        <w:softHyphen/>
        <w:t>жившему супругу.</w:t>
      </w:r>
    </w:p>
    <w:p w:rsidR="00620A5D" w:rsidRDefault="00620A5D">
      <w:pPr>
        <w:shd w:val="clear" w:color="auto" w:fill="FFFFFF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Недостойные наследники лишаются своих долей в наследстве. Недостойным наследником считается (ст. 727 ГК):</w:t>
      </w:r>
    </w:p>
    <w:p w:rsidR="00620A5D" w:rsidRDefault="00620A5D">
      <w:p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осужденный за убийство или за покушение на убийство на</w:t>
      </w:r>
      <w:r>
        <w:rPr>
          <w:snapToGrid w:val="0"/>
          <w:color w:val="000000"/>
          <w:sz w:val="28"/>
          <w:szCs w:val="28"/>
        </w:rPr>
        <w:softHyphen/>
        <w:t>следодателя;</w:t>
      </w:r>
    </w:p>
    <w:p w:rsidR="00620A5D" w:rsidRDefault="00620A5D">
      <w:p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выдвинувший против наследодателя заведомо ложное обви</w:t>
      </w:r>
      <w:r>
        <w:rPr>
          <w:snapToGrid w:val="0"/>
          <w:color w:val="000000"/>
          <w:sz w:val="28"/>
          <w:szCs w:val="28"/>
        </w:rPr>
        <w:softHyphen/>
        <w:t>нение в убийстве;</w:t>
      </w:r>
    </w:p>
    <w:p w:rsidR="00620A5D" w:rsidRDefault="00620A5D">
      <w:p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совершеннолетний наследник, знавший об убийстве наследо</w:t>
      </w:r>
      <w:r>
        <w:rPr>
          <w:snapToGrid w:val="0"/>
          <w:color w:val="000000"/>
          <w:sz w:val="28"/>
          <w:szCs w:val="28"/>
        </w:rPr>
        <w:softHyphen/>
        <w:t>дателя, но не донесший о нем правосудию.</w:t>
      </w:r>
    </w:p>
    <w:p w:rsidR="00620A5D" w:rsidRDefault="00620A5D">
      <w:pPr>
        <w:shd w:val="clear" w:color="auto" w:fill="FFFFFF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Недонесение об убийстве не является основанием для лише</w:t>
      </w:r>
      <w:r>
        <w:rPr>
          <w:snapToGrid w:val="0"/>
          <w:color w:val="000000"/>
          <w:sz w:val="28"/>
          <w:szCs w:val="28"/>
        </w:rPr>
        <w:softHyphen/>
        <w:t>ния наследства восходящих и нисходящих родственников убийцы, его супруга, братьев и сестер, дядьев, теток, племянников и пле</w:t>
      </w:r>
      <w:r>
        <w:rPr>
          <w:snapToGrid w:val="0"/>
          <w:color w:val="000000"/>
          <w:sz w:val="28"/>
          <w:szCs w:val="28"/>
        </w:rPr>
        <w:softHyphen/>
        <w:t>мянниц, а также ближайших свойственников.</w:t>
      </w:r>
    </w:p>
    <w:p w:rsidR="00620A5D" w:rsidRDefault="00620A5D">
      <w:pPr>
        <w:shd w:val="clear" w:color="auto" w:fill="FFFFFF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Дети недостойного наследника, призываемые к наследству в личном качестве, а не по праву представления, не лишаются на</w:t>
      </w:r>
      <w:r>
        <w:rPr>
          <w:snapToGrid w:val="0"/>
          <w:color w:val="000000"/>
          <w:sz w:val="28"/>
          <w:szCs w:val="28"/>
        </w:rPr>
        <w:softHyphen/>
        <w:t>следства по вине отца.</w:t>
      </w:r>
    </w:p>
    <w:p w:rsidR="00620A5D" w:rsidRDefault="00620A5D">
      <w:pPr>
        <w:shd w:val="clear" w:color="auto" w:fill="FFFFFF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Наследник, признанный недостойным, обязан возвратить все плоды и доходы от наследства, полученные им с момента его от</w:t>
      </w:r>
      <w:r>
        <w:rPr>
          <w:snapToGrid w:val="0"/>
          <w:color w:val="000000"/>
          <w:sz w:val="28"/>
          <w:szCs w:val="28"/>
        </w:rPr>
        <w:softHyphen/>
        <w:t>крытия.</w:t>
      </w:r>
    </w:p>
    <w:p w:rsidR="00620A5D" w:rsidRDefault="00620A5D">
      <w:pPr>
        <w:shd w:val="clear" w:color="auto" w:fill="FFFFFF"/>
        <w:spacing w:line="360" w:lineRule="auto"/>
        <w:jc w:val="both"/>
        <w:rPr>
          <w:snapToGrid w:val="0"/>
          <w:color w:val="000000"/>
          <w:sz w:val="28"/>
          <w:szCs w:val="28"/>
        </w:rPr>
      </w:pPr>
    </w:p>
    <w:p w:rsidR="00620A5D" w:rsidRDefault="00620A5D">
      <w:pPr>
        <w:shd w:val="clear" w:color="auto" w:fill="FFFFFF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Литература.</w:t>
      </w:r>
    </w:p>
    <w:p w:rsidR="00620A5D" w:rsidRDefault="00620A5D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Гражданское и торговое право капиталистических стран./ Под ред. В.П. Мозолина, М.И. Кулагина. - М.: Высшая школа,  </w:t>
      </w:r>
      <w:r>
        <w:rPr>
          <w:sz w:val="28"/>
          <w:szCs w:val="28"/>
        </w:rPr>
        <w:t>1980.</w:t>
      </w:r>
    </w:p>
    <w:p w:rsidR="00620A5D" w:rsidRDefault="00620A5D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Зенин И.А. Гражданское и торговое право капиталистических стран.- М.: Изд-во московского университета, 1992.</w:t>
      </w:r>
    </w:p>
    <w:p w:rsidR="00620A5D" w:rsidRDefault="00620A5D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История государства и права зарубежных стран. Часть 2. Учебник. / Под ред. Н.А. Крашенинниковой, О.А. Жидкова. - М.: НОРМА - ИНФРА-М, 1998.</w:t>
      </w:r>
    </w:p>
    <w:p w:rsidR="00620A5D" w:rsidRDefault="00620A5D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Основные институты гражданского права зарубежных стран. / Под ред. В.В. Залесского. - М.: НОРМА, 2000.</w:t>
      </w:r>
    </w:p>
    <w:p w:rsidR="00620A5D" w:rsidRDefault="00620A5D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Решетников Ф.М. Правовые системы стран мира. Справочник. - М.: Юридическая литература, 1993.</w:t>
      </w:r>
      <w:bookmarkStart w:id="0" w:name="_GoBack"/>
      <w:bookmarkEnd w:id="0"/>
    </w:p>
    <w:sectPr w:rsidR="00620A5D">
      <w:headerReference w:type="default" r:id="rId7"/>
      <w:type w:val="oddPage"/>
      <w:pgSz w:w="11907" w:h="16840" w:code="9"/>
      <w:pgMar w:top="1418" w:right="1021" w:bottom="1134" w:left="1418" w:header="709" w:footer="1418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A5D" w:rsidRDefault="00620A5D">
      <w:r>
        <w:separator/>
      </w:r>
    </w:p>
  </w:endnote>
  <w:endnote w:type="continuationSeparator" w:id="0">
    <w:p w:rsidR="00620A5D" w:rsidRDefault="0062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A5D" w:rsidRDefault="00620A5D">
      <w:r>
        <w:separator/>
      </w:r>
    </w:p>
  </w:footnote>
  <w:footnote w:type="continuationSeparator" w:id="0">
    <w:p w:rsidR="00620A5D" w:rsidRDefault="00620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A5D" w:rsidRDefault="00151894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620A5D" w:rsidRDefault="00620A5D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345178"/>
    <w:multiLevelType w:val="singleLevel"/>
    <w:tmpl w:val="423A1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894"/>
    <w:rsid w:val="00151894"/>
    <w:rsid w:val="00620A5D"/>
    <w:rsid w:val="009C2D48"/>
    <w:rsid w:val="00E6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78DB78-DEFE-4714-B512-DFE163EA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Гражданский кодекс наполеона является источником французского гражданского права</vt:lpstr>
    </vt:vector>
  </TitlesOfParts>
  <Company> </Company>
  <LinksUpToDate>false</LinksUpToDate>
  <CharactersWithSpaces>11611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Гражданский кодекс наполеона является источником французского гражданского права</dc:title>
  <dc:subject/>
  <dc:creator>Александр Кондратьев</dc:creator>
  <cp:keywords/>
  <dc:description/>
  <cp:lastModifiedBy>admin</cp:lastModifiedBy>
  <cp:revision>2</cp:revision>
  <cp:lastPrinted>2001-01-23T11:30:00Z</cp:lastPrinted>
  <dcterms:created xsi:type="dcterms:W3CDTF">2014-03-06T00:25:00Z</dcterms:created>
  <dcterms:modified xsi:type="dcterms:W3CDTF">2014-03-06T00:25:00Z</dcterms:modified>
</cp:coreProperties>
</file>