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03" w:rsidRDefault="000E2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Гранулематоз (синдром) Вегенера.</w:t>
      </w:r>
    </w:p>
    <w:p w:rsidR="00323203" w:rsidRDefault="000E2E3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(гранулема злокачественная, гранулематоз неинфекционный некротический)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Гигантоклеточный гранулематозно-некротический системный васкулит с избирательным  в начале болезни поражением верхних и нижних дыхательных путей и  легких,  а  в последующим и почек (В.А. Насонова,  1988).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Первое описание ГВ относится к 1931 году.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Klinger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Wegener</w:t>
      </w:r>
      <w:r>
        <w:rPr>
          <w:sz w:val="24"/>
          <w:szCs w:val="24"/>
        </w:rPr>
        <w:t xml:space="preserve"> (1936, 1939) выделили заболевание как самостоятельный синдром с характерной триадой признаков: </w:t>
      </w:r>
      <w:r>
        <w:rPr>
          <w:sz w:val="24"/>
          <w:szCs w:val="24"/>
          <w:u w:val="single"/>
        </w:rPr>
        <w:t>1)</w:t>
      </w:r>
      <w:r>
        <w:rPr>
          <w:sz w:val="24"/>
          <w:szCs w:val="24"/>
        </w:rPr>
        <w:t xml:space="preserve"> некротизирующий  гранулематозный васкулит ВДП; </w:t>
      </w:r>
      <w:r>
        <w:rPr>
          <w:sz w:val="24"/>
          <w:szCs w:val="24"/>
          <w:u w:val="single"/>
        </w:rPr>
        <w:t>2)</w:t>
      </w:r>
      <w:r>
        <w:rPr>
          <w:sz w:val="24"/>
          <w:szCs w:val="24"/>
        </w:rPr>
        <w:t xml:space="preserve"> гломерулонефрит; </w:t>
      </w:r>
      <w:r>
        <w:rPr>
          <w:sz w:val="24"/>
          <w:szCs w:val="24"/>
          <w:u w:val="single"/>
        </w:rPr>
        <w:t>3)</w:t>
      </w:r>
      <w:r>
        <w:rPr>
          <w:sz w:val="24"/>
          <w:szCs w:val="24"/>
        </w:rPr>
        <w:t xml:space="preserve"> системный некротизирующий васкулит с поражением артерий мелкого калибра и венозного русла.</w:t>
      </w:r>
    </w:p>
    <w:p w:rsidR="00323203" w:rsidRDefault="000E2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 и патогенез.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</w:rPr>
        <w:tab/>
        <w:t>Идиопатический синдром. Предполагается иммунная патология.</w:t>
      </w:r>
    </w:p>
    <w:p w:rsidR="00323203" w:rsidRDefault="000E2E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Прямое воздействие гипотетического этиологического фактора без участия иммунопатологических реакций.</w:t>
      </w:r>
    </w:p>
    <w:p w:rsidR="00323203" w:rsidRDefault="000E2E3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Клеточный или гуморальный иммунный ответ на аутоантиген или чужеродный антиген.</w:t>
      </w:r>
    </w:p>
    <w:p w:rsidR="00323203" w:rsidRDefault="000E2E3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Образование ЦИК с фиксацией их в стенке сосуда. Происходит активация комплемента, который путем хемотаксиса действует на ПМЯЛ. Последние проникают в просвет сосуда, нарушают проницаемость сосудистой стенки, выделяют лизосомальные ферменты, что приводит к некрозу стенки сосуда, окклюзии просвета.</w:t>
      </w:r>
      <w:r>
        <w:rPr>
          <w:sz w:val="24"/>
          <w:szCs w:val="24"/>
        </w:rPr>
        <w:br/>
        <w:t xml:space="preserve">Большое значение имеет реакция ГЗТ с формированием гранулем в стенках сосудов вследствие взаимодействия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4+-Т-клеток и макрофагов в ответ на неизвестный АГ. Возрастные изменения стенок сосудов могут способствовать "представлению" какого-либо тканевого АГ, за которым в норме не осуществляется иммунный надзор.</w:t>
      </w:r>
      <w:r>
        <w:rPr>
          <w:sz w:val="24"/>
          <w:szCs w:val="24"/>
        </w:rPr>
        <w:br/>
        <w:t>В результате взаимодействия с АГ сенсибилизированные лимфоциты выделяют лимфокины, которые угнетают миграцию макрофагов и концентрируют их в местах скопления АГ. Последние высвобождают лизосомальные ферменты, повреждают сосудистую стенку, образуют гранулемы и гигантские клетки.</w:t>
      </w:r>
    </w:p>
    <w:p w:rsidR="00323203" w:rsidRDefault="000E2E3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Иммунное поражение стенки сосуда вплоть до некроза сопровождается нарушением микроциркуляции, повышением агрегации тромбоцитов, гиперкоагуляцией с развитием тромбозов и синдрома ДВС.</w:t>
      </w:r>
    </w:p>
    <w:p w:rsidR="00323203" w:rsidRDefault="000E2E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Патологоанатомические изменения.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При </w:t>
      </w:r>
      <w:r>
        <w:rPr>
          <w:sz w:val="24"/>
          <w:szCs w:val="24"/>
          <w:u w:val="single"/>
        </w:rPr>
        <w:t>биопсии воспаленных тканей носа и носоглотки</w:t>
      </w:r>
      <w:r>
        <w:rPr>
          <w:sz w:val="24"/>
          <w:szCs w:val="24"/>
        </w:rPr>
        <w:t xml:space="preserve"> - гранулематозные изменения с наличием эпителиоидных клеток, клеток Лангханса, гигантских клеток инородных тел, значительных повреждений сосудов, измененных эритроцитов, а также лейкоцитов разной стадии деструкции. При </w:t>
      </w:r>
      <w:r>
        <w:rPr>
          <w:sz w:val="24"/>
          <w:szCs w:val="24"/>
          <w:u w:val="single"/>
        </w:rPr>
        <w:t>биопсии легких и кожи</w:t>
      </w:r>
      <w:r>
        <w:rPr>
          <w:sz w:val="24"/>
          <w:szCs w:val="24"/>
        </w:rPr>
        <w:t xml:space="preserve"> - периваскулярные воспалительные экссудаты и отложения фибрина в мелких артериях, капиллярах и венулах. </w:t>
      </w:r>
      <w:r>
        <w:rPr>
          <w:sz w:val="24"/>
          <w:szCs w:val="24"/>
          <w:u w:val="single"/>
        </w:rPr>
        <w:t>Биопсия почки</w:t>
      </w:r>
      <w:r>
        <w:rPr>
          <w:sz w:val="24"/>
          <w:szCs w:val="24"/>
        </w:rPr>
        <w:t xml:space="preserve"> - признаки очагового и сегментарного гломерулонефрита разной степени выраженности, иногда в сочетании с некротизирующем васкулитом. При иммунохимическом исследовании биоптатов почек - обширные отложения фибрина в кровеносных сосудах и клубочках; это указывает на частичную активацию одного из ФСК - фактора Хагемана. Обнаруживаются также ИК, осажденные компонентом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комплемента. Электронная микроскопия выявляет наличие на БМ плотных субэпителиально расположенных отложений, что тоже указывает на участие ИК-механизма в патогенезе заболевания.</w:t>
      </w:r>
    </w:p>
    <w:p w:rsidR="00323203" w:rsidRDefault="000E2E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</w:rPr>
        <w:tab/>
        <w:t>Средний возраст больных около 40 лет (по данным Р. Беркоу - любой возраст), соотношение женщин к мужчинам 1:1 ( по данным Р. Беркоу, 1997 - 1:2).</w:t>
      </w:r>
    </w:p>
    <w:p w:rsidR="00323203" w:rsidRDefault="000E2E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Общие проявления: лихорадка, общая слабость, похудание, артралгии и (или) миалгии, реже артриты.</w:t>
      </w:r>
    </w:p>
    <w:p w:rsidR="00323203" w:rsidRDefault="000E2E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Поражение ВДП: наблюдается у 90 % больных и характеризуется ринитом с язвенно-некротическими изменениями слизистой оболочки придаточных пазух, гортани, трахеи (упорный насморк с серозно-сукровичными выделениями, боли в области придаточных пазух,  носовые кровотечения, возможна перфорация носовой перегородки, деформация носа по типу седловидной, серозно-гнойный средний отит).</w:t>
      </w:r>
    </w:p>
    <w:p w:rsidR="00323203" w:rsidRDefault="000E2E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Поражение легких наблюдается у более 80 % больных(кашель с гнойно-сукровичной мокротой, кровохарканье, пневмонии со склонностью к распаду и образованию полостей в легких). У 1/3 больных рентгенологические признаки могут не сопровождаться клиническими проявлениями легочной патологии.</w:t>
      </w:r>
    </w:p>
    <w:p w:rsidR="00323203" w:rsidRDefault="000E2E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Поражение почек - быстро прогрессирующий гломерулонефрит у 2/3 больных со значительной протеинурией, гематурией, нарушением функции почек, сопровождающихся уремией и гипертензией.</w:t>
      </w:r>
    </w:p>
    <w:p w:rsidR="00323203" w:rsidRDefault="000E2E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Язвенно-некротическое поражение кожи (более 40 % больных), костно-хрящевого  скелета, полиморфная кожная  сыпь.</w:t>
      </w:r>
    </w:p>
    <w:p w:rsidR="00323203" w:rsidRDefault="000E2E3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Полиартралгии, реже артриты.</w:t>
      </w:r>
    </w:p>
    <w:p w:rsidR="00323203" w:rsidRDefault="000E2E3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Поражение других органов и систем. </w:t>
      </w:r>
      <w:r>
        <w:rPr>
          <w:i/>
          <w:iCs/>
          <w:sz w:val="24"/>
          <w:szCs w:val="24"/>
          <w:u w:val="single"/>
        </w:rPr>
        <w:t>Глаза</w:t>
      </w:r>
      <w:r>
        <w:rPr>
          <w:sz w:val="24"/>
          <w:szCs w:val="24"/>
        </w:rPr>
        <w:t xml:space="preserve"> поражаются в 15 % случаев - эписклерит, периорбитальная гранулема с экзофтальмом и потерей зрения вследствие ишемии зрительного нерва. </w:t>
      </w:r>
      <w:r>
        <w:rPr>
          <w:i/>
          <w:iCs/>
          <w:sz w:val="24"/>
          <w:szCs w:val="24"/>
          <w:u w:val="single"/>
        </w:rPr>
        <w:t>ПНС</w:t>
      </w:r>
      <w:r>
        <w:rPr>
          <w:sz w:val="24"/>
          <w:szCs w:val="24"/>
        </w:rPr>
        <w:t xml:space="preserve"> - в 15 % асимметричная полинейропатия. </w:t>
      </w:r>
      <w:r>
        <w:rPr>
          <w:i/>
          <w:iCs/>
          <w:sz w:val="24"/>
          <w:szCs w:val="24"/>
          <w:u w:val="single"/>
        </w:rPr>
        <w:t>Сердце</w:t>
      </w:r>
      <w:r>
        <w:rPr>
          <w:sz w:val="24"/>
          <w:szCs w:val="24"/>
        </w:rPr>
        <w:t xml:space="preserve"> - у 5 % больных перикардит. Поражение миокарда или коронарных артерий, а также ЖКТ не характерно. Сравнительно редко поражается ЛА, ЛУ, половые органы.</w:t>
      </w:r>
    </w:p>
    <w:p w:rsidR="00323203" w:rsidRDefault="000E2E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Выделяют две  формы - локализованную и генерализованную. При </w:t>
      </w:r>
      <w:r>
        <w:rPr>
          <w:i/>
          <w:iCs/>
          <w:sz w:val="24"/>
          <w:szCs w:val="24"/>
          <w:u w:val="single"/>
        </w:rPr>
        <w:t>локализованной форме</w:t>
      </w:r>
      <w:r>
        <w:rPr>
          <w:sz w:val="24"/>
          <w:szCs w:val="24"/>
        </w:rPr>
        <w:t xml:space="preserve"> поражаются преимущественно ВДП (или глаза): затрудненное носовое дыхание, упорный насморк с неприятным запахом, скопление кровянистых корок в носу, носовые кровотечения, осиплость голоса; перечисленные симптомы то  затухают, то обостряются. При </w:t>
      </w:r>
      <w:r>
        <w:rPr>
          <w:i/>
          <w:iCs/>
          <w:sz w:val="24"/>
          <w:szCs w:val="24"/>
          <w:u w:val="single"/>
        </w:rPr>
        <w:t>генерализованной форме</w:t>
      </w:r>
      <w:r>
        <w:rPr>
          <w:sz w:val="24"/>
          <w:szCs w:val="24"/>
        </w:rPr>
        <w:t xml:space="preserve"> имеют  место лихорадка различной выраженности, ознобы и поты, полиморфные сыпи и геморрагии, надсадный приступообразный кашель с гнойно-кровянистой мокротой, картина пневмонии с наклонностью к абсцедированию и появлению выпота, нарастание легочно-сердечной недостаточности, симптомы поражения почек (протеинурия, гематурия, почечная недостаточность), возможны артриты, артралгии и миалгии, анемия, нейтрофильный лейкоцитоз, ускорение СОЭ. Может быть хондрит ушных раковин, ИМ вследствие васкулита, асептический менингит и признаки гранулематозного поражения ЦНС</w:t>
      </w:r>
    </w:p>
    <w:p w:rsidR="00323203" w:rsidRDefault="000E2E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 ряда больных поражение ВДП, легких, ПНС, почек развивается в отсутствие гломерулонефрита. Такие случаи относят к ограниченному варианту ГВ. Следует подчеркнуть, что выделение клинических вариантов ГВ условно, так как преимущественно поражение того или иного органа может быть лишь стадией прогрессирования болезни.</w:t>
      </w:r>
    </w:p>
    <w:p w:rsidR="00323203" w:rsidRDefault="000E2E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болезни выделяют </w:t>
      </w:r>
      <w:r>
        <w:rPr>
          <w:i/>
          <w:iCs/>
          <w:sz w:val="24"/>
          <w:szCs w:val="24"/>
          <w:u w:val="single"/>
        </w:rPr>
        <w:t>4  стадии</w:t>
      </w:r>
      <w:r>
        <w:rPr>
          <w:sz w:val="24"/>
          <w:szCs w:val="24"/>
        </w:rPr>
        <w:t>:</w:t>
      </w:r>
    </w:p>
    <w:p w:rsidR="00323203" w:rsidRDefault="000E2E3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Риногенный гранулематоз</w:t>
      </w:r>
      <w:r>
        <w:rPr>
          <w:sz w:val="24"/>
          <w:szCs w:val="24"/>
        </w:rPr>
        <w:t xml:space="preserve"> (гнойно-некротический, язвенно-некротический риносинуит, назофарингит и ларингит с деструкцией костной и хрящевой перегородки, глазницы).</w:t>
      </w:r>
    </w:p>
    <w:p w:rsidR="00323203" w:rsidRDefault="000E2E3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Легочная стадия</w:t>
      </w:r>
      <w:r>
        <w:rPr>
          <w:sz w:val="24"/>
          <w:szCs w:val="24"/>
        </w:rPr>
        <w:t xml:space="preserve"> - распространения процесса на легочную ткань.</w:t>
      </w:r>
    </w:p>
    <w:p w:rsidR="00323203" w:rsidRDefault="000E2E3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Генерализованное поражение</w:t>
      </w:r>
      <w:r>
        <w:rPr>
          <w:sz w:val="24"/>
          <w:szCs w:val="24"/>
        </w:rPr>
        <w:t xml:space="preserve"> -  изменение ДП, легких, почек, ССС, ЖКТ (афтозный стоматит, глоссит, диспептические расстройства).</w:t>
      </w:r>
    </w:p>
    <w:p w:rsidR="00323203" w:rsidRDefault="000E2E3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Терминальная стадия</w:t>
      </w:r>
      <w:r>
        <w:rPr>
          <w:sz w:val="24"/>
          <w:szCs w:val="24"/>
        </w:rPr>
        <w:t xml:space="preserve"> - почечная и сердечно-легочная недостаточность, приводящая к гибели в течение года от начала болезни.</w:t>
      </w:r>
    </w:p>
    <w:p w:rsidR="00323203" w:rsidRDefault="000E2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Диагностика.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</w:rPr>
        <w:tab/>
        <w:t>Примерно  25 %  больных в начальной стадии не имеют признаков поражения почек или легких и только у 50 % больных ГВ диагностируется в первые 3-6 месяцев от начала болезни, а у 7 % это заболевание не диагностируется даже в течение 5-16 лет от появления первых клинических симптомов.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нормохромная анемия, тромбоцитоз, нейтрофильный лейкоцитоз 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ускорение СОЭ, повышение уровня С-рп, коррелирующие с активность заболевания. Может быть обнаружен РФ в 50 % случаев (неспецифический маркер активности ГВ)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сывороточных </w:t>
      </w:r>
      <w:r>
        <w:rPr>
          <w:sz w:val="24"/>
          <w:szCs w:val="24"/>
          <w:lang w:val="en-US"/>
        </w:rPr>
        <w:t>Ig</w:t>
      </w:r>
      <w:r>
        <w:rPr>
          <w:sz w:val="24"/>
          <w:szCs w:val="24"/>
        </w:rPr>
        <w:t xml:space="preserve"> в пределах нормы, повышение содержания ЦИК, гипокомплементемия; появление АТ к мембране клубочков не характерно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антинейтрофильные цитоплазматические антитела - у 40-99 % больных. Специфичность антител к протеиназе (кАНЦА) для диагностики ГВ достигает 98 %, однако чувствительность колеблется 33-99 %. АНЦА обнаруживаются у 30-40 % больных с ограниченными или генерализованными формами ГВ в период ремиссии, у 70-80 % больных в период активности и у 80-99 % с активным генерализованным ГВ (Т.В. Бекетова, 1995). Имеются данные, что повышение титров АНЦА может предшествовать появлению клинических признаков обострения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биопсия легких (биопсия придаточных пазух малоинформативна) - открытая биопсия инфильтративных или полостных образований</w:t>
      </w:r>
    </w:p>
    <w:p w:rsidR="00323203" w:rsidRDefault="000E2E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биопсия почек позволяет определить степень их поражения, что крайне важно для раннего выявления почечной патологии</w:t>
      </w:r>
    </w:p>
    <w:p w:rsidR="00323203" w:rsidRDefault="00323203">
      <w:pPr>
        <w:rPr>
          <w:sz w:val="24"/>
          <w:szCs w:val="24"/>
        </w:rPr>
      </w:pPr>
    </w:p>
    <w:p w:rsidR="00323203" w:rsidRDefault="000E2E38">
      <w:pPr>
        <w:pStyle w:val="a6"/>
        <w:keepNext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Классификационные критерии диагноза ГВ (</w:t>
      </w:r>
      <w:r>
        <w:rPr>
          <w:b w:val="0"/>
          <w:bCs w:val="0"/>
          <w:sz w:val="24"/>
          <w:szCs w:val="24"/>
          <w:lang w:val="en-US"/>
        </w:rPr>
        <w:t>Leavitt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R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  <w:lang w:val="en-US"/>
        </w:rPr>
        <w:t>Y</w:t>
      </w:r>
      <w:r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  <w:lang w:val="en-US"/>
        </w:rPr>
        <w:t>et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al</w:t>
      </w:r>
      <w:r>
        <w:rPr>
          <w:b w:val="0"/>
          <w:bCs w:val="0"/>
          <w:sz w:val="24"/>
          <w:szCs w:val="24"/>
        </w:rPr>
        <w:t>, 1990)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3203"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3203" w:rsidRDefault="000E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323203"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Воспаление носа и полости рта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Язвы в полости рта, гнойные или кровянистые выделения из носа</w:t>
            </w:r>
          </w:p>
        </w:tc>
      </w:tr>
      <w:tr w:rsidR="00323203"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Изменения при рентгенологическом исследовании легких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Узелки, инфильтраты или полости</w:t>
            </w:r>
          </w:p>
        </w:tc>
      </w:tr>
      <w:tr w:rsidR="00323203"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Изменения мочи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Микрогематурия (&gt;5 Эр в п/з) или скопления Эр в осадке мочи</w:t>
            </w:r>
          </w:p>
        </w:tc>
      </w:tr>
      <w:tr w:rsidR="00323203"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Биопсия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Гранулематозное воспаление в стенке артерии или периваскулярном или экстравазальном пространстве</w:t>
            </w:r>
          </w:p>
        </w:tc>
      </w:tr>
    </w:tbl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критерия и более обладают специфичностью 92 % и чувствительностью 88 %. Решающее значение имеет биопсия. При отсутствии последней или при наличии сложности выполнения, неинформативность полученных данных - вводится дополнительный критерий - </w:t>
      </w:r>
      <w:r>
        <w:rPr>
          <w:i/>
          <w:iCs/>
          <w:sz w:val="24"/>
          <w:szCs w:val="24"/>
        </w:rPr>
        <w:t>кровохарканье</w:t>
      </w:r>
      <w:r>
        <w:rPr>
          <w:sz w:val="24"/>
          <w:szCs w:val="24"/>
        </w:rPr>
        <w:t xml:space="preserve"> (чувствительность 87 %, специфичность 93 %).</w:t>
      </w:r>
    </w:p>
    <w:p w:rsidR="00323203" w:rsidRDefault="000E2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Дифференциальная диагностика.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  <w:u w:val="single"/>
        </w:rPr>
        <w:t>Генерализованный вариант.</w:t>
      </w:r>
    </w:p>
    <w:p w:rsidR="00323203" w:rsidRDefault="000E2E38">
      <w:pPr>
        <w:numPr>
          <w:ilvl w:val="0"/>
          <w:numId w:val="13"/>
        </w:numPr>
        <w:ind w:left="10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 с легочно-почечным синдромом: УП (исключается по данным биопсии кожных высыпаний, локализации поражений сосудов, эозинофилия не типична для ГВ, а для полиартрита не характерно гранулематозное воспаление тканей носа и легких), микроскопический полиартериит, синдром </w:t>
      </w:r>
      <w:r>
        <w:rPr>
          <w:sz w:val="24"/>
          <w:szCs w:val="24"/>
          <w:lang w:val="en-US"/>
        </w:rPr>
        <w:t>Churg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Straus</w:t>
      </w:r>
      <w:r>
        <w:rPr>
          <w:sz w:val="24"/>
          <w:szCs w:val="24"/>
        </w:rPr>
        <w:t xml:space="preserve">, синдром Гудпасчера, геморрагический васкулит, СКВ (АНАТ, </w:t>
      </w:r>
      <w:r>
        <w:rPr>
          <w:sz w:val="24"/>
          <w:szCs w:val="24"/>
          <w:lang w:val="en-US"/>
        </w:rPr>
        <w:t>LE</w:t>
      </w:r>
      <w:r>
        <w:rPr>
          <w:sz w:val="24"/>
          <w:szCs w:val="24"/>
        </w:rPr>
        <w:t xml:space="preserve">-кл, снижение уровня комплемента), стрептококковая пневмония с гломерулонефритом, подострый БЭ в фазе сосудистого поражения почек (полож. посевы крови, изменчивые кардиальные шумы) </w:t>
      </w:r>
    </w:p>
    <w:p w:rsidR="00323203" w:rsidRDefault="000E2E38">
      <w:pPr>
        <w:numPr>
          <w:ilvl w:val="0"/>
          <w:numId w:val="13"/>
        </w:numPr>
        <w:ind w:left="1011"/>
        <w:jc w:val="both"/>
        <w:rPr>
          <w:sz w:val="24"/>
          <w:szCs w:val="24"/>
        </w:rPr>
      </w:pPr>
      <w:r>
        <w:rPr>
          <w:sz w:val="24"/>
          <w:szCs w:val="24"/>
        </w:rPr>
        <w:t>ангиоцентричные иммунопролиферативные заболевания: лимфоматоидный гранулематоз, ангиоцентрическая злокачественная лимфома</w:t>
      </w:r>
    </w:p>
    <w:p w:rsidR="00323203" w:rsidRDefault="000E2E38">
      <w:pPr>
        <w:numPr>
          <w:ilvl w:val="0"/>
          <w:numId w:val="13"/>
        </w:numPr>
        <w:ind w:left="1011"/>
        <w:jc w:val="both"/>
        <w:rPr>
          <w:sz w:val="24"/>
          <w:szCs w:val="24"/>
        </w:rPr>
      </w:pPr>
      <w:r>
        <w:rPr>
          <w:sz w:val="24"/>
          <w:szCs w:val="24"/>
        </w:rPr>
        <w:t>заболевания с гранулематозом: гранулема срединной линии головы, саркоидоз, беррилиоз, туберкулез, системные микозы, сифилис, проказа</w:t>
      </w:r>
    </w:p>
    <w:p w:rsidR="00323203" w:rsidRDefault="000E2E38">
      <w:pPr>
        <w:numPr>
          <w:ilvl w:val="0"/>
          <w:numId w:val="13"/>
        </w:numPr>
        <w:ind w:left="1011"/>
        <w:jc w:val="both"/>
        <w:rPr>
          <w:sz w:val="24"/>
          <w:szCs w:val="24"/>
        </w:rPr>
      </w:pPr>
      <w:r>
        <w:rPr>
          <w:sz w:val="24"/>
          <w:szCs w:val="24"/>
        </w:rPr>
        <w:t>СПИД</w:t>
      </w:r>
    </w:p>
    <w:p w:rsidR="00323203" w:rsidRDefault="000E2E38">
      <w:pPr>
        <w:numPr>
          <w:ilvl w:val="0"/>
          <w:numId w:val="13"/>
        </w:numPr>
        <w:ind w:left="1011"/>
        <w:jc w:val="both"/>
        <w:rPr>
          <w:sz w:val="24"/>
          <w:szCs w:val="24"/>
        </w:rPr>
      </w:pPr>
      <w:r>
        <w:rPr>
          <w:sz w:val="24"/>
          <w:szCs w:val="24"/>
        </w:rPr>
        <w:t>подострый экстракапиллярный гломерулонефрит (при преимущественном поражении почек)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  <w:u w:val="single"/>
        </w:rPr>
        <w:t>Локальный и ограниченный вариант.</w:t>
      </w:r>
    </w:p>
    <w:p w:rsidR="00323203" w:rsidRDefault="000E2E38">
      <w:pPr>
        <w:numPr>
          <w:ilvl w:val="0"/>
          <w:numId w:val="13"/>
        </w:numPr>
        <w:ind w:left="1011"/>
        <w:rPr>
          <w:sz w:val="24"/>
          <w:szCs w:val="24"/>
        </w:rPr>
      </w:pPr>
      <w:r>
        <w:rPr>
          <w:sz w:val="24"/>
          <w:szCs w:val="24"/>
        </w:rPr>
        <w:t>инфекции ВДП (микобактериозы, микозы, гельминтозы, актиномикоз, сифилис), опухоли (сквамозная карцинома, экстранодальная лимфома), ингаляционное воздействие ЛВ (кокаин)</w:t>
      </w:r>
    </w:p>
    <w:p w:rsidR="00323203" w:rsidRDefault="000E2E38">
      <w:pPr>
        <w:numPr>
          <w:ilvl w:val="0"/>
          <w:numId w:val="13"/>
        </w:numPr>
        <w:ind w:left="1011"/>
        <w:rPr>
          <w:sz w:val="24"/>
          <w:szCs w:val="24"/>
        </w:rPr>
      </w:pPr>
      <w:r>
        <w:rPr>
          <w:sz w:val="24"/>
          <w:szCs w:val="24"/>
        </w:rPr>
        <w:t>гранулематозные инфекции легких (микобактериозы, микозы) могут сочетаться с васкулитом и некрозом, биопсия легких должна проводиться только после получения отрицательных результатов культурального исследования.</w:t>
      </w:r>
    </w:p>
    <w:p w:rsidR="00323203" w:rsidRDefault="000E2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</w:p>
    <w:p w:rsidR="00323203" w:rsidRDefault="000E2E38">
      <w:pPr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Применение циклофосфамида.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В/венно в дозе </w:t>
      </w:r>
      <w:r>
        <w:rPr>
          <w:i/>
          <w:iCs/>
          <w:sz w:val="24"/>
          <w:szCs w:val="24"/>
        </w:rPr>
        <w:t>5-10 мг/кг</w:t>
      </w:r>
      <w:r>
        <w:rPr>
          <w:sz w:val="24"/>
          <w:szCs w:val="24"/>
        </w:rPr>
        <w:t xml:space="preserve"> в течение 2-3 дней, а при необходимости 7 дней с последующим переходом на прием внутрь по </w:t>
      </w:r>
      <w:r>
        <w:rPr>
          <w:i/>
          <w:iCs/>
          <w:sz w:val="24"/>
          <w:szCs w:val="24"/>
        </w:rPr>
        <w:t>1-2 мг/кг</w:t>
      </w:r>
      <w:r>
        <w:rPr>
          <w:sz w:val="24"/>
          <w:szCs w:val="24"/>
        </w:rPr>
        <w:t xml:space="preserve"> в течение 2-3 недель, затем в поддерживающей дозе </w:t>
      </w:r>
      <w:r>
        <w:rPr>
          <w:i/>
          <w:iCs/>
          <w:sz w:val="24"/>
          <w:szCs w:val="24"/>
        </w:rPr>
        <w:t>50-25 мг в день</w:t>
      </w:r>
      <w:r>
        <w:rPr>
          <w:sz w:val="24"/>
          <w:szCs w:val="24"/>
        </w:rPr>
        <w:t xml:space="preserve"> в  течение до 1 года и более (В.А. Насонова). Р. Беркоу (1997) рекомендует быстрые в/венные инфузии однократных доз через каждые 2-3 недели. Необходим контроль ОАМ, для профилактики геморрагического цистита - обильное питье  2,5-3 л жидкости в сутки.</w:t>
      </w:r>
    </w:p>
    <w:p w:rsidR="00323203" w:rsidRDefault="000E2E38">
      <w:pPr>
        <w:rPr>
          <w:sz w:val="24"/>
          <w:szCs w:val="24"/>
        </w:rPr>
      </w:pPr>
      <w:r>
        <w:rPr>
          <w:sz w:val="24"/>
          <w:szCs w:val="24"/>
        </w:rPr>
        <w:tab/>
        <w:t>Противопоказания: агранулоцитоз, непереносимость препарата, сепсис.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Е.Н. Семенкова (1988) рекомендует сочетанное применение циклофосфамида и преднизолона. Способ введения циклофосфамида зависит от остроты заболевания, в острой фазе препарат вводится в/венно. При достижении клинического эффекта - нормализации температуры, уменьшении или исчезновении инфильтратов  легких, нормализации функции почек и снижении протеинурии, гематурии, нормализации гемоглобина, замедлении СОЭ - больные переводятся на интермиттирующий прием препарата (по 200 мг каждые 1-3 дня) с постепенным снижением дозы преднизолона до поддерживающей.</w:t>
      </w: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9"/>
        <w:gridCol w:w="866"/>
        <w:gridCol w:w="866"/>
        <w:gridCol w:w="866"/>
        <w:gridCol w:w="866"/>
        <w:gridCol w:w="866"/>
        <w:gridCol w:w="866"/>
        <w:gridCol w:w="866"/>
        <w:gridCol w:w="866"/>
        <w:gridCol w:w="782"/>
      </w:tblGrid>
      <w:tr w:rsidR="00323203">
        <w:tc>
          <w:tcPr>
            <w:tcW w:w="192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Препарат,</w:t>
            </w:r>
          </w:p>
        </w:tc>
        <w:tc>
          <w:tcPr>
            <w:tcW w:w="771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Длительность, месяцы</w:t>
            </w:r>
          </w:p>
        </w:tc>
      </w:tr>
      <w:tr w:rsidR="00323203">
        <w:tblPrEx>
          <w:tblCellMar>
            <w:left w:w="108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мг/сутки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</w:t>
            </w:r>
          </w:p>
        </w:tc>
      </w:tr>
      <w:tr w:rsidR="00323203">
        <w:tblPrEx>
          <w:tblCellMar>
            <w:left w:w="108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Преднизолон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3203">
        <w:tblPrEx>
          <w:tblCellMar>
            <w:left w:w="108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Азатиоприн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23203">
        <w:tblPrEx>
          <w:tblCellMar>
            <w:left w:w="108" w:type="dxa"/>
            <w:right w:w="108" w:type="dxa"/>
          </w:tblCellMar>
        </w:tblPrEx>
        <w:tc>
          <w:tcPr>
            <w:tcW w:w="192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Циклофосфамид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100-75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203" w:rsidRDefault="000E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100-75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203" w:rsidRDefault="003232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данным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Hoffman</w:t>
      </w:r>
      <w:r>
        <w:rPr>
          <w:sz w:val="24"/>
          <w:szCs w:val="24"/>
        </w:rPr>
        <w:t xml:space="preserve"> (1992), в связи с возможностью рецидива лечение циклофосфамидом следует продолжать не менее 2-3 лет, а глюкокортикоиды можно отменить через 12-24 месяца. При быстропрогрессирующих формах показана пульс-терапия циклофосфамидом.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независимых исследованиях было показано, что пульс-терапию не следует применять у больных с тяжелым быстропрогрессирующем  варианте ГВ.</w:t>
      </w:r>
    </w:p>
    <w:p w:rsidR="00323203" w:rsidRDefault="000E2E38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При непереносимости циклофосфамида, а также при отсутствии тяжелого поражения почек и легких можно проводить сочетанную терапию </w:t>
      </w:r>
      <w:r>
        <w:rPr>
          <w:i/>
          <w:iCs/>
          <w:sz w:val="24"/>
          <w:szCs w:val="24"/>
        </w:rPr>
        <w:t>метотрексатом (20 мг  в неделю) и преднизолоном.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Показана эффективность лечения </w:t>
      </w:r>
      <w:r>
        <w:rPr>
          <w:i/>
          <w:iCs/>
          <w:sz w:val="24"/>
          <w:szCs w:val="24"/>
        </w:rPr>
        <w:t>циклоспорином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Gross</w:t>
      </w:r>
      <w:r>
        <w:rPr>
          <w:sz w:val="24"/>
          <w:szCs w:val="24"/>
        </w:rPr>
        <w:t>,1994).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Имеются сообщения о положительном эффекте лечения </w:t>
      </w:r>
      <w:r>
        <w:rPr>
          <w:i/>
          <w:iCs/>
          <w:sz w:val="24"/>
          <w:szCs w:val="24"/>
        </w:rPr>
        <w:t>человеческим донорским поливалентным иммуноглобулином</w:t>
      </w:r>
      <w:r>
        <w:rPr>
          <w:sz w:val="24"/>
          <w:szCs w:val="24"/>
        </w:rPr>
        <w:t xml:space="preserve"> (Е.Н. Семенкова, О.Г. Кривошеев, 1995).</w:t>
      </w:r>
    </w:p>
    <w:p w:rsidR="00323203" w:rsidRDefault="000E2E38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Для профилактики инфекционных осложнений со стороны ВДП </w:t>
      </w:r>
      <w:r>
        <w:rPr>
          <w:i/>
          <w:iCs/>
          <w:sz w:val="24"/>
          <w:szCs w:val="24"/>
        </w:rPr>
        <w:t>- триметоприм (160-480 мг/сут)/сульфометаксозон (800-2400 мг/сут)</w:t>
      </w:r>
    </w:p>
    <w:p w:rsidR="00323203" w:rsidRDefault="000E2E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Плазмаферез и гемосорбция</w:t>
      </w:r>
      <w:r>
        <w:rPr>
          <w:sz w:val="24"/>
          <w:szCs w:val="24"/>
        </w:rPr>
        <w:t>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Рекомендуются при острых формах гранулематоза Вегенера, плохо поддающихся лечению иммунодепрессантами, особенно при быстропрогрессирующем течении с поражением почек и непереносимостью цитостатиков.</w:t>
      </w:r>
    </w:p>
    <w:p w:rsidR="00323203" w:rsidRDefault="000E2E3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Прогноз.</w:t>
      </w:r>
    </w:p>
    <w:p w:rsidR="00323203" w:rsidRDefault="000E2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отсутствии лечения - средняя продолжительность жизни 5 мес. Причины смерти: ДН, почечная недостаточность, интеркуррентные инфекции. Сочетанная терапия циклофосфаном и ГЛК приводит к ремиссии в 4 года у 93 % больных, а некоторых до 10 лет (Семенкова Е.Н., 1989).</w:t>
      </w:r>
      <w:r>
        <w:rPr>
          <w:sz w:val="24"/>
          <w:szCs w:val="24"/>
        </w:rPr>
        <w:tab/>
      </w: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</w:p>
    <w:p w:rsidR="00323203" w:rsidRDefault="00323203">
      <w:pPr>
        <w:jc w:val="both"/>
        <w:rPr>
          <w:sz w:val="24"/>
          <w:szCs w:val="24"/>
        </w:rPr>
      </w:pPr>
      <w:bookmarkStart w:id="0" w:name="_GoBack"/>
      <w:bookmarkEnd w:id="0"/>
    </w:p>
    <w:sectPr w:rsidR="00323203">
      <w:footerReference w:type="default" r:id="rId7"/>
      <w:pgSz w:w="11907" w:h="16840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03" w:rsidRDefault="000E2E38">
      <w:r>
        <w:separator/>
      </w:r>
    </w:p>
  </w:endnote>
  <w:endnote w:type="continuationSeparator" w:id="0">
    <w:p w:rsidR="00323203" w:rsidRDefault="000E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03" w:rsidRDefault="000E2E3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23203" w:rsidRDefault="003232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03" w:rsidRDefault="000E2E38">
      <w:r>
        <w:separator/>
      </w:r>
    </w:p>
  </w:footnote>
  <w:footnote w:type="continuationSeparator" w:id="0">
    <w:p w:rsidR="00323203" w:rsidRDefault="000E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9B453A"/>
    <w:multiLevelType w:val="singleLevel"/>
    <w:tmpl w:val="1038A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8F63D96"/>
    <w:multiLevelType w:val="singleLevel"/>
    <w:tmpl w:val="E87C7BFC"/>
    <w:lvl w:ilvl="0">
      <w:start w:val="1"/>
      <w:numFmt w:val="decimal"/>
      <w:lvlText w:val="%1."/>
      <w:legacy w:legacy="1" w:legacySpace="0" w:legacyIndent="283"/>
      <w:lvlJc w:val="left"/>
      <w:pPr>
        <w:ind w:left="1011" w:hanging="283"/>
      </w:pPr>
    </w:lvl>
  </w:abstractNum>
  <w:abstractNum w:abstractNumId="3">
    <w:nsid w:val="381710F9"/>
    <w:multiLevelType w:val="singleLevel"/>
    <w:tmpl w:val="E87C7B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9150763"/>
    <w:multiLevelType w:val="singleLevel"/>
    <w:tmpl w:val="FD36C18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F5A7FA3"/>
    <w:multiLevelType w:val="singleLevel"/>
    <w:tmpl w:val="C3D8AEB8"/>
    <w:lvl w:ilvl="0">
      <w:start w:val="1"/>
      <w:numFmt w:val="upperRoman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8"/>
    <w:rsid w:val="000E2E38"/>
    <w:rsid w:val="00323203"/>
    <w:rsid w:val="005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D1D9B-9932-4195-84CE-E022F22F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styleId="a5">
    <w:name w:val="page number"/>
    <w:basedOn w:val="a0"/>
    <w:uiPriority w:val="99"/>
  </w:style>
  <w:style w:type="paragraph" w:styleId="a6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10650</Characters>
  <Application>Microsoft Office Word</Application>
  <DocSecurity>0</DocSecurity>
  <Lines>88</Lines>
  <Paragraphs>24</Paragraphs>
  <ScaleCrop>false</ScaleCrop>
  <Company>НГМИ</Company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Гранулематоз (синдром) Вегенера</dc:title>
  <dc:subject/>
  <dc:creator>Руслан А. Чириков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Irina</cp:lastModifiedBy>
  <cp:revision>2</cp:revision>
  <dcterms:created xsi:type="dcterms:W3CDTF">2014-07-12T18:18:00Z</dcterms:created>
  <dcterms:modified xsi:type="dcterms:W3CDTF">2014-07-12T18:18:00Z</dcterms:modified>
</cp:coreProperties>
</file>