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46" w:rsidRDefault="00F86E46">
      <w:pPr>
        <w:pStyle w:val="a3"/>
        <w:spacing w:before="120" w:after="120" w:line="480" w:lineRule="auto"/>
        <w:rPr>
          <w:spacing w:val="20"/>
        </w:rPr>
      </w:pPr>
    </w:p>
    <w:p w:rsidR="00F86E46" w:rsidRDefault="00F86E46">
      <w:pPr>
        <w:pStyle w:val="a3"/>
        <w:spacing w:before="120" w:after="120" w:line="480" w:lineRule="auto"/>
        <w:rPr>
          <w:spacing w:val="20"/>
        </w:rPr>
      </w:pPr>
    </w:p>
    <w:p w:rsidR="00F86E46" w:rsidRDefault="00F86E46">
      <w:pPr>
        <w:pStyle w:val="a3"/>
        <w:spacing w:before="120" w:after="120" w:line="480" w:lineRule="auto"/>
        <w:rPr>
          <w:spacing w:val="20"/>
        </w:rPr>
      </w:pPr>
    </w:p>
    <w:p w:rsidR="00F86E46" w:rsidRDefault="00F86E46">
      <w:pPr>
        <w:pStyle w:val="a3"/>
        <w:spacing w:before="120" w:after="120" w:line="480" w:lineRule="auto"/>
        <w:rPr>
          <w:spacing w:val="20"/>
        </w:rPr>
      </w:pPr>
    </w:p>
    <w:p w:rsidR="00F86E46" w:rsidRDefault="00F86E46">
      <w:pPr>
        <w:pStyle w:val="a3"/>
        <w:spacing w:before="120" w:after="120" w:line="480" w:lineRule="auto"/>
        <w:rPr>
          <w:spacing w:val="20"/>
        </w:rPr>
      </w:pPr>
    </w:p>
    <w:p w:rsidR="00F86E46" w:rsidRDefault="00F86E46">
      <w:pPr>
        <w:pStyle w:val="1"/>
        <w:jc w:val="center"/>
        <w:rPr>
          <w:kern w:val="0"/>
          <w:sz w:val="40"/>
        </w:rPr>
      </w:pPr>
      <w:r>
        <w:rPr>
          <w:kern w:val="0"/>
          <w:sz w:val="40"/>
        </w:rPr>
        <w:t>РЕФЕРАТ</w:t>
      </w:r>
    </w:p>
    <w:p w:rsidR="00F86E46" w:rsidRDefault="00F86E46"/>
    <w:p w:rsidR="00F86E46" w:rsidRDefault="00F86E46">
      <w:pPr>
        <w:pStyle w:val="1"/>
        <w:jc w:val="center"/>
        <w:rPr>
          <w:sz w:val="32"/>
        </w:rPr>
      </w:pPr>
      <w:r>
        <w:rPr>
          <w:sz w:val="32"/>
        </w:rPr>
        <w:t>ПО КОНСТИТУЦИОННОМУ ПРАВУ ЗАРУБЕЖНЫХ СТРАН</w:t>
      </w:r>
    </w:p>
    <w:p w:rsidR="00F86E46" w:rsidRDefault="00F86E46"/>
    <w:p w:rsidR="00F86E46" w:rsidRDefault="00F86E46"/>
    <w:p w:rsidR="00F86E46" w:rsidRDefault="00F86E46">
      <w:pPr>
        <w:pStyle w:val="1"/>
        <w:jc w:val="center"/>
      </w:pPr>
      <w:r>
        <w:t>НА ТЕМУ:</w:t>
      </w:r>
    </w:p>
    <w:p w:rsidR="00F86E46" w:rsidRDefault="00F86E46">
      <w:pPr>
        <w:pStyle w:val="1"/>
        <w:jc w:val="center"/>
        <w:rPr>
          <w:sz w:val="32"/>
        </w:rPr>
      </w:pPr>
      <w:r>
        <w:rPr>
          <w:sz w:val="32"/>
        </w:rPr>
        <w:t xml:space="preserve"> ХАРАКТЕРИСТИКА ИСТОЧНИКОВ КОНСТИТУЦИОННОГО ПРАВА</w:t>
      </w:r>
    </w:p>
    <w:p w:rsidR="00F86E46" w:rsidRDefault="00F86E46">
      <w:pPr>
        <w:pStyle w:val="a3"/>
        <w:spacing w:before="120" w:after="120" w:line="480" w:lineRule="auto"/>
        <w:rPr>
          <w:sz w:val="28"/>
        </w:rPr>
      </w:pPr>
    </w:p>
    <w:p w:rsidR="00F86E46" w:rsidRDefault="00F86E46">
      <w:pPr>
        <w:pStyle w:val="a3"/>
        <w:spacing w:before="120" w:after="120" w:line="480" w:lineRule="auto"/>
        <w:jc w:val="right"/>
        <w:rPr>
          <w:sz w:val="28"/>
        </w:rPr>
      </w:pPr>
    </w:p>
    <w:p w:rsidR="00F86E46" w:rsidRDefault="00F86E46">
      <w:pPr>
        <w:pStyle w:val="a3"/>
        <w:spacing w:before="120" w:after="120" w:line="480" w:lineRule="auto"/>
        <w:jc w:val="right"/>
        <w:rPr>
          <w:sz w:val="28"/>
        </w:rPr>
      </w:pPr>
    </w:p>
    <w:p w:rsidR="00F86E46" w:rsidRDefault="00F86E46">
      <w:pPr>
        <w:pStyle w:val="a3"/>
        <w:spacing w:before="120" w:after="120" w:line="480" w:lineRule="auto"/>
        <w:jc w:val="center"/>
      </w:pPr>
    </w:p>
    <w:p w:rsidR="00F86E46" w:rsidRDefault="00F86E46">
      <w:pPr>
        <w:pStyle w:val="a3"/>
        <w:spacing w:before="120" w:after="120" w:line="480" w:lineRule="auto"/>
        <w:jc w:val="center"/>
      </w:pPr>
      <w:r>
        <w:t>2002 год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br w:type="page"/>
        <w:t xml:space="preserve">Объективные причины (источники) возникновения и существования конституционного права коренятся в материальных условиях жизни общества. Правовой же наукой выработано понятие юридических источников права. </w:t>
      </w:r>
    </w:p>
    <w:p w:rsidR="00F86E46" w:rsidRDefault="00F86E46">
      <w:pPr>
        <w:pStyle w:val="a3"/>
        <w:tabs>
          <w:tab w:val="left" w:pos="1890"/>
        </w:tabs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Под </w:t>
      </w:r>
      <w:r>
        <w:rPr>
          <w:i/>
          <w:sz w:val="28"/>
        </w:rPr>
        <w:t>источниками права в юридическом смысле понимаются те формы, в которых находят свое выражение правовые нормы</w:t>
      </w:r>
      <w:r>
        <w:rPr>
          <w:sz w:val="28"/>
        </w:rPr>
        <w:t>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Основными видами источников конституционного права являются нормативно-правовые акты, судебные прецеденты и правовые обычаи,  а также международные и внутригосударственные договоры. Нормативно-правовые акты конституционного права обычно подразделяются на законы,  нормативные акты исполнительной власти, нормативные акты органов конституционного контроля (надзора),  парламентские регламенты, акты местного самоуправления.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Законы принимаются обычно законодательными собраниями, иногда другими высшими органами власти – монархами в абсолютных монархиях, узкими постоянно действующими коллегиальными органами  в некоторых социалистических странах (например, Постоянным Комитетом Всекитайского Собрания Народных Представителей),  народом на референдумах и т.д.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6"/>
        </w:rPr>
      </w:pPr>
      <w:r>
        <w:rPr>
          <w:sz w:val="28"/>
        </w:rPr>
        <w:t>По степени важности и характеру регулируемых отношений законы подразделяются на конституционные, органические и обычные.</w:t>
      </w:r>
      <w:r>
        <w:rPr>
          <w:sz w:val="26"/>
        </w:rPr>
        <w:t xml:space="preserve"> 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Конституционные законы</w:t>
      </w:r>
      <w:r>
        <w:rPr>
          <w:sz w:val="28"/>
        </w:rPr>
        <w:t xml:space="preserve"> обладают высшей юридической силой. Среди них следует прежде всего выделить такие, которые именуются </w:t>
      </w:r>
      <w:r>
        <w:rPr>
          <w:i/>
          <w:sz w:val="28"/>
        </w:rPr>
        <w:t>конституциями</w:t>
      </w:r>
      <w:r>
        <w:rPr>
          <w:sz w:val="28"/>
        </w:rPr>
        <w:t xml:space="preserve"> и огпровозглашают основные права и свободы человека и граждагина, регулируют основы общественного строя, форму государства, устанавливают принципы организации и деятельности государственных органов. В отдельных странах  они регулируют не все отмеченные общественные отношения.  Иногда их называют основными законами, однако в некоторых странах понятие основного закона  не совпадает или не вполне совпадает с понятием конституции. 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Конституционные законы как источники права имеют различное значение в разных странах. В Чехословакии, например, было принято, что конституционные законы дополняют Конституцию, которая и сама являлась одним из конституционных законов. Часто конституционные законы содержат не нормы, а однократные распоряжения (например, об однократном изменении – продлении или сокращении – срока полномочий представительных органов, если в конституции такая возможность прямо не предусмотрена). В Италии конституционные законы издаются по отдельным указанным в Конституции наиболее важным вопросам и имеют более высокую юридическую силу, чем обычные законы, но меньшую, чем Конституция</w:t>
      </w:r>
      <w:r>
        <w:rPr>
          <w:sz w:val="28"/>
          <w:lang w:val="en-AU"/>
        </w:rPr>
        <w:t>;</w:t>
      </w:r>
      <w:r>
        <w:rPr>
          <w:sz w:val="28"/>
        </w:rPr>
        <w:t xml:space="preserve"> это аналог рассматриваемых ниже органических законов. В Югославии принято издавать конституционные законы одновременно с принятием новой конституции или группы поправок к ней</w:t>
      </w:r>
      <w:r>
        <w:rPr>
          <w:sz w:val="28"/>
          <w:lang w:val="en-AU"/>
        </w:rPr>
        <w:t>;</w:t>
      </w:r>
      <w:r>
        <w:rPr>
          <w:sz w:val="28"/>
        </w:rPr>
        <w:t xml:space="preserve"> в конституционных законах содержатся переходные положения (в период действия Конституции Социалистической Федеративной Республики Югославии 1963 года конституционными законами именовались высшие законы автономных краев).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Органические законы</w:t>
      </w:r>
      <w:r>
        <w:rPr>
          <w:sz w:val="28"/>
        </w:rPr>
        <w:t xml:space="preserve"> в  ряде стран (обычно романской системы права) определяют статус органов государства и процедуры народного голосования на основе бланкетных статей конституций. Например, Конституция Франции  предусматривает урегулирование органическими законами статуса таких государственных органов, как Конституционный совет, Высокий суд правосудия, Суд правосудия республики, Экономический и социальный совет, Высший совет магистратуры, порядка выборов палат Парламента и другие. Наряду с отсылками к органическим законам во французской Конституции содержатся отсылки и к обычным законам (например, в ст. 72 по вопросу об организации местного самоуправления). В литературе иногда   органическими называют все законы, к которым отсылает конституция, однако во Франции, как видим, это неприменимо. В Бразилии подобного рода законы именуются </w:t>
      </w:r>
      <w:r>
        <w:rPr>
          <w:i/>
          <w:sz w:val="28"/>
        </w:rPr>
        <w:t xml:space="preserve">допролнительными </w:t>
      </w:r>
      <w:r>
        <w:rPr>
          <w:sz w:val="28"/>
        </w:rPr>
        <w:t>(дополняют Конституцию).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Обычные законы</w:t>
      </w:r>
      <w:r>
        <w:rPr>
          <w:sz w:val="28"/>
        </w:rPr>
        <w:t xml:space="preserve"> в тех странах, где имеются также конституционные, органические и им подобные законы с повышенной юридической силой, регулируют менее важные общественные отношения, образующие предмет конституционного права. 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Конституции, конституционные, органические и им подобные законы всегда в полном объеме являются источниками конституционного права, обычные же законы – либо в полном объеме,  либо частично в зависимости от места, которое в них занимают конституционно-правовые нормы.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Ту же юридическую силу, что и законы, имеют в некоторых странах нормативные акты, издаваемые в порядке замещения парламентов (декреты-законы Государственного совета на Кубе, значительная часть указов Государственного совета во Въетнаме,  законодательные декреты и декреты-законы Правительства в Испании и т.п.). Они зачастую подлежат последующему утверждению парламентом и являются источниками конституционного права, если содержат соответствующие нормы.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 xml:space="preserve">нормативно-правовым актам исполнительной власти </w:t>
      </w:r>
      <w:r>
        <w:rPr>
          <w:sz w:val="28"/>
        </w:rPr>
        <w:t>относятся  нормативные акты глав государств (указы, декреты, приказы и т.п.) и нормативные акты правительств, а иногда и ведомств (ордонансы, декреты, постановления и т.п.). Указанные акты служат источниками конституционного права  лишь в той части, в какой содержат его нормы. Между ними существует определенная субординация: нормативные акты нижестоящих государственных органов не должны противоречить актам вышестоящих. Нормативные акты глав государств и правительств имеют наиболее широкую сферу действия.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нормативно-правовым актам органов конституционного контроля (надзора)</w:t>
      </w:r>
      <w:r>
        <w:rPr>
          <w:sz w:val="28"/>
        </w:rPr>
        <w:t xml:space="preserve"> относятся решения Конституционного совета во Франции, конституционных судов в Италии, Германии, Болгарии, Венгрии, конституционных трибуналов в Польше, Испании, верховных судов в США, Японии, Индии и т.п. Нормативно-правовой характер имеют такие решения этих органов, которые содержат конституционно-правовые нормы – о конституционности законов и других нормативных актов, о компетенции государственных органов, о толковании конституции и т.п. Во Франции, например, подобное значение имеют и некоторые решения Государственного совета – высшего органа административной юстиции. Фактически многие акты органов конституционного контроля (надзора) имеют ту же юридическую силу, что и конституционные нормы.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Регламенты</w:t>
      </w:r>
      <w:r>
        <w:rPr>
          <w:sz w:val="28"/>
        </w:rPr>
        <w:t xml:space="preserve"> палат парламентов как источники конституционного права содержат нормы, определяющие порядок деятельности палат и их внутренних структур. Иногда такое же значение имеют парламентские прецеденты – поведение в конкретных ситуациях, которое считается обязательным в случае повторения таких ситуаций. Конституционно-правовые нормы могут содержаться и в регламентах иных органов власти (правительств, конституционных судов и др.)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Решения органов местного самоуправления</w:t>
      </w:r>
      <w:r>
        <w:rPr>
          <w:sz w:val="28"/>
        </w:rPr>
        <w:t xml:space="preserve"> (например, местные уставы, статуты) являются источниками конституционного права, когда регулируют общественные отношения, связанные с осуществлением публичной власти.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В некоторых странах источником конституционного права выступает </w:t>
      </w:r>
      <w:r>
        <w:rPr>
          <w:i/>
          <w:sz w:val="28"/>
        </w:rPr>
        <w:t>судебный прецедент</w:t>
      </w:r>
      <w:r>
        <w:rPr>
          <w:sz w:val="28"/>
        </w:rPr>
        <w:t>, то есть решение суда по конкретному делу, которое признается обязательным при рассмотрении в последующем аналогичных дел. Особенно широко он применяется в Великобритании, США, Индии ряде других стран, воспринявших англосаксонскую систему права. В этих странах судьями создана целая система норм, которая именуется общим правом в отличие от статутного права, то есть законов, принятых парламентами. Нормы прецедентного конституционного права очень многочисленны и разнообразны. Они в значительной степени определяют правовое положение граждан и общественных объединений, а также взаимоотношения между органами государства. Так, в Великобритании именно судебный прецедент обосновал неответственность монарха («Король не может быть неправ»), санкционировал институт контрасигнатуры («Король не может действовать один»).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Признание судебного прецедента источником конституционного права означает, что судебные органы осуществляют не только юрисдикционную функцию (разрешение конфликтов на основе права), но и правотворческую. Обилие прецедентов, накопившихся за сотню лет, и , естественно, не всегда между собой согласующихся, требует очень высокой квалификации участвующих в процессах адвокатов и дает судьям значительную свободу выбора при постановлении  решения.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Практически в каждой стране существуют конституционно-правовые </w:t>
      </w:r>
      <w:r>
        <w:rPr>
          <w:i/>
          <w:sz w:val="28"/>
        </w:rPr>
        <w:t>обычаи</w:t>
      </w:r>
      <w:r>
        <w:rPr>
          <w:sz w:val="28"/>
        </w:rPr>
        <w:t>, однако лишь в отдельных странах они считаются официальными источниками конституционного права. Это правила поведения, нигде в официальных изданиях не записанные в качестве таковых, однако в течение длительного времени применяемые и молчаливо санкционированные государством. Впрочем, судом они в любом случае не защищаются.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>Широкое распространение обычай получил в конституционном праве Великобритании (конституционные соглашения). Многие положения британской конституции существуют ныне именно в этой форме: « Король должен согласиться с биллем (законопроектом), прошедшим через обе палаты Парламента»</w:t>
      </w:r>
      <w:r>
        <w:rPr>
          <w:sz w:val="28"/>
          <w:lang w:val="en-AU"/>
        </w:rPr>
        <w:t>;</w:t>
      </w:r>
      <w:r>
        <w:rPr>
          <w:sz w:val="28"/>
        </w:rPr>
        <w:t xml:space="preserve"> «лидер партии большинства – премьер-министр»</w:t>
      </w:r>
      <w:r>
        <w:rPr>
          <w:sz w:val="28"/>
          <w:lang w:val="en-AU"/>
        </w:rPr>
        <w:t>;</w:t>
      </w:r>
      <w:r>
        <w:rPr>
          <w:sz w:val="28"/>
        </w:rPr>
        <w:t xml:space="preserve"> «министры выходят в отставку, если перестают пользоваться доверием палаты общин»</w:t>
      </w:r>
      <w:r>
        <w:rPr>
          <w:sz w:val="28"/>
          <w:lang w:val="en-AU"/>
        </w:rPr>
        <w:t>;</w:t>
      </w:r>
      <w:r>
        <w:rPr>
          <w:sz w:val="28"/>
        </w:rPr>
        <w:t xml:space="preserve"> «Палате лордов не принадлежит инициатива финансовых биллей» и др.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Международные договоры</w:t>
      </w:r>
      <w:r>
        <w:rPr>
          <w:sz w:val="28"/>
        </w:rPr>
        <w:t xml:space="preserve"> служат источниками конституционного права в случаях, когда регулируют конституционные проблемы и предусмотрено их непосредственное применение. В современных конституциях многих государств содержатся положения о примате международного права перед внутригосударственным. Это порождено процессом дальнейшей интернационализации экономики и других сторон общественной жизни. В Западной Европе формируется единое правовое пространство, охватывающее страны Европейского союза, где непосредственно действуют акты, издаваемые не только национальными органами власти, но также и органами Союза</w:t>
      </w:r>
      <w:r>
        <w:rPr>
          <w:rStyle w:val="a5"/>
          <w:sz w:val="28"/>
        </w:rPr>
        <w:footnoteReference w:id="1"/>
      </w:r>
      <w:r>
        <w:rPr>
          <w:sz w:val="28"/>
        </w:rPr>
        <w:t xml:space="preserve">.  Такие тенденции обозначились и в некоторых других регионах мира. Впрочем, надо иметь в виду, что имеющие прямое действие в странах Европейского союза акты органов Союза являются не международными договорами, а </w:t>
      </w:r>
      <w:r>
        <w:rPr>
          <w:i/>
          <w:sz w:val="28"/>
        </w:rPr>
        <w:t>актами национального характера</w:t>
      </w:r>
      <w:r>
        <w:rPr>
          <w:sz w:val="28"/>
        </w:rPr>
        <w:t>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i/>
          <w:sz w:val="28"/>
        </w:rPr>
        <w:t>Внутригосударственные договоры</w:t>
      </w:r>
      <w:r>
        <w:rPr>
          <w:sz w:val="28"/>
        </w:rPr>
        <w:t xml:space="preserve"> служат источниками конституционного права, если регулируют конституционные проблемы в случае, когда заключившие их субъекты на это управомочены. В качестве примера можно указать на договоры, заключаемые территориальными общностями между собой или с центральной властью. Например, согласно Конституции Испании статуты автономных сообществ могут предусмотреть случаи, условия и цели, в которых автономные сообщества могут заключать между собой соглашениядля управления и взаимного оказания услуг, а также характер и последствия уведомления об этом Генеральных кортесов (парламента страны). В прочих случаях автономных сообществ о сотрудничестве нуждаются в утверждении Генеральных кортесов.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В западной правовой литературе нередко высказываются утверждения, что источниками конституционного права являются также </w:t>
      </w:r>
      <w:r>
        <w:rPr>
          <w:i/>
          <w:sz w:val="28"/>
        </w:rPr>
        <w:t xml:space="preserve">доктрины </w:t>
      </w:r>
      <w:r>
        <w:rPr>
          <w:sz w:val="28"/>
        </w:rPr>
        <w:t>известных ученых-юристов (У. Блэкстона, А. Дайси и др.). Так, известный французский правовед Рене Давид писал сравнительно недавно: «…Доктрина в наши дни, также, как и в прошлом, составляет очень важный и весьма жизненный источник права». В древние и средние века трактаты выдающихся юристов, толковавших нормы права, фигурировали в судах как источники права. В настояще время в решениях, например, британских судов можно встретить ссылки на труды ученых-юристов, однако они рассматриваются уже не как источники права, а как средство обоснования, дополнительной  аргументации судебного решения. Аналогичную роль выполняют так называемые частные кодификации права, проводимые отдельными юристами.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Специфическим источником права, в том числе конституционного, в отдельных странах выступают своды религиозных правил, причем юридическая сила их порой превосходит даже силу конституционных норм. Например, в Исламской Республике Иран высшим источником права является </w:t>
      </w:r>
      <w:r>
        <w:rPr>
          <w:i/>
          <w:sz w:val="28"/>
        </w:rPr>
        <w:t>шариат</w:t>
      </w:r>
      <w:r>
        <w:rPr>
          <w:sz w:val="28"/>
        </w:rPr>
        <w:t xml:space="preserve"> – свод норм мусульманского права.</w:t>
      </w:r>
    </w:p>
    <w:p w:rsidR="00F86E46" w:rsidRDefault="00F86E46">
      <w:pPr>
        <w:pStyle w:val="a3"/>
        <w:spacing w:before="120" w:after="120" w:line="48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Использованная литература:</w:t>
      </w:r>
    </w:p>
    <w:p w:rsidR="00F86E46" w:rsidRDefault="00F86E46">
      <w:pPr>
        <w:pStyle w:val="a3"/>
        <w:spacing w:before="120" w:after="120" w:line="480" w:lineRule="auto"/>
        <w:jc w:val="left"/>
        <w:rPr>
          <w:b/>
          <w:sz w:val="28"/>
        </w:rPr>
      </w:pPr>
    </w:p>
    <w:p w:rsidR="00F86E46" w:rsidRDefault="00F86E46">
      <w:pPr>
        <w:pStyle w:val="a3"/>
        <w:numPr>
          <w:ilvl w:val="0"/>
          <w:numId w:val="1"/>
        </w:numPr>
        <w:spacing w:before="120" w:after="120" w:line="480" w:lineRule="auto"/>
        <w:jc w:val="left"/>
        <w:rPr>
          <w:sz w:val="28"/>
        </w:rPr>
      </w:pPr>
      <w:r>
        <w:rPr>
          <w:sz w:val="28"/>
        </w:rPr>
        <w:t>Страшун Б.А.  Конституционное (государственное) право зарубежных стран, БЕК, 2000</w:t>
      </w:r>
    </w:p>
    <w:p w:rsidR="00F86E46" w:rsidRDefault="00F86E46">
      <w:pPr>
        <w:pStyle w:val="a3"/>
        <w:numPr>
          <w:ilvl w:val="0"/>
          <w:numId w:val="1"/>
        </w:numPr>
        <w:spacing w:before="120" w:after="120" w:line="480" w:lineRule="auto"/>
        <w:jc w:val="left"/>
        <w:rPr>
          <w:sz w:val="28"/>
        </w:rPr>
      </w:pPr>
      <w:r>
        <w:rPr>
          <w:sz w:val="28"/>
        </w:rPr>
        <w:t>Алебастрова И.А. Конституционное право зарубежных стран, Юрайт, 2001</w:t>
      </w:r>
    </w:p>
    <w:p w:rsidR="00F86E46" w:rsidRDefault="00F86E46">
      <w:pPr>
        <w:pStyle w:val="a3"/>
        <w:numPr>
          <w:ilvl w:val="0"/>
          <w:numId w:val="1"/>
        </w:numPr>
        <w:spacing w:before="120" w:after="120" w:line="480" w:lineRule="auto"/>
        <w:jc w:val="left"/>
        <w:rPr>
          <w:sz w:val="28"/>
        </w:rPr>
      </w:pPr>
      <w:r>
        <w:rPr>
          <w:sz w:val="28"/>
        </w:rPr>
        <w:t>Лазарев В.В. Конституционное право, Юристъ, 1999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  <w:r>
        <w:rPr>
          <w:sz w:val="28"/>
        </w:rPr>
        <w:t xml:space="preserve">  </w:t>
      </w:r>
    </w:p>
    <w:p w:rsidR="00F86E46" w:rsidRDefault="00F86E46">
      <w:pPr>
        <w:pStyle w:val="a3"/>
        <w:spacing w:before="120" w:after="120" w:line="480" w:lineRule="auto"/>
        <w:ind w:firstLine="720"/>
        <w:rPr>
          <w:sz w:val="28"/>
        </w:rPr>
      </w:pPr>
    </w:p>
    <w:p w:rsidR="00F86E46" w:rsidRDefault="00F86E46">
      <w:bookmarkStart w:id="0" w:name="_GoBack"/>
      <w:bookmarkEnd w:id="0"/>
    </w:p>
    <w:sectPr w:rsidR="00F86E46">
      <w:footerReference w:type="even" r:id="rId7"/>
      <w:footerReference w:type="default" r:id="rId8"/>
      <w:pgSz w:w="12240" w:h="15840"/>
      <w:pgMar w:top="864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46" w:rsidRDefault="00F86E46">
      <w:r>
        <w:separator/>
      </w:r>
    </w:p>
  </w:endnote>
  <w:endnote w:type="continuationSeparator" w:id="0">
    <w:p w:rsidR="00F86E46" w:rsidRDefault="00F8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46" w:rsidRDefault="00F86E4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F86E46" w:rsidRDefault="00F86E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46" w:rsidRDefault="00F86E4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11</w:t>
    </w:r>
  </w:p>
  <w:p w:rsidR="00F86E46" w:rsidRDefault="00F86E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46" w:rsidRDefault="00F86E46">
      <w:r>
        <w:separator/>
      </w:r>
    </w:p>
  </w:footnote>
  <w:footnote w:type="continuationSeparator" w:id="0">
    <w:p w:rsidR="00F86E46" w:rsidRDefault="00F86E46">
      <w:r>
        <w:continuationSeparator/>
      </w:r>
    </w:p>
  </w:footnote>
  <w:footnote w:id="1">
    <w:p w:rsidR="00F86E46" w:rsidRDefault="00F86E46">
      <w:pPr>
        <w:pStyle w:val="a4"/>
      </w:pPr>
      <w:r>
        <w:rPr>
          <w:rStyle w:val="a5"/>
        </w:rPr>
        <w:footnoteRef/>
      </w:r>
      <w:r>
        <w:t xml:space="preserve"> До 1994 года, когда на месте нынешнего Европейского союза существовал его предшественник – Европейское Сообщество, нормативные акты органов Сообщества составляли так называемое </w:t>
      </w:r>
      <w:r>
        <w:rPr>
          <w:i/>
        </w:rPr>
        <w:t xml:space="preserve">коммунитарное право </w:t>
      </w:r>
      <w:r>
        <w:t>(от фр.</w:t>
      </w:r>
      <w:r>
        <w:rPr>
          <w:lang w:val="en-AU"/>
        </w:rPr>
        <w:t xml:space="preserve"> Communaute – </w:t>
      </w:r>
      <w:r>
        <w:t>сообщество)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D4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C5"/>
    <w:rsid w:val="000C72C5"/>
    <w:rsid w:val="00372B25"/>
    <w:rsid w:val="00E30AC1"/>
    <w:rsid w:val="00F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3B152-99E2-4C34-9A4D-57E155A3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4"/>
    </w:rPr>
  </w:style>
  <w:style w:type="paragraph" w:styleId="a4">
    <w:name w:val="footnote text"/>
    <w:basedOn w:val="a"/>
    <w:semiHidden/>
    <w:pPr>
      <w:spacing w:line="360" w:lineRule="auto"/>
      <w:ind w:left="170" w:right="57" w:firstLine="567"/>
      <w:jc w:val="both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320"/>
        <w:tab w:val="right" w:pos="8640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Nurgalieva</dc:creator>
  <cp:keywords/>
  <cp:lastModifiedBy>admin</cp:lastModifiedBy>
  <cp:revision>2</cp:revision>
  <dcterms:created xsi:type="dcterms:W3CDTF">2014-02-13T12:27:00Z</dcterms:created>
  <dcterms:modified xsi:type="dcterms:W3CDTF">2014-02-13T12:27:00Z</dcterms:modified>
</cp:coreProperties>
</file>