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7709" w:rsidRDefault="00DE7709" w:rsidP="00B81E47">
      <w:pPr>
        <w:spacing w:before="100" w:beforeAutospacing="1" w:after="100" w:afterAutospacing="1" w:line="240" w:lineRule="auto"/>
        <w:ind w:firstLine="720"/>
        <w:outlineLvl w:val="1"/>
        <w:rPr>
          <w:rFonts w:ascii="Times New Roman" w:hAnsi="Times New Roman"/>
          <w:b/>
          <w:bCs/>
          <w:sz w:val="36"/>
          <w:szCs w:val="36"/>
          <w:lang w:val="ru-RU" w:eastAsia="uk-UA"/>
        </w:rPr>
      </w:pPr>
      <w:r>
        <w:rPr>
          <w:rFonts w:ascii="Times New Roman" w:hAnsi="Times New Roman"/>
          <w:b/>
          <w:bCs/>
          <w:sz w:val="36"/>
          <w:szCs w:val="36"/>
          <w:lang w:val="ru-RU" w:eastAsia="uk-UA"/>
        </w:rPr>
        <w:t>Характеристика свойств нобелия</w:t>
      </w:r>
    </w:p>
    <w:p w:rsidR="00DE7709" w:rsidRDefault="00DE7709" w:rsidP="00B81E47">
      <w:pPr>
        <w:spacing w:before="100" w:beforeAutospacing="1" w:after="100" w:afterAutospacing="1" w:line="240" w:lineRule="auto"/>
        <w:ind w:firstLine="720"/>
        <w:outlineLvl w:val="1"/>
        <w:rPr>
          <w:rFonts w:ascii="Times New Roman" w:hAnsi="Times New Roman"/>
          <w:b/>
          <w:bCs/>
          <w:sz w:val="36"/>
          <w:szCs w:val="36"/>
          <w:lang w:val="ru-RU" w:eastAsia="uk-UA"/>
        </w:rPr>
      </w:pPr>
    </w:p>
    <w:p w:rsidR="00750489" w:rsidRPr="00750489" w:rsidRDefault="00750489" w:rsidP="00B81E47">
      <w:pPr>
        <w:spacing w:before="100" w:beforeAutospacing="1" w:after="100" w:afterAutospacing="1" w:line="240" w:lineRule="auto"/>
        <w:ind w:firstLine="720"/>
        <w:outlineLvl w:val="1"/>
        <w:rPr>
          <w:rFonts w:ascii="Times New Roman" w:hAnsi="Times New Roman"/>
          <w:b/>
          <w:bCs/>
          <w:sz w:val="36"/>
          <w:szCs w:val="36"/>
          <w:lang w:eastAsia="uk-UA"/>
        </w:rPr>
      </w:pPr>
      <w:r w:rsidRPr="00750489">
        <w:rPr>
          <w:rFonts w:ascii="Times New Roman" w:hAnsi="Times New Roman"/>
          <w:b/>
          <w:bCs/>
          <w:sz w:val="36"/>
          <w:szCs w:val="36"/>
          <w:lang w:eastAsia="uk-UA"/>
        </w:rPr>
        <w:t>Нобелий</w:t>
      </w:r>
    </w:p>
    <w:p w:rsidR="00B81E47" w:rsidRPr="00C32964" w:rsidRDefault="00B81E47" w:rsidP="00C32964">
      <w:pPr>
        <w:spacing w:before="100" w:beforeAutospacing="1" w:after="100" w:afterAutospacing="1" w:line="360" w:lineRule="auto"/>
        <w:rPr>
          <w:rFonts w:ascii="Times New Roman" w:hAnsi="Times New Roman"/>
          <w:sz w:val="28"/>
          <w:szCs w:val="28"/>
          <w:lang w:val="ru-RU" w:eastAsia="uk-UA"/>
        </w:rPr>
      </w:pPr>
    </w:p>
    <w:tbl>
      <w:tblPr>
        <w:tblW w:w="2070" w:type="dxa"/>
        <w:tblCellSpacing w:w="0" w:type="dxa"/>
        <w:tblInd w:w="720" w:type="dxa"/>
        <w:tblCellMar>
          <w:top w:w="75" w:type="dxa"/>
          <w:left w:w="75" w:type="dxa"/>
          <w:bottom w:w="75" w:type="dxa"/>
          <w:right w:w="75" w:type="dxa"/>
        </w:tblCellMar>
        <w:tblLook w:val="00A0" w:firstRow="1" w:lastRow="0" w:firstColumn="1" w:lastColumn="0" w:noHBand="0" w:noVBand="0"/>
      </w:tblPr>
      <w:tblGrid>
        <w:gridCol w:w="1678"/>
        <w:gridCol w:w="392"/>
      </w:tblGrid>
      <w:tr w:rsidR="00B81E47" w:rsidRPr="002F3D3B" w:rsidTr="00B65E46">
        <w:trPr>
          <w:tblCellSpacing w:w="0" w:type="dxa"/>
        </w:trPr>
        <w:tc>
          <w:tcPr>
            <w:tcW w:w="0" w:type="auto"/>
            <w:gridSpan w:val="2"/>
            <w:vAlign w:val="center"/>
          </w:tcPr>
          <w:p w:rsidR="00B81E47" w:rsidRPr="002F3D3B" w:rsidRDefault="00B81E47" w:rsidP="002F3D3B">
            <w:pPr>
              <w:spacing w:after="0" w:line="360" w:lineRule="auto"/>
              <w:jc w:val="right"/>
              <w:rPr>
                <w:rFonts w:ascii="Times New Roman" w:hAnsi="Times New Roman"/>
                <w:bCs/>
                <w:sz w:val="20"/>
                <w:szCs w:val="25"/>
                <w:lang w:eastAsia="uk-UA"/>
              </w:rPr>
            </w:pPr>
            <w:r w:rsidRPr="002F3D3B">
              <w:rPr>
                <w:rFonts w:ascii="Times New Roman" w:hAnsi="Times New Roman"/>
                <w:bCs/>
                <w:sz w:val="20"/>
                <w:szCs w:val="25"/>
                <w:lang w:eastAsia="uk-UA"/>
              </w:rPr>
              <w:t>102</w:t>
            </w:r>
          </w:p>
        </w:tc>
      </w:tr>
      <w:tr w:rsidR="00B81E47" w:rsidRPr="002F3D3B" w:rsidTr="00B65E46">
        <w:trPr>
          <w:tblCellSpacing w:w="0" w:type="dxa"/>
        </w:trPr>
        <w:tc>
          <w:tcPr>
            <w:tcW w:w="4053" w:type="pct"/>
            <w:vAlign w:val="center"/>
          </w:tcPr>
          <w:p w:rsidR="00B81E47" w:rsidRPr="002F3D3B" w:rsidRDefault="00B81E47" w:rsidP="002F3D3B">
            <w:pPr>
              <w:spacing w:after="0" w:line="360" w:lineRule="auto"/>
              <w:rPr>
                <w:rFonts w:ascii="Times New Roman" w:hAnsi="Times New Roman"/>
                <w:sz w:val="20"/>
                <w:szCs w:val="95"/>
                <w:lang w:eastAsia="uk-UA"/>
              </w:rPr>
            </w:pPr>
            <w:r w:rsidRPr="002F3D3B">
              <w:rPr>
                <w:rFonts w:ascii="Times New Roman" w:hAnsi="Times New Roman"/>
                <w:sz w:val="20"/>
                <w:szCs w:val="95"/>
                <w:lang w:eastAsia="uk-UA"/>
              </w:rPr>
              <w:t>No</w:t>
            </w:r>
          </w:p>
        </w:tc>
        <w:tc>
          <w:tcPr>
            <w:tcW w:w="0" w:type="auto"/>
            <w:vMerge w:val="restart"/>
            <w:vAlign w:val="bottom"/>
          </w:tcPr>
          <w:p w:rsidR="00B81E47" w:rsidRPr="002F3D3B" w:rsidRDefault="00B81E47" w:rsidP="002F3D3B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19"/>
                <w:lang w:eastAsia="uk-UA"/>
              </w:rPr>
            </w:pPr>
            <w:r w:rsidRPr="002F3D3B">
              <w:rPr>
                <w:rFonts w:ascii="Times New Roman" w:hAnsi="Times New Roman"/>
                <w:sz w:val="20"/>
                <w:szCs w:val="19"/>
                <w:lang w:eastAsia="uk-UA"/>
              </w:rPr>
              <w:t>2 9 31 32 18 8 2</w:t>
            </w:r>
          </w:p>
        </w:tc>
      </w:tr>
      <w:tr w:rsidR="00B81E47" w:rsidRPr="002F3D3B" w:rsidTr="00B65E46">
        <w:trPr>
          <w:tblCellSpacing w:w="0" w:type="dxa"/>
        </w:trPr>
        <w:tc>
          <w:tcPr>
            <w:tcW w:w="0" w:type="auto"/>
            <w:vAlign w:val="center"/>
          </w:tcPr>
          <w:p w:rsidR="00B81E47" w:rsidRPr="002F3D3B" w:rsidRDefault="00B81E47" w:rsidP="002F3D3B">
            <w:pPr>
              <w:spacing w:after="0" w:line="360" w:lineRule="auto"/>
              <w:rPr>
                <w:rFonts w:ascii="Times New Roman" w:hAnsi="Times New Roman"/>
                <w:sz w:val="20"/>
                <w:szCs w:val="18"/>
                <w:lang w:eastAsia="uk-UA"/>
              </w:rPr>
            </w:pPr>
            <w:r w:rsidRPr="002F3D3B">
              <w:rPr>
                <w:rFonts w:ascii="Times New Roman" w:hAnsi="Times New Roman"/>
                <w:sz w:val="20"/>
                <w:szCs w:val="18"/>
                <w:lang w:eastAsia="uk-UA"/>
              </w:rPr>
              <w:t>НОБЕЛИЙ</w:t>
            </w:r>
          </w:p>
        </w:tc>
        <w:tc>
          <w:tcPr>
            <w:tcW w:w="0" w:type="auto"/>
            <w:vMerge/>
            <w:vAlign w:val="center"/>
          </w:tcPr>
          <w:p w:rsidR="00B81E47" w:rsidRPr="002F3D3B" w:rsidRDefault="00B81E47" w:rsidP="002F3D3B">
            <w:pPr>
              <w:spacing w:after="0" w:line="360" w:lineRule="auto"/>
              <w:rPr>
                <w:rFonts w:ascii="Times New Roman" w:hAnsi="Times New Roman"/>
                <w:sz w:val="20"/>
                <w:szCs w:val="19"/>
                <w:lang w:eastAsia="uk-UA"/>
              </w:rPr>
            </w:pPr>
          </w:p>
        </w:tc>
      </w:tr>
      <w:tr w:rsidR="00B81E47" w:rsidRPr="002F3D3B" w:rsidTr="00B65E46">
        <w:trPr>
          <w:tblCellSpacing w:w="0" w:type="dxa"/>
        </w:trPr>
        <w:tc>
          <w:tcPr>
            <w:tcW w:w="0" w:type="auto"/>
            <w:vAlign w:val="center"/>
          </w:tcPr>
          <w:p w:rsidR="00B81E47" w:rsidRPr="002F3D3B" w:rsidRDefault="00B81E47" w:rsidP="002F3D3B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eastAsia="uk-UA"/>
              </w:rPr>
            </w:pPr>
            <w:r w:rsidRPr="002F3D3B">
              <w:rPr>
                <w:rFonts w:ascii="Times New Roman" w:hAnsi="Times New Roman"/>
                <w:sz w:val="20"/>
                <w:szCs w:val="20"/>
                <w:lang w:eastAsia="uk-UA"/>
              </w:rPr>
              <w:t>[259]</w:t>
            </w:r>
          </w:p>
        </w:tc>
        <w:tc>
          <w:tcPr>
            <w:tcW w:w="0" w:type="auto"/>
            <w:vMerge/>
            <w:vAlign w:val="center"/>
          </w:tcPr>
          <w:p w:rsidR="00B81E47" w:rsidRPr="002F3D3B" w:rsidRDefault="00B81E47" w:rsidP="002F3D3B">
            <w:pPr>
              <w:spacing w:after="0" w:line="360" w:lineRule="auto"/>
              <w:rPr>
                <w:rFonts w:ascii="Times New Roman" w:hAnsi="Times New Roman"/>
                <w:sz w:val="20"/>
                <w:szCs w:val="19"/>
                <w:lang w:eastAsia="uk-UA"/>
              </w:rPr>
            </w:pPr>
          </w:p>
        </w:tc>
      </w:tr>
      <w:tr w:rsidR="00B81E47" w:rsidRPr="002F3D3B" w:rsidTr="00B65E46">
        <w:trPr>
          <w:tblCellSpacing w:w="0" w:type="dxa"/>
        </w:trPr>
        <w:tc>
          <w:tcPr>
            <w:tcW w:w="0" w:type="auto"/>
            <w:vAlign w:val="center"/>
          </w:tcPr>
          <w:p w:rsidR="00B81E47" w:rsidRPr="002F3D3B" w:rsidRDefault="00B81E47" w:rsidP="002F3D3B">
            <w:pPr>
              <w:spacing w:after="0" w:line="360" w:lineRule="auto"/>
              <w:rPr>
                <w:rFonts w:ascii="Times New Roman" w:hAnsi="Times New Roman"/>
                <w:sz w:val="20"/>
                <w:szCs w:val="25"/>
                <w:lang w:eastAsia="uk-UA"/>
              </w:rPr>
            </w:pPr>
            <w:r w:rsidRPr="002F3D3B">
              <w:rPr>
                <w:rFonts w:ascii="Times New Roman" w:hAnsi="Times New Roman"/>
                <w:sz w:val="20"/>
                <w:szCs w:val="25"/>
                <w:lang w:eastAsia="uk-UA"/>
              </w:rPr>
              <w:t>5f</w:t>
            </w:r>
            <w:r w:rsidRPr="002F3D3B">
              <w:rPr>
                <w:rFonts w:ascii="Times New Roman" w:hAnsi="Times New Roman"/>
                <w:sz w:val="20"/>
                <w:szCs w:val="25"/>
                <w:vertAlign w:val="superscript"/>
                <w:lang w:eastAsia="uk-UA"/>
              </w:rPr>
              <w:t>14</w:t>
            </w:r>
            <w:r w:rsidRPr="002F3D3B">
              <w:rPr>
                <w:rFonts w:ascii="Times New Roman" w:hAnsi="Times New Roman"/>
                <w:sz w:val="20"/>
                <w:szCs w:val="25"/>
                <w:lang w:eastAsia="uk-UA"/>
              </w:rPr>
              <w:t>7s</w:t>
            </w:r>
            <w:r w:rsidRPr="002F3D3B">
              <w:rPr>
                <w:rFonts w:ascii="Times New Roman" w:hAnsi="Times New Roman"/>
                <w:sz w:val="20"/>
                <w:szCs w:val="25"/>
                <w:vertAlign w:val="superscript"/>
                <w:lang w:eastAsia="uk-UA"/>
              </w:rPr>
              <w:t>2</w:t>
            </w:r>
          </w:p>
        </w:tc>
        <w:tc>
          <w:tcPr>
            <w:tcW w:w="0" w:type="auto"/>
            <w:vMerge/>
            <w:vAlign w:val="center"/>
          </w:tcPr>
          <w:p w:rsidR="00B81E47" w:rsidRPr="002F3D3B" w:rsidRDefault="00B81E47" w:rsidP="002F3D3B">
            <w:pPr>
              <w:spacing w:after="0" w:line="360" w:lineRule="auto"/>
              <w:rPr>
                <w:rFonts w:ascii="Times New Roman" w:hAnsi="Times New Roman"/>
                <w:sz w:val="20"/>
                <w:szCs w:val="19"/>
                <w:lang w:eastAsia="uk-UA"/>
              </w:rPr>
            </w:pPr>
          </w:p>
        </w:tc>
      </w:tr>
    </w:tbl>
    <w:p w:rsidR="00B81E47" w:rsidRPr="00451155" w:rsidRDefault="00B81E47" w:rsidP="00451155">
      <w:pPr>
        <w:spacing w:before="100" w:beforeAutospacing="1" w:after="100" w:afterAutospacing="1" w:line="360" w:lineRule="auto"/>
        <w:ind w:firstLine="720"/>
        <w:rPr>
          <w:rFonts w:ascii="Times New Roman" w:hAnsi="Times New Roman"/>
          <w:sz w:val="28"/>
          <w:szCs w:val="28"/>
          <w:lang w:val="ru-RU" w:eastAsia="uk-UA"/>
        </w:rPr>
      </w:pP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В 1955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г. была заполнена 101-я клетка таблицы Менделеева. Следующим, естественно, должен был стать синтез 102-го элемента.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В 1956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г. к этой работе почти одновременно приступили исследователи из Нобелевского института физики в Стокгольме (в группе работали английские, шведские и американские ученые) и из Института атомной энергии в Москве. Вслед за ними в работу по синтезу 102-го элемента включились ученые Радиационной лаборатории Калифорнийского университета (Беркли).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Не прошло и года, как в научных журналах появились статьи, из которых следовало, что элемент №102 синтезирован.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Эти сообщения подхватили газеты, о новом элементе узнал весь мир. Но ясности, необходимой для окончательного утверждения нового элемента в периодической системе, не было еще долгие годы. Объясняется это не только трудностями, возрастающими с каждым новым шагом в трансурановую область, но и в какой-то мере поспешностью заключений.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В итоге для окончательного ответа на вопрос: «Что же такое элемент №102?» – понадобилось десять лет. Десять лет работы исследователей разных лабораторий и разных стран.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Исторически все работы по получению и исследованию 102-го элемента можно разделить на два периода: к первому относятся работы 1956...1959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гг., выполненные в лабораториях Стокгольма, Москвы и Беркли, ко второму – работы в Объединенном институте ядерных исследований в Дубне (1963...1966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гг.).</w:t>
      </w:r>
    </w:p>
    <w:p w:rsidR="00750489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Общее, что объединяет все эти работы, – метод синтеза. Получить изотопы 102-го элемента можно было только в ядерных реакциях с участием тяжелых ионов, бомбардируя такими ионами мишени из урана и некоторых трансурановых элементов.</w:t>
      </w:r>
    </w:p>
    <w:p w:rsidR="00386551" w:rsidRPr="00386551" w:rsidRDefault="00386551" w:rsidP="00B841BD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 w:eastAsia="uk-UA"/>
        </w:rPr>
      </w:pPr>
    </w:p>
    <w:p w:rsidR="00750489" w:rsidRPr="00386551" w:rsidRDefault="00750489" w:rsidP="00B841BD">
      <w:pPr>
        <w:spacing w:after="0" w:line="360" w:lineRule="auto"/>
        <w:ind w:firstLine="709"/>
        <w:jc w:val="both"/>
        <w:outlineLvl w:val="2"/>
        <w:rPr>
          <w:rFonts w:ascii="Times New Roman" w:hAnsi="Times New Roman"/>
          <w:b/>
          <w:bCs/>
          <w:sz w:val="28"/>
          <w:szCs w:val="28"/>
          <w:lang w:val="ru-RU" w:eastAsia="uk-UA"/>
        </w:rPr>
      </w:pPr>
      <w:r w:rsidRPr="00386551">
        <w:rPr>
          <w:rFonts w:ascii="Times New Roman" w:hAnsi="Times New Roman"/>
          <w:b/>
          <w:bCs/>
          <w:sz w:val="28"/>
          <w:szCs w:val="28"/>
          <w:lang w:val="ru-RU" w:eastAsia="uk-UA"/>
        </w:rPr>
        <w:t>Разными путями</w:t>
      </w:r>
    </w:p>
    <w:p w:rsidR="00386551" w:rsidRPr="00B841BD" w:rsidRDefault="00386551" w:rsidP="00B841BD">
      <w:pPr>
        <w:spacing w:after="0" w:line="360" w:lineRule="auto"/>
        <w:ind w:firstLine="709"/>
        <w:jc w:val="both"/>
        <w:outlineLvl w:val="2"/>
        <w:rPr>
          <w:rFonts w:ascii="Times New Roman" w:hAnsi="Times New Roman"/>
          <w:bCs/>
          <w:sz w:val="28"/>
          <w:szCs w:val="28"/>
          <w:lang w:val="ru-RU" w:eastAsia="uk-UA"/>
        </w:rPr>
      </w:pPr>
    </w:p>
    <w:p w:rsidR="00750489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Вообще говоря, существует несколько способов получения новых элементов. В одном из них используется облучение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урана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или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плутония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мощными нейтронными потоками в стационарных или импульсных (взрыв ядерного устройства) условиях. При этом образуются переобогащенные нейтронами изотопы, подверженные бета-распаду. В результате серии таких распадов они превращаются в элементы с большими порядковыми номерами.</w:t>
      </w:r>
      <w:r w:rsidR="00883E97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Другой метод основан на облучении ближайших тяжелых трансурановых мишеней заряженными частицами. При обстреле ядра протонами его заряд (</w:t>
      </w:r>
      <w:r w:rsidR="000B7A33" w:rsidRPr="00B841BD">
        <w:rPr>
          <w:rFonts w:ascii="Times New Roman" w:hAnsi="Times New Roman"/>
          <w:sz w:val="28"/>
          <w:szCs w:val="28"/>
          <w:lang w:val="ru-RU" w:eastAsia="uk-UA"/>
        </w:rPr>
        <w:t>а,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следовательно, и номер элемента) может увеличиться на единицу, при бомбардировке ускоренными альфа-частицами – на две. В частности, этим методом был впервые получен менделевий.</w:t>
      </w:r>
      <w:r w:rsidR="00883E97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И наконец, третий метод заключается в использовании не очень тяжелых мишеней (уран, плутоний,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кюрий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и др.) и тяжелых бомбардирующих частиц (ионы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азота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,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углерода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,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неона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и других элементов вплоть до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ксенона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сейчас и до урана в будущем). Реакции с участием тяжелых ионов позволяют увеличить заряд ядра на несколько единиц.</w:t>
      </w:r>
      <w:r w:rsidR="00883E97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Для синтеза 102-го элемента первый и второй способы непригодны, единственно приемлемым был метод тяжелых ионов. Изотопы 102-го элемента могут образовываться в нескольких реакциях, в </w:t>
      </w:r>
      <w:r w:rsidR="004B327F" w:rsidRPr="00B841BD">
        <w:rPr>
          <w:rFonts w:ascii="Times New Roman" w:hAnsi="Times New Roman"/>
          <w:sz w:val="28"/>
          <w:szCs w:val="28"/>
          <w:lang w:val="ru-RU" w:eastAsia="uk-UA"/>
        </w:rPr>
        <w:t>таких,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например:</w:t>
      </w:r>
    </w:p>
    <w:p w:rsidR="004B327F" w:rsidRPr="00B841BD" w:rsidRDefault="004B327F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238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92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U +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22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10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Ne →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256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 + 4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0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n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,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241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94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Pu +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16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8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O →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253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 + 4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0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n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,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243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95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Am +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15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7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N →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254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 + 4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0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n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,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246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96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U +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12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6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C →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254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 + 4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0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n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, и т.д.</w:t>
      </w:r>
    </w:p>
    <w:p w:rsidR="004B327F" w:rsidRDefault="004B327F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</w:p>
    <w:p w:rsidR="00750489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Проведение подобных реакций, улавливание и регистрация их продуктов связаны с огромными экспериментальными трудностями. Силы электростатического отталкивания между ядрами заставляют увеличивать энергию бомбардирующих частиц до десятков мегаэлектронвольт – иначе ядра не смогут слиться.</w:t>
      </w:r>
      <w:r w:rsidR="00883E97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Образованные ядра оказываются очень сильно «нагретыми» (энергия их возбуждения достигает нескольких десятков мегаэлектронвольт) и стремятся «остыть», выбрасывая различные частицы. Но новый элемент будет образован лишь в том случае, когда ядро выбросит только нейтроны. Если оно выбросит хоть один протон, новый элемент не удастся зарегистрировать никакими способами: его попросту не будет, ведь номер элемента определяется числом протонов в ядре. Этим объясняются исключительные требования, предъявляемые и к мишени, и к пучкам тяжелых ионов. Все это, конечно, крайне усложняет эксперименты, однако иного пути синтеза 102-го элемента у физиков не было.</w:t>
      </w:r>
    </w:p>
    <w:p w:rsidR="00883E97" w:rsidRPr="00B841BD" w:rsidRDefault="00883E97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</w:p>
    <w:p w:rsidR="00750489" w:rsidRPr="00883E97" w:rsidRDefault="00750489" w:rsidP="00B841BD">
      <w:pPr>
        <w:spacing w:after="0" w:line="360" w:lineRule="auto"/>
        <w:ind w:firstLine="709"/>
        <w:jc w:val="both"/>
        <w:outlineLvl w:val="2"/>
        <w:rPr>
          <w:rFonts w:ascii="Times New Roman" w:hAnsi="Times New Roman"/>
          <w:b/>
          <w:bCs/>
          <w:sz w:val="28"/>
          <w:szCs w:val="28"/>
          <w:lang w:val="ru-RU" w:eastAsia="uk-UA"/>
        </w:rPr>
      </w:pPr>
      <w:r w:rsidRPr="00883E97">
        <w:rPr>
          <w:rFonts w:ascii="Times New Roman" w:hAnsi="Times New Roman"/>
          <w:b/>
          <w:bCs/>
          <w:sz w:val="28"/>
          <w:szCs w:val="28"/>
          <w:lang w:val="ru-RU" w:eastAsia="uk-UA"/>
        </w:rPr>
        <w:t>Два подхода к атому</w:t>
      </w:r>
    </w:p>
    <w:p w:rsidR="00883E97" w:rsidRPr="00B841BD" w:rsidRDefault="00883E97" w:rsidP="00B841BD">
      <w:pPr>
        <w:spacing w:after="0" w:line="360" w:lineRule="auto"/>
        <w:ind w:firstLine="709"/>
        <w:jc w:val="both"/>
        <w:outlineLvl w:val="2"/>
        <w:rPr>
          <w:rFonts w:ascii="Times New Roman" w:hAnsi="Times New Roman"/>
          <w:bCs/>
          <w:sz w:val="28"/>
          <w:szCs w:val="28"/>
          <w:lang w:val="ru-RU" w:eastAsia="uk-UA"/>
        </w:rPr>
      </w:pP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Трудно получить атомы новых трансуранов, но когда имеешь дело с элементами второй сотни, не легче бывает доказать, что тебе действительно удалось получить их изотопы и какие именно.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Ожидалось, что время жизни изотопов 102-го элемента будет очень малым: в лучшем случае минуты, чаще секунды и доли секунд. Поэтому исследователям не приходилось рассчитывать на традиционный метод химической идентификации этого элемента. Нужны были новые методы – очень быстрые (экспрессные, как говорят исследователи), чувствительные и точные. По-видимому – физические.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Если вспомнить, что элемент есть совокупность атомов, состоящих из ядра и электронных оболочек, то легко понять разницу в химическом и физическом подходах к изучению элемента. Химики изучают электронные оболочки атома, его способность отдавать или присоединять электроны при взаимодействии с другими атомами. Они устанавливают порядковый номер элемента и его место в периодической системе по особенностям строения внешней части атома. Физики определяют то же самое, но исследуют при этом сами ядра и идентифицируют элемент по его ядерным свойствам.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Химические свойства актиноидов (элементов №90...103) настолько близки, что различить их можно только с помощью очень тонких аналитических методов, сравнительно медленных, требующих большего времени, чем периоды полураспада элементов второй сотни.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Химические методы идентификации элементов были приемлемы при синтезе изотопов, жизнь которых измерялась десятками минут и более (а также 104-го и 105-го элементов, которые по химическим свойствам значительно отличаются от соседних). Но для 102-го и 103-го элементов разработка надежных «быстрых» методов химической идентификации потребовала больших и длительных усилий.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Физические методы позволяют установить заряд ядра и массовое число синтезированного изотопа и изучить его радиоактивные свойства. Они основаны на быстром улавливании ядер – продуктов реакции, на выносе их из зоны облучения и переносе к детекторам излучения для регистрации радиоактивного распада. Эти методы неразрывно связаны с анализом закономерностей ядерных реакций.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Например, при определенных значениях энергии возбуждения из образовавшегося ядра могут «испариться» несколько нейтронов. Каждый нейтрон уносит часть энергии возбуждения – примерно 10...12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МэВ. Для «охлаждения» и относительной стабилизации ядра обычно необходим вылет 4...5 нейтронов. Кривая зависимости выхода ядер нового изотопа (или нового элемента) от энергии налетающих ионов имеет вид колоколообразной кривой: ее вершина соответствует энергии – наибольшего выхода ядер, а ширина «колокола» на половине высоты составляет 10...12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МэВ. Эта кривая называется кривой выхода; изучение ее формы дает достаточно оснований для распознания изотопа. Для проверки применяют так называемые перекрестные облучения, цель которых показать, что исследуемый изотоп появляется только в одной определенной комбинации мишень – частица, при определенной энергии бомбардирующих ионов. Если же условия опыта меняются (замена мишени или частицы, изменение энергии ионов), то этот изотоп не должен регистрироваться.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Но тут важно еще одно обстоятельство: нужно знать, какому виду радиоактивного распада подвержены новые ядра. Физик должен предвидеть, какие продукты образуются при радиоактивном распаде новых ядер, и иметь мужество вносить необходимые поправки в расчеты и в эксперимент, если «улов» окажется не тем, что ожидалось.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Изотопы 102-го элемента, которые могут образоваться в реакциях с тяжелыми ионами, подвержены трем видам радиоактивного распада. Это – альфа-распад, спонтанное деление и захват орбитальных электронов. Первый вид наиболее вероятен.</w:t>
      </w:r>
    </w:p>
    <w:p w:rsidR="00750489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При альфа-распаде ядро любого изотопа элемента №102 превращается в ядро одного из изотопов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фермия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(элемент №100) и ядро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гелия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(альфа-частицу). Энергия альфа-частиц при этом будет строго определенной. Следовательно, зарегистрировать искомое ядро можно двумя способами: либо измерением энергии образовавшихся альфа-частии (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E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б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) и периода полураспада (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T</w:t>
      </w:r>
      <w:r w:rsidR="00B841BD">
        <w:rPr>
          <w:rFonts w:ascii="Times New Roman" w:hAnsi="Times New Roman"/>
          <w:iCs/>
          <w:sz w:val="28"/>
          <w:szCs w:val="28"/>
          <w:vertAlign w:val="superscript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/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2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), либо наблюдением дочерних продуктов распада – ядер атомов фермия. Однако в первом случае существенной помехой определения будет фон, обусловленный альфа-распадом короткоживущих изотопов других элементов. При этом образуются альфа-частицы, энергия которых близка к энергии альфа-частиц, возникших при распаде ядер 102-го элемента. В частности, «густой» фон появляется, если в материале мишени или других деталей установки, подвергающихся облучению, есть примеси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свинца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,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висмута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,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ртути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. Вероятность фоновых реакций значительно больше (иногда в миллионы раз) вероятности реакции, приводящей к образованию 102-го элемента. Поэтому тщательная очистка вещества мишени от микропримесей свинца и близлежащих элементов и сверхчистые материалы для изготовлении установки – обязательные условия чистого опыта по синтезу 102-го элемента.</w:t>
      </w:r>
    </w:p>
    <w:p w:rsidR="00D2413F" w:rsidRPr="00B841BD" w:rsidRDefault="00D2413F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</w:p>
    <w:p w:rsidR="00750489" w:rsidRPr="00D2413F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 w:eastAsia="uk-UA"/>
        </w:rPr>
      </w:pPr>
      <w:r w:rsidRPr="00D2413F">
        <w:rPr>
          <w:rFonts w:ascii="Times New Roman" w:hAnsi="Times New Roman"/>
          <w:b/>
          <w:sz w:val="28"/>
          <w:szCs w:val="28"/>
          <w:lang w:val="ru-RU" w:eastAsia="uk-UA"/>
        </w:rPr>
        <w:t>Помехи и трудности неизбежны и при определении дочерних продуктов альфа-распада ядер 102-го</w:t>
      </w:r>
      <w:r w:rsidR="00D2413F" w:rsidRPr="00D2413F">
        <w:rPr>
          <w:rFonts w:ascii="Times New Roman" w:hAnsi="Times New Roman"/>
          <w:b/>
          <w:sz w:val="28"/>
          <w:szCs w:val="28"/>
          <w:lang w:val="ru-RU" w:eastAsia="uk-UA"/>
        </w:rPr>
        <w:t xml:space="preserve"> элемента</w:t>
      </w:r>
    </w:p>
    <w:p w:rsidR="00D2413F" w:rsidRPr="00B841BD" w:rsidRDefault="00D2413F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К сожалению, многие из перечисленных трудностей и серьезнейшие требования к условиям эксперимента стали очевидными уже после того, как появились первые сообщения об открытии 102-го элемента.</w:t>
      </w:r>
    </w:p>
    <w:p w:rsidR="00750489" w:rsidRPr="00D2413F" w:rsidRDefault="00750489" w:rsidP="00B841BD">
      <w:pPr>
        <w:spacing w:after="0" w:line="360" w:lineRule="auto"/>
        <w:ind w:firstLine="709"/>
        <w:jc w:val="both"/>
        <w:outlineLvl w:val="2"/>
        <w:rPr>
          <w:rFonts w:ascii="Times New Roman" w:hAnsi="Times New Roman"/>
          <w:bCs/>
          <w:i/>
          <w:sz w:val="28"/>
          <w:szCs w:val="28"/>
          <w:lang w:val="ru-RU" w:eastAsia="uk-UA"/>
        </w:rPr>
      </w:pPr>
      <w:r w:rsidRPr="00D2413F">
        <w:rPr>
          <w:rFonts w:ascii="Times New Roman" w:hAnsi="Times New Roman"/>
          <w:bCs/>
          <w:i/>
          <w:sz w:val="28"/>
          <w:szCs w:val="28"/>
          <w:lang w:val="ru-RU" w:eastAsia="uk-UA"/>
        </w:rPr>
        <w:t>Первый этап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Первая статья «Получение нового элемента 102» была направлена в редакцию «Physical Review» в июле 1957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г. и опубликована в сентябрьском номере этого журнала. Объединенная американо-англо-шведская группа сообщала об опытах по облучению мишени из смеси изотопов кюрия (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244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Cm – 95%,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245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Cm – 1% и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246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Cm – 4%) ионами углерода-12 и углерода-13, ускоренными на циклотроне Нобелевского института физики. Ядра – продукты реакции – вылетали из мишени, получив энергию налетающего иона. Их улавливали на специальную фольгу-сборник, которую потом сжигали на платине. Радиоактивный остаток смывали с платины и подвергали химическому анализу методом ионного обмена. После двенадцати получасовых облучений во фракции, соответствующей элементу №102, было зарегистрировано около 20 альфа-частиц с энергией 8,5±0,1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МэВ. Период полураспада составлял примерно 10 минут.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Многое в этой статье вызывало недоумение, и прежде всего то, что авторы не смогли точно указать массовое число изотопа (оно определяется суммой протонов и нейтронов в ядре). Объяснялось это двумя причинами. Во-первых, не удалось выяснить зависимость выхода продукта от энергии ионов из-за неопределенности этой характеристики потока. Вторая причина – довольно сложный изотопный состав материала мишени.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Сомнение в правильности выводов вызывал и тот факт, что эффект, приписанный элементу №102, наблюдался лишь на трех из шести использованных мишеней, да и эти три мишени не давали эффекта после трех недель работы. Почему – непонятно. В чистом опыте так быть не должно.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Настораживала и большая величина сечения реакции (большой выход нового излучателя), поскольку пучки ионов были маломощными (0,03...0,1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мкА). Но особенно сомнительным было большое время жизни изотопа – период полураспада около 10 минут. Тем не менее авторы работы заявили об открытии элемента №102 и предложили назвать его нобелием (символ No) в честь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Альфреда Нобеля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Не прошло и года, как американские ученые из Беркли опубликовали статью «Попытки подтвердить существование десятиминутного изотопа элемента 102», в которой сообщили о безуспешных поисках долгоживущей активности с указанными в Стокгольме свойствами. Эта работа была выполнена очень тщательно и более точно, чем в Швеции. Использовались кюриевые мишени того же изотопного состава, те же самые ионы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12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С и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13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С, однако интенсивность пучка была больше, а энергетический спектр пучка был монохроматическим (т.е. пучок состоял из строго одинаковых по энергии ионов).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Выход всех изотопов более легких элементов в этом эксперименте оказался гораздо больше, чем в стокгольмском, но активность, приписанная элементу №102, не наблюдалась...</w:t>
      </w:r>
    </w:p>
    <w:p w:rsidR="00750489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Примерно в то же время, что и в Швеции, в Москве также были проведены опыты по синтезу короткоживущих изотопов 102-го элемента. Для получения нового элемента изотопы плутония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241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Pu и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239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Pu облучали ионами кислорода-16 с энергией около 100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МэВ. Изучался альфа-распад продуктов ядерных реакций классическим методом ядерных фотоэмульсий. В спектре альфа-частиц наряду с группами, обусловленными распадом известных элементов, была отмечена группа с энергией 8,9±0,4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МэВ. Было показано, что период полураспада этого изотопа меньше 40, но больше 2 секунд. На основании теоретических оценок предполагалось, что наиболее вероятна реакция с «испарением» четырех нейтронов:</w:t>
      </w:r>
    </w:p>
    <w:p w:rsidR="00D2413F" w:rsidRPr="00B841BD" w:rsidRDefault="00D2413F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241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94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Pu +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16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8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O →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253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 + 4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0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n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.</w:t>
      </w:r>
    </w:p>
    <w:p w:rsidR="00D2413F" w:rsidRDefault="00D2413F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Через несколько месяцев в Беркли были поставлены опыты по синтезу еще одного изотопа –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254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102. Американские физики бомбардировали мишени из кюрия-246 ионами углерода-12. Они установили, что период полураспада изотопа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254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 близок к 3 секундам, а энергия альфа-частиц равна 8,3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МэВ. В опубликованной ими статье указывалось также, что ядра изотопа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254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 испытывают спонтанное деление примерно в 30 случаях из 100.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Для идентификации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254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102 авторы разработали оригинальный метод, которым доказывалось, что дочерние ядра фермия-250 с хорошо известными свойствами могут появляться на вторичном сборнике ядер отдачи только в результате альфа-распада изотопа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254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102. А фермий-250 регистрировали химическими методами.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О синтезе еще одного изотопа –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255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 та же группа сообщила в 1961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г. Главные характеристики этого изотопа: период полураспада – 15 секунд, энергия альфа-частиц – 8,2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МэВ.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На этом по существу и закончился первый этап истории 102-го элемента. Началом второго этапа стал пуск большого циклотрона многозарядных ионов в Дубне. Это произошло в начале 1961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г. Тогда же была намечена программа получения на этом ускорителе многих неизвестных изотопов трансурановых элементов начиная от 99-го и далее. Но прежде чем приступить к новым синтезам, сотрудники Объединенного института ядерных исследований провели большую серию опытов по изучению закономерностей образования трансурановых элементов в ядерных реакциях, создали экспрессные методы физической идентификации короткоживущих новых изотопов, разработали детекторы альфа-излучения с очень хорошими характеристиками. Эти работы заняли почти три года.</w:t>
      </w:r>
    </w:p>
    <w:p w:rsidR="00750489" w:rsidRPr="00D2413F" w:rsidRDefault="00750489" w:rsidP="00B841BD">
      <w:pPr>
        <w:spacing w:after="0" w:line="360" w:lineRule="auto"/>
        <w:ind w:firstLine="709"/>
        <w:jc w:val="both"/>
        <w:outlineLvl w:val="2"/>
        <w:rPr>
          <w:rFonts w:ascii="Times New Roman" w:hAnsi="Times New Roman"/>
          <w:bCs/>
          <w:i/>
          <w:sz w:val="28"/>
          <w:szCs w:val="28"/>
          <w:lang w:val="ru-RU" w:eastAsia="uk-UA"/>
        </w:rPr>
      </w:pPr>
      <w:r w:rsidRPr="00D2413F">
        <w:rPr>
          <w:rFonts w:ascii="Times New Roman" w:hAnsi="Times New Roman"/>
          <w:bCs/>
          <w:i/>
          <w:sz w:val="28"/>
          <w:szCs w:val="28"/>
          <w:lang w:val="ru-RU" w:eastAsia="uk-UA"/>
        </w:rPr>
        <w:t>Второй этап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В 1963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г. сотрудникам Лаборатории ядерных реакций удалось синтезировать наиболее тяжелый в то время изотоп 102-го элемента –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256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102. Его получили в результате бомбардировки мишени из урана-238 ионами неона-22 с энергией 112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МэВ.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Были изучены два вида радиоактивного распада этого изотопа – альфа-распад и спонтанное деление. Оказалось, что время жизни изотопа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256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 составляет около 4 секунд, доля спонтанного деления – всего 0,5%.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Результаты этих экспериментов сильно расходились с теоретическими оценками, основанными на данных американских ученых о свойствах изотопа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254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 (синтез 1958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г. в Беркли).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В связи с этим было решено еще раз экспериментально проверить свойства изотопов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254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102 и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256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102 двумя методами. В одном из них свойства изотопов определяли по характеристикам альфа-частиц, в другом – по дочерним ядрам. Результаты экспериментов с изотопом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256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102 оказались такими же, как раньше. Но в другой серии опытов экспериментаторы с удивлением обнаружили, что изотоп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254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 обладает свойствами, сильно отличающимися от указанных калифорнийской группой. Выяснилось, что этот изотоп живет не 3, а 65 секунд; энергия альфа-частиц, образующихся при распаде его ядер, составляет не 8,3, а 8,11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МэВ; и наконец, спонтанное деление он испытывает не в 30% случаев, а примерно в одном случае из 1800. А ведь эти результаты казались самыми достоверными, самыми бесспорными.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Стало ясно, что необходимо повторить опыты по синтезу и изучению свойств других изотопов элемента №102. Эти опыты и были поставлены в Дубне в 1965...1966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гг.</w:t>
      </w:r>
    </w:p>
    <w:p w:rsidR="00750489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Здесь необходимо упомянуть о том, что за годы, прошедшие после первых работ по синтезу элемента №102, ядерная физика ушла далеко вперед. В частности, намного лучше были изучены закономерности ядерных реакций с участием тяжелых ионов. Да и техника эксперимента совершенствовалась все эти годы. Поэтому тем, кто начинал исследования в 60-х годах, много было и понятнее, и доступнее, чем участникам работ 1956...1958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гг.</w:t>
      </w:r>
    </w:p>
    <w:p w:rsidR="00807772" w:rsidRPr="00B841BD" w:rsidRDefault="00807772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</w:p>
    <w:tbl>
      <w:tblPr>
        <w:tblW w:w="9072" w:type="dxa"/>
        <w:jc w:val="center"/>
        <w:tblCellSpacing w:w="0" w:type="dxa"/>
        <w:tblBorders>
          <w:top w:val="outset" w:sz="6" w:space="0" w:color="FFFFFF"/>
          <w:left w:val="outset" w:sz="6" w:space="0" w:color="FFFFFF"/>
          <w:bottom w:val="outset" w:sz="6" w:space="0" w:color="FFFFFF"/>
          <w:right w:val="outset" w:sz="6" w:space="0" w:color="FFFFFF"/>
        </w:tblBorders>
        <w:tblCellMar>
          <w:top w:w="60" w:type="dxa"/>
          <w:left w:w="60" w:type="dxa"/>
          <w:bottom w:w="60" w:type="dxa"/>
          <w:right w:w="60" w:type="dxa"/>
        </w:tblCellMar>
        <w:tblLook w:val="00A0" w:firstRow="1" w:lastRow="0" w:firstColumn="1" w:lastColumn="0" w:noHBand="0" w:noVBand="0"/>
      </w:tblPr>
      <w:tblGrid>
        <w:gridCol w:w="978"/>
        <w:gridCol w:w="2170"/>
        <w:gridCol w:w="1263"/>
        <w:gridCol w:w="1264"/>
        <w:gridCol w:w="1226"/>
        <w:gridCol w:w="2171"/>
      </w:tblGrid>
      <w:tr w:rsidR="00750489" w:rsidRPr="00807772" w:rsidTr="00807772">
        <w:trPr>
          <w:tblCellSpacing w:w="0" w:type="dxa"/>
          <w:jc w:val="center"/>
        </w:trPr>
        <w:tc>
          <w:tcPr>
            <w:tcW w:w="500" w:type="pct"/>
            <w:tcBorders>
              <w:top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Массовое число изотопа</w:t>
            </w:r>
          </w:p>
        </w:tc>
        <w:tc>
          <w:tcPr>
            <w:tcW w:w="1250" w:type="pct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Реакция синтеза</w:t>
            </w:r>
          </w:p>
        </w:tc>
        <w:tc>
          <w:tcPr>
            <w:tcW w:w="750" w:type="pct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Период полу-распада, сек.</w:t>
            </w:r>
          </w:p>
        </w:tc>
        <w:tc>
          <w:tcPr>
            <w:tcW w:w="750" w:type="pct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Энергия</w:t>
            </w:r>
            <w:r w:rsidR="00F4660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б-частиц, МэВ</w:t>
            </w:r>
          </w:p>
        </w:tc>
        <w:tc>
          <w:tcPr>
            <w:tcW w:w="500" w:type="pct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Доля спонтанного деления по отношению к б-распаду</w:t>
            </w:r>
          </w:p>
        </w:tc>
        <w:tc>
          <w:tcPr>
            <w:tcW w:w="1250" w:type="pct"/>
            <w:tcBorders>
              <w:top w:val="outset" w:sz="6" w:space="0" w:color="FFFFFF"/>
              <w:left w:val="outset" w:sz="6" w:space="0" w:color="FFFFFF"/>
              <w:bottom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Место и год открытия</w:t>
            </w:r>
          </w:p>
        </w:tc>
      </w:tr>
      <w:tr w:rsidR="00750489" w:rsidRPr="00807772" w:rsidTr="00807772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251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239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Pu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16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O, 4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)*</w:t>
            </w:r>
            <w:r w:rsidR="00F4660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244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Cm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12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C, 5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0,5...1,0</w:t>
            </w:r>
            <w:r w:rsidR="00F4660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0,8±0,3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8,6</w:t>
            </w:r>
            <w:r w:rsidR="00F4660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8,6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B841BD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Дубна, 1967</w:t>
            </w:r>
            <w:r w:rsidR="00F4660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Беркли, 1967</w:t>
            </w:r>
          </w:p>
        </w:tc>
      </w:tr>
      <w:tr w:rsidR="00750489" w:rsidRPr="00807772" w:rsidTr="00807772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252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239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Pu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18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O, 5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4,5±1,5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8,41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B841BD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Дубна, 1966</w:t>
            </w:r>
          </w:p>
        </w:tc>
      </w:tr>
      <w:tr w:rsidR="00750489" w:rsidRPr="00807772" w:rsidTr="00807772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253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242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Pu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16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O, 5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  <w:r w:rsidR="00F4660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239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Pu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18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O, 4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95±10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8,01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B841BD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Дубна, 1966</w:t>
            </w:r>
          </w:p>
        </w:tc>
      </w:tr>
      <w:tr w:rsidR="00750489" w:rsidRPr="00807772" w:rsidTr="00807772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254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243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Am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15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N, 4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  <w:r w:rsidR="00F4660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242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Pu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16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O, 4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  <w:r w:rsidR="00F4660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238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U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22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Ne, 6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65±10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8,11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1/1800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Дубна, 1963...1966</w:t>
            </w:r>
          </w:p>
        </w:tc>
      </w:tr>
      <w:tr w:rsidR="00750489" w:rsidRPr="00807772" w:rsidTr="00807772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255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238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U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22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Ne, 5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  <w:r w:rsidR="00F4660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242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Pu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18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O, 5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180±10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8,09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B841BD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Дубна, 1966</w:t>
            </w:r>
          </w:p>
        </w:tc>
      </w:tr>
      <w:tr w:rsidR="00750489" w:rsidRPr="00807772" w:rsidTr="00807772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256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238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U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22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Ne, 4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  <w:r w:rsidR="00F4660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242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Pu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18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O, 4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3,7±0,5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8,42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1/200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Дубна, 1963</w:t>
            </w:r>
          </w:p>
        </w:tc>
      </w:tr>
      <w:tr w:rsidR="00750489" w:rsidRPr="00807772" w:rsidTr="00807772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257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248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Cm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13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C, 4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  <w:r w:rsidR="00F4660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248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Cm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12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C, 3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23±2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8,23 (50%)</w:t>
            </w:r>
            <w:r w:rsidR="00F4660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8,27 (50%)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B841BD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Беркли, 1967</w:t>
            </w:r>
          </w:p>
        </w:tc>
      </w:tr>
      <w:tr w:rsidR="00750489" w:rsidRPr="00807772" w:rsidTr="00B65E46">
        <w:trPr>
          <w:trHeight w:val="271"/>
          <w:tblCellSpacing w:w="0" w:type="dxa"/>
          <w:jc w:val="center"/>
        </w:trPr>
        <w:tc>
          <w:tcPr>
            <w:tcW w:w="0" w:type="auto"/>
            <w:tcBorders>
              <w:top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258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248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Cm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13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C, 3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1,2·10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–3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–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100%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Беркли, 1968</w:t>
            </w:r>
          </w:p>
        </w:tc>
      </w:tr>
      <w:tr w:rsidR="00750489" w:rsidRPr="00807772" w:rsidTr="00807772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259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248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Cm (</w:t>
            </w:r>
            <w:r w:rsidRPr="00807772">
              <w:rPr>
                <w:rFonts w:ascii="Times New Roman" w:hAnsi="Times New Roman"/>
                <w:sz w:val="20"/>
                <w:szCs w:val="28"/>
                <w:vertAlign w:val="superscript"/>
                <w:lang w:val="ru-RU" w:eastAsia="uk-UA"/>
              </w:rPr>
              <w:t>18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O, б, 3</w:t>
            </w:r>
            <w:r w:rsidRPr="00807772">
              <w:rPr>
                <w:rFonts w:ascii="Times New Roman" w:hAnsi="Times New Roman"/>
                <w:iCs/>
                <w:sz w:val="20"/>
                <w:szCs w:val="28"/>
                <w:lang w:val="ru-RU" w:eastAsia="uk-UA"/>
              </w:rPr>
              <w:t>n</w:t>
            </w: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)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1,5±0,5 часа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7,5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  <w:right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20%</w:t>
            </w:r>
          </w:p>
        </w:tc>
        <w:tc>
          <w:tcPr>
            <w:tcW w:w="0" w:type="auto"/>
            <w:tcBorders>
              <w:top w:val="outset" w:sz="6" w:space="0" w:color="FFFFFF"/>
              <w:left w:val="outset" w:sz="6" w:space="0" w:color="FFFFFF"/>
              <w:bottom w:val="outset" w:sz="6" w:space="0" w:color="FFFFFF"/>
            </w:tcBorders>
            <w:vAlign w:val="center"/>
          </w:tcPr>
          <w:p w:rsidR="00750489" w:rsidRPr="00807772" w:rsidRDefault="00750489" w:rsidP="00807772">
            <w:pPr>
              <w:spacing w:after="0" w:line="360" w:lineRule="auto"/>
              <w:jc w:val="both"/>
              <w:rPr>
                <w:rFonts w:ascii="Times New Roman" w:hAnsi="Times New Roman"/>
                <w:sz w:val="20"/>
                <w:szCs w:val="28"/>
                <w:lang w:val="ru-RU" w:eastAsia="uk-UA"/>
              </w:rPr>
            </w:pPr>
            <w:r w:rsidRPr="00807772">
              <w:rPr>
                <w:rFonts w:ascii="Times New Roman" w:hAnsi="Times New Roman"/>
                <w:sz w:val="20"/>
                <w:szCs w:val="28"/>
                <w:lang w:val="ru-RU" w:eastAsia="uk-UA"/>
              </w:rPr>
              <w:t>Ок-Ридж, 1970</w:t>
            </w:r>
          </w:p>
        </w:tc>
      </w:tr>
    </w:tbl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* В скобках указаны бомбардирующие ионы и количество нейтронов, вылетающих из составного ядра. Такая запись ядерных реакций принята в физике.</w:t>
      </w:r>
    </w:p>
    <w:p w:rsidR="00807772" w:rsidRDefault="00807772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Сравнить данные, полученные в Дубне, с результатами первых синтезов вы можете, ознакомившись с приведенной здесь таблицей. (Желая подчеркнуть какое-то важное различие, иногда говорят, будто бы по примеру одесситов, «две большие разницы». В нашей таблице «больших разниц» уже не две, а четыре). Сравнение данных показывает, что практически во всех ранних работах по синтезу и исследованию нового элемента допущены большие или меньшие ошибки.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Группа, работавшая в Нобелевском институте, считала, что, скорее всего, ею был получен изотоп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253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102 (период полураспада 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T</w:t>
      </w:r>
      <w:r w:rsid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/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2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равен примерно 10 минутам и энергия альфа-частиц 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E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б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около 8,5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МэВ). Оказалось, что 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T</w:t>
      </w:r>
      <w:r w:rsid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/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2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этого изотопа составляет всего 95 секунд, а 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E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б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– 8,01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МэВ. Тогда стали поговаривать об изотопе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251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102. Но в 1967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г. в Дубне и Беркли смогли получить и этот изотоп. Период полураспада его ядер оказался 0,8±0,3 секунды, 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E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б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– 8,6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МэВ. Опять не сходились концы с концами...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Московский синтез 1958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г. Изотоп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253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102; 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T</w:t>
      </w:r>
      <w:r w:rsid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/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2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=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2...40 секунд, 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E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б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=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8,9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МэВ. Эти цифры тоже отличаются от результатов проверочных экспериментов. Правда, когда в 1966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г. в Дубне был получен более легкий изотоп –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252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102, оказалось, что его характеристики (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T</w:t>
      </w:r>
      <w:r w:rsid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/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2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=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4,5 секунды, 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E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б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=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8,4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МэВ) близки к указанным в московской работе. Вполне вероятно, что в 1958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г. в Институте атомной энергии были действительно получены первые атомы элемента №102, но уровень техники того времени не позволил точно определить массовое число и энергию альфа-распада изотопа.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О разнице в характеристиках калифорнийского изотопа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254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 рассказывалось выше.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В 1961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г. в Беркли был получен изотоп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255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102, и этот эксперимент был воспроизведен в Дубне. И здесь выяснилась разница в характеристиках. По американским данным, период полураспада ядер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255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102 составил примерно 15 секунд, а 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E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б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=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8,2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МэВ. В Дубне были получены совсем другие цифры: 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T</w:t>
      </w:r>
      <w:r w:rsid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1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/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2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=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3 минуты, </w:t>
      </w:r>
      <w:r w:rsidRPr="00B841BD">
        <w:rPr>
          <w:rFonts w:ascii="Times New Roman" w:hAnsi="Times New Roman"/>
          <w:iCs/>
          <w:sz w:val="28"/>
          <w:szCs w:val="28"/>
          <w:lang w:val="ru-RU" w:eastAsia="uk-UA"/>
        </w:rPr>
        <w:t>E</w:t>
      </w:r>
      <w:r w:rsidRPr="00B841BD">
        <w:rPr>
          <w:rFonts w:ascii="Times New Roman" w:hAnsi="Times New Roman"/>
          <w:sz w:val="28"/>
          <w:szCs w:val="28"/>
          <w:vertAlign w:val="subscript"/>
          <w:lang w:val="ru-RU" w:eastAsia="uk-UA"/>
        </w:rPr>
        <w:t>б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=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8,09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МэВ.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Пятый изотоп –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256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 был впервые получен в Дубне.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Естественно, может возникнуть вопрос: насколько точны новые данные? Ответ: советские ученые не абсолютизируют свои результаты, не выдают их за истину в последней инстанции. Но достоверность этих результатов, бесспорно, намного больше, чем результатов первых работ. Большой дубненский циклотрон дает значительно более мощные и монохроматические (состоящие из одинаковых ионов) пучки, чем ускорители, которыми располагали участники ранних работ. К началу новых синтезов в реакторах были накоплены достаточные количества изотопоп плутония и америция, необходимых для изготовления высококачественных мишеней. Прецизионные детекторы альфа-излучения и экспрессные методы физической идентификации изотопов, которыми мы располагали, были разработаны уже после окончания ранних работ. Все это позволило делать выводы на основании наблюдения уже не десятков, а сотен и тысяч атомов.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Наконец, участники дубненской работы лучше знали закономерности образования новых ядер в реакциях с тяжелыми ионами, чем ученые, ставившие свои опыты в конце 50-х годов. Для ядерной физики пять – семь лет – срок немалый.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О результатах работ по синтезу и исследованию в Дубне пяти изотопов элемента №102 впервые было сообщено на Международной конференции по физике тяжелых ионов в октябре 1966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г. А уже в декабре из Америки пришли первые сообщения о точном воспроизведении этих результатов.</w:t>
      </w:r>
    </w:p>
    <w:p w:rsidR="00750489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Позже (в 1967...1970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гг.) в США, в лабораториях Беркли и Ок-Риджа, были получены еще три изотопа элемента №102 с массовыми числами 257, 258 и 259. Последний изотоп оказался не только самым тяжелым, но и самым долгоживущим: его период полураспада 1,5±0,5 часа.</w:t>
      </w:r>
    </w:p>
    <w:p w:rsidR="006E58EC" w:rsidRPr="00B841BD" w:rsidRDefault="006E58EC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</w:p>
    <w:p w:rsidR="006E58EC" w:rsidRPr="006E58EC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ru-RU" w:eastAsia="uk-UA"/>
        </w:rPr>
      </w:pPr>
      <w:r w:rsidRPr="006E58EC">
        <w:rPr>
          <w:rFonts w:ascii="Times New Roman" w:hAnsi="Times New Roman"/>
          <w:b/>
          <w:sz w:val="28"/>
          <w:szCs w:val="28"/>
          <w:lang w:val="ru-RU" w:eastAsia="uk-UA"/>
        </w:rPr>
        <w:t>Коротко о химии элемента №102</w:t>
      </w:r>
    </w:p>
    <w:p w:rsidR="006E58EC" w:rsidRDefault="006E58EC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Первые опыты по химии этого элемента были предприняты в Дубне в 1967</w:t>
      </w:r>
      <w:r w:rsidR="00B841BD">
        <w:rPr>
          <w:rFonts w:ascii="Times New Roman" w:hAnsi="Times New Roman"/>
          <w:sz w:val="28"/>
          <w:szCs w:val="28"/>
          <w:lang w:val="ru-RU" w:eastAsia="uk-UA"/>
        </w:rPr>
        <w:t xml:space="preserve"> 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г. Методом фронтальной хроматографии определялись свойства соединения элемента №102 с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хлором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. Использовали ту же установку, что и для первых опытов по химии 104-го элемента (она подробно описана в статье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«Курчатовий»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). О свойствах хлорида (или хлоридов) 102-го элемента судили по распределению в хроматографической колонке фермия-252 – дочернего продукта изотопа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256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Опыты показали, что элемент №102 образует нелетучий хлорид. Его фронт двигался по колонке очень медленно, подобно фронту фермия, кюрия и прочих типичных представителей семейства актиноидов. В тех же опытах, первых опытах по химии 102-го элемента, было установлено, что степень окисления этого элемента хлором не выше III.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Позже опыты по химии 102-го элемента проводились и в Калифорнийском университете. Здесь работали со сравнительно долгоживущим изотопом </w:t>
      </w:r>
      <w:r w:rsidRPr="00B841BD">
        <w:rPr>
          <w:rFonts w:ascii="Times New Roman" w:hAnsi="Times New Roman"/>
          <w:sz w:val="28"/>
          <w:szCs w:val="28"/>
          <w:vertAlign w:val="superscript"/>
          <w:lang w:val="ru-RU" w:eastAsia="uk-UA"/>
        </w:rPr>
        <w:t>255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>102. Американские химики установили, что в водных растворах наиболее устойчиво валентное состояние 2+ и что окисление до состояния выше 3+ крайне сложно, а может быть, и невозможно вообще.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Вот, пожалуй, и все, что известно сейчас о химии элемента №102. Оттого ядерно-физические характеристики его изотопов остаются главными «показателями» при синтезе и исследовании этого элемента.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>Тот факт, что во всех ранних работах по 102-му элементу были допущены неточности и ошибки, теперь абсолютно бесспорен, и есть все основания считать элемент №102 открытием ученых социалистических стран, работающих в Объединенном институте ядерных исследований. Им и принадлежит право дать имя этому элементу. От нобелия, как шутят физики, остался только символ, a No по-английски означает «нет»...</w:t>
      </w:r>
    </w:p>
    <w:p w:rsidR="00750489" w:rsidRPr="00B841BD" w:rsidRDefault="00750489" w:rsidP="00B841B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 w:eastAsia="uk-UA"/>
        </w:rPr>
      </w:pP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Элемент №102 должен быть переименован – таково общее мнение участников работ по синтезу и исследованию этого элемента, проведенных в Дубне. Они предлагают назвать элемент №102 в честь </w:t>
      </w:r>
      <w:r w:rsidRPr="00B841BD">
        <w:rPr>
          <w:rFonts w:ascii="Times New Roman" w:hAnsi="Times New Roman"/>
          <w:sz w:val="28"/>
          <w:szCs w:val="28"/>
          <w:u w:val="single"/>
          <w:lang w:val="ru-RU" w:eastAsia="uk-UA"/>
        </w:rPr>
        <w:t>Фредерика Жолио-Кюри</w:t>
      </w:r>
      <w:r w:rsidRPr="00B841BD">
        <w:rPr>
          <w:rFonts w:ascii="Times New Roman" w:hAnsi="Times New Roman"/>
          <w:sz w:val="28"/>
          <w:szCs w:val="28"/>
          <w:lang w:val="ru-RU" w:eastAsia="uk-UA"/>
        </w:rPr>
        <w:t xml:space="preserve"> – выдающегося ученого, открывшего искусственную радиоактивность, и борца за мир.</w:t>
      </w:r>
      <w:bookmarkStart w:id="0" w:name="_GoBack"/>
      <w:bookmarkEnd w:id="0"/>
    </w:p>
    <w:sectPr w:rsidR="00750489" w:rsidRPr="00B841BD" w:rsidSect="00B1252A">
      <w:footerReference w:type="even" r:id="rId7"/>
      <w:footerReference w:type="default" r:id="rId8"/>
      <w:pgSz w:w="11906" w:h="16838" w:code="9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162D" w:rsidRDefault="0091162D">
      <w:r>
        <w:separator/>
      </w:r>
    </w:p>
  </w:endnote>
  <w:endnote w:type="continuationSeparator" w:id="0">
    <w:p w:rsidR="0091162D" w:rsidRDefault="00911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252A" w:rsidRDefault="00B1252A" w:rsidP="00EB6D36">
    <w:pPr>
      <w:pStyle w:val="a7"/>
      <w:framePr w:wrap="around" w:vAnchor="text" w:hAnchor="margin" w:xAlign="right" w:y="1"/>
      <w:rPr>
        <w:rStyle w:val="a9"/>
      </w:rPr>
    </w:pPr>
  </w:p>
  <w:p w:rsidR="00B1252A" w:rsidRDefault="00B1252A" w:rsidP="00B1252A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252A" w:rsidRDefault="00C249DB" w:rsidP="00EB6D36">
    <w:pPr>
      <w:pStyle w:val="a7"/>
      <w:framePr w:wrap="around" w:vAnchor="text" w:hAnchor="margin" w:xAlign="right" w:y="1"/>
      <w:rPr>
        <w:rStyle w:val="a9"/>
      </w:rPr>
    </w:pPr>
    <w:r>
      <w:rPr>
        <w:rStyle w:val="a9"/>
        <w:noProof/>
      </w:rPr>
      <w:t>1</w:t>
    </w:r>
  </w:p>
  <w:p w:rsidR="00B1252A" w:rsidRDefault="00B1252A" w:rsidP="00B1252A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162D" w:rsidRDefault="0091162D">
      <w:r>
        <w:separator/>
      </w:r>
    </w:p>
  </w:footnote>
  <w:footnote w:type="continuationSeparator" w:id="0">
    <w:p w:rsidR="0091162D" w:rsidRDefault="009116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3E32C1E"/>
    <w:multiLevelType w:val="multilevel"/>
    <w:tmpl w:val="B2F85A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64F42CC3"/>
    <w:multiLevelType w:val="multilevel"/>
    <w:tmpl w:val="CFEAEC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66855662"/>
    <w:multiLevelType w:val="multilevel"/>
    <w:tmpl w:val="90326D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5DBA"/>
    <w:rsid w:val="0003212B"/>
    <w:rsid w:val="000B7A33"/>
    <w:rsid w:val="000D34E4"/>
    <w:rsid w:val="000E49AA"/>
    <w:rsid w:val="00102412"/>
    <w:rsid w:val="002F3D3B"/>
    <w:rsid w:val="00386551"/>
    <w:rsid w:val="003B0A49"/>
    <w:rsid w:val="00451155"/>
    <w:rsid w:val="004B327F"/>
    <w:rsid w:val="006E58EC"/>
    <w:rsid w:val="007429D0"/>
    <w:rsid w:val="00750489"/>
    <w:rsid w:val="00807772"/>
    <w:rsid w:val="00883E97"/>
    <w:rsid w:val="0091162D"/>
    <w:rsid w:val="00B1252A"/>
    <w:rsid w:val="00B65E46"/>
    <w:rsid w:val="00B81E47"/>
    <w:rsid w:val="00B841BD"/>
    <w:rsid w:val="00C249DB"/>
    <w:rsid w:val="00C32964"/>
    <w:rsid w:val="00D2413F"/>
    <w:rsid w:val="00DE7709"/>
    <w:rsid w:val="00E05DBA"/>
    <w:rsid w:val="00EB6D36"/>
    <w:rsid w:val="00F46602"/>
    <w:rsid w:val="00FC5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8E39C7D-21DD-487D-B105-8E8D367B4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2412"/>
    <w:pPr>
      <w:spacing w:after="200" w:line="276" w:lineRule="auto"/>
    </w:pPr>
    <w:rPr>
      <w:sz w:val="22"/>
      <w:szCs w:val="22"/>
      <w:lang w:val="uk-UA" w:eastAsia="en-US"/>
    </w:rPr>
  </w:style>
  <w:style w:type="paragraph" w:styleId="2">
    <w:name w:val="heading 2"/>
    <w:basedOn w:val="a"/>
    <w:link w:val="20"/>
    <w:uiPriority w:val="99"/>
    <w:qFormat/>
    <w:rsid w:val="003B0A49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uk-UA"/>
    </w:rPr>
  </w:style>
  <w:style w:type="paragraph" w:styleId="3">
    <w:name w:val="heading 3"/>
    <w:basedOn w:val="a"/>
    <w:link w:val="30"/>
    <w:uiPriority w:val="99"/>
    <w:qFormat/>
    <w:rsid w:val="003B0A49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eastAsia="uk-UA"/>
    </w:rPr>
  </w:style>
  <w:style w:type="paragraph" w:styleId="4">
    <w:name w:val="heading 4"/>
    <w:basedOn w:val="a"/>
    <w:link w:val="40"/>
    <w:uiPriority w:val="99"/>
    <w:qFormat/>
    <w:rsid w:val="003B0A49"/>
    <w:pPr>
      <w:spacing w:before="100" w:beforeAutospacing="1" w:after="100" w:afterAutospacing="1" w:line="240" w:lineRule="auto"/>
      <w:outlineLvl w:val="3"/>
    </w:pPr>
    <w:rPr>
      <w:rFonts w:ascii="Times New Roman" w:hAnsi="Times New Roman"/>
      <w:b/>
      <w:bCs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3B0A49"/>
    <w:rPr>
      <w:rFonts w:ascii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link w:val="3"/>
    <w:uiPriority w:val="99"/>
    <w:locked/>
    <w:rsid w:val="003B0A49"/>
    <w:rPr>
      <w:rFonts w:ascii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link w:val="4"/>
    <w:uiPriority w:val="99"/>
    <w:locked/>
    <w:rsid w:val="003B0A49"/>
    <w:rPr>
      <w:rFonts w:ascii="Times New Roman" w:hAnsi="Times New Roman" w:cs="Times New Roman"/>
      <w:b/>
      <w:bCs/>
      <w:sz w:val="24"/>
      <w:szCs w:val="24"/>
    </w:rPr>
  </w:style>
  <w:style w:type="paragraph" w:customStyle="1" w:styleId="sm">
    <w:name w:val="sm"/>
    <w:basedOn w:val="a"/>
    <w:uiPriority w:val="99"/>
    <w:rsid w:val="003B0A4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styleId="a3">
    <w:name w:val="Normal (Web)"/>
    <w:basedOn w:val="a"/>
    <w:uiPriority w:val="99"/>
    <w:semiHidden/>
    <w:rsid w:val="000E49A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character" w:styleId="a4">
    <w:name w:val="Strong"/>
    <w:uiPriority w:val="99"/>
    <w:qFormat/>
    <w:rsid w:val="000E49AA"/>
    <w:rPr>
      <w:rFonts w:cs="Times New Roman"/>
      <w:b/>
      <w:bCs/>
    </w:rPr>
  </w:style>
  <w:style w:type="character" w:styleId="a5">
    <w:name w:val="Emphasis"/>
    <w:uiPriority w:val="99"/>
    <w:qFormat/>
    <w:rsid w:val="000E49AA"/>
    <w:rPr>
      <w:rFonts w:cs="Times New Roman"/>
      <w:i/>
      <w:iCs/>
    </w:rPr>
  </w:style>
  <w:style w:type="character" w:styleId="a6">
    <w:name w:val="Hyperlink"/>
    <w:uiPriority w:val="99"/>
    <w:semiHidden/>
    <w:rsid w:val="000E49AA"/>
    <w:rPr>
      <w:rFonts w:cs="Times New Roman"/>
      <w:color w:val="0000FF"/>
      <w:u w:val="single"/>
    </w:rPr>
  </w:style>
  <w:style w:type="paragraph" w:styleId="a7">
    <w:name w:val="footer"/>
    <w:basedOn w:val="a"/>
    <w:link w:val="a8"/>
    <w:uiPriority w:val="99"/>
    <w:rsid w:val="00B1252A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link w:val="a7"/>
    <w:uiPriority w:val="99"/>
    <w:semiHidden/>
    <w:locked/>
    <w:rPr>
      <w:rFonts w:eastAsia="Times New Roman" w:cs="Times New Roman"/>
      <w:lang w:val="uk-UA" w:eastAsia="en-US"/>
    </w:rPr>
  </w:style>
  <w:style w:type="character" w:styleId="a9">
    <w:name w:val="page number"/>
    <w:uiPriority w:val="99"/>
    <w:rsid w:val="00B1252A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970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70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70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0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70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70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70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70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02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0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02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02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02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0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0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0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0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02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0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9702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70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70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70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3360</Words>
  <Characters>19157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Характеристика свойств нобелия</vt:lpstr>
    </vt:vector>
  </TitlesOfParts>
  <Company>KPI</Company>
  <LinksUpToDate>false</LinksUpToDate>
  <CharactersWithSpaces>22473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Характеристика свойств нобелия</dc:title>
  <dc:subject/>
  <dc:creator>Vetal</dc:creator>
  <cp:keywords/>
  <dc:description/>
  <cp:lastModifiedBy>Irina</cp:lastModifiedBy>
  <cp:revision>2</cp:revision>
  <dcterms:created xsi:type="dcterms:W3CDTF">2014-08-10T16:13:00Z</dcterms:created>
  <dcterms:modified xsi:type="dcterms:W3CDTF">2014-08-10T16:13:00Z</dcterms:modified>
</cp:coreProperties>
</file>