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3A" w:rsidRPr="001C002E" w:rsidRDefault="00D8693A" w:rsidP="00D72812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1C002E">
        <w:rPr>
          <w:color w:val="000000"/>
          <w:spacing w:val="-2"/>
          <w:sz w:val="28"/>
          <w:szCs w:val="28"/>
        </w:rPr>
        <w:t>Характеристика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правовых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отношений,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являющихся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частью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«общественных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отношений,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участники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которых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выступают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как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носители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субъективных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прав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и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обязанностей»,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составляет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суть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любой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правовой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pacing w:val="-2"/>
          <w:sz w:val="28"/>
          <w:szCs w:val="28"/>
        </w:rPr>
        <w:t>теории».</w:t>
      </w:r>
      <w:r w:rsidR="00D72812" w:rsidRPr="001C002E">
        <w:rPr>
          <w:color w:val="000000"/>
          <w:spacing w:val="-2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правоотношение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Рассолов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М.М.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определяет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поводу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правового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регулирования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оформления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товаров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транспортных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средств,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взимания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платежей,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валютного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контроля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др..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Е</w:t>
      </w:r>
      <w:r w:rsidRPr="001C002E">
        <w:rPr>
          <w:color w:val="000000"/>
          <w:spacing w:val="2"/>
          <w:sz w:val="28"/>
          <w:szCs w:val="28"/>
        </w:rPr>
        <w:t>.А.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Достанко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утверждает,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что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таможенное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право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как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комплексная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отрасль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права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исследует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общественные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отношения,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связанные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с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деятельностью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таможенных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органов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как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внутри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страны,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так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и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на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международном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уровне.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Правоотношения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таможенного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характера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проявляются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не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только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внутри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государства,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но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и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во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внешней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торговле,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и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они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всегда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осложнены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присутствием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иностранного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элемента,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поскольку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современная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практика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осуществления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внешнеэкономических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связей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имеет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дело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с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двумя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уровнями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регулирования: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национальным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и</w:t>
      </w:r>
      <w:r w:rsidR="00D72812" w:rsidRPr="001C002E">
        <w:rPr>
          <w:color w:val="000000"/>
          <w:spacing w:val="2"/>
          <w:sz w:val="28"/>
          <w:szCs w:val="28"/>
        </w:rPr>
        <w:t xml:space="preserve"> </w:t>
      </w:r>
      <w:r w:rsidRPr="001C002E">
        <w:rPr>
          <w:color w:val="000000"/>
          <w:spacing w:val="2"/>
          <w:sz w:val="28"/>
          <w:szCs w:val="28"/>
        </w:rPr>
        <w:t>международным.</w:t>
      </w:r>
    </w:p>
    <w:p w:rsidR="00D8693A" w:rsidRPr="001C002E" w:rsidRDefault="00D8693A" w:rsidP="00D72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02E">
        <w:rPr>
          <w:color w:val="000000"/>
          <w:sz w:val="28"/>
          <w:szCs w:val="28"/>
        </w:rPr>
        <w:t>Регулирование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помощью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осуществляется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посредством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установления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определенных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таможенно-правовых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норм,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есть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путем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установления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правил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поведения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субъектов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применения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норм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права.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Нормы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регулируют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взаимоотношения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органов,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граждан,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организаций,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взаимные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обязанности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вследствие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этого,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придают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данным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регулируемым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отношениям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особый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таможенно-юридический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характер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–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характер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таможенно-правовых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отношений;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субъекты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указанных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выступают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качестве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носителей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специфических,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обязанностей.</w:t>
      </w:r>
    </w:p>
    <w:p w:rsidR="00D8693A" w:rsidRPr="001C002E" w:rsidRDefault="00D8693A" w:rsidP="00D72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02E">
        <w:rPr>
          <w:color w:val="000000"/>
          <w:sz w:val="28"/>
          <w:szCs w:val="28"/>
        </w:rPr>
        <w:t>Статья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1ТК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устанавливает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определяет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круг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общественных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сфере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дела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сфере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политики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Республики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Беларусь.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Правоотношения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касаются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порядка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условий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перемещения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через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таможенную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границу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Республики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Беларусь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товаров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транспортных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средств,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взимания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платежей,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оформления,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контроля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других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средств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проведения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политики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жизнь.</w:t>
      </w:r>
    </w:p>
    <w:p w:rsidR="00D8693A" w:rsidRPr="001C002E" w:rsidRDefault="00D8693A" w:rsidP="00D72812">
      <w:pPr>
        <w:pStyle w:val="a3"/>
        <w:widowControl/>
        <w:spacing w:line="360" w:lineRule="auto"/>
        <w:rPr>
          <w:i/>
          <w:color w:val="000000"/>
          <w:szCs w:val="28"/>
        </w:rPr>
      </w:pPr>
      <w:r w:rsidRPr="001C002E">
        <w:rPr>
          <w:color w:val="000000"/>
          <w:szCs w:val="28"/>
        </w:rPr>
        <w:t>Любая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норма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претворяется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практике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только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посредством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отношений: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обязывая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участников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(субъектов)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совершению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конкретных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предоставляя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конкретным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лицам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требовать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реализации,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руководить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данными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действиями,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устанавливает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специфические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коммуникации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участниками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правоотношений,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людьми.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Следовательно,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к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таможенно-правовым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отношениям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относятся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те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общественные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отношения,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которые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отражены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в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нормах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таможенного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права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и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регулируются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ими.</w:t>
      </w:r>
    </w:p>
    <w:p w:rsidR="00D8693A" w:rsidRPr="001C002E" w:rsidRDefault="00D8693A" w:rsidP="00D72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02E">
        <w:rPr>
          <w:color w:val="000000"/>
          <w:sz w:val="28"/>
          <w:szCs w:val="28"/>
        </w:rPr>
        <w:t>Таможенные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рамках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характеризуются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совокупностью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следующих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специфических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признаков: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наличием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специальных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субъектов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деятельности;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наличием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специальных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объектов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деятельности;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опосредованностью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через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правоотношения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указанных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субъектов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объектов.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подразделяются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активные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активное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участником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намерения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перемещении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товаров),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пассивные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пассивное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указанного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намерения),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посредническую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таможенно-правовую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работу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агентов),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вспомогательные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(принятие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какого-то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предварительного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решения),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также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организационные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(допустим,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компетенции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органа).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Основаниями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возникновения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могут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выступать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положения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Конституции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законы,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декреты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указы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Президента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правовые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акты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Парламента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Правительства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приказы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ГТК.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области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могут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подразделяться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виды,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частности,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зависимости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особенностей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правового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регулирования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административном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аспекте),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выделить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группы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отношений: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а)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непосредственно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выражающие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основную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формулу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воздействия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(«субъект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объект»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отношений),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отчетливо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проявляется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властная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природа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государственно-таможенной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собственно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властеотношения;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б)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складывающиеся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рамками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непосредственного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воздействия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объект,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органически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связанные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осуществлением.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Названные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группы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характеризуются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неосновные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связи.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Первые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прямо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сущность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вторые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связаны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сущностью,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прямо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выражают.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первым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относятся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могут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выражены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формулой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«команда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исполнение».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вышестоящими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нижестоящими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звеньями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ГТК,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должностными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лицами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руководителями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подчиненными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службе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работниками,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исполнительными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органами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(должностными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лицами)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гражданами,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т.п.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При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характеристике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второй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группы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главное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внимание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акцентируется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они,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хотя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непосредственно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сфере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имеют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своим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прямым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назначением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непосредственное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воздействие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объект.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двумя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сторонами,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работающими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сфере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контроля,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связанными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собой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соподчиненностью.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ГТК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вступать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связанные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необходимостью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подготовки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совместного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правового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акта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согласования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взаимных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международно-правовых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вопросов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т.п.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теории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выделяют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также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субординационные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координационные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Субординационные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построены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авторитарности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волеизъявлений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Координационными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связями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называют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те,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авторитарность,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якобы,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отсутствует.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делается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ссылка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несоподчиненными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(ГТК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таможня)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органами.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подход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был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приемлемым,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содержание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координации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согласования)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трактовалось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однозначно.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для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достаточных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оснований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имеется.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Координация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входит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перечень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проявлений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государственно-таможенной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фактически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совпадает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юридически-властными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проявлениями.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Правительство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координирует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руководит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Президент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Координационные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полномочия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подобного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рода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реализуются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форме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правительственных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актов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таможенному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делу,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форме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юридически-властных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волеизъявлений.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Интерес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представляет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классификация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юридическому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взаимодействия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участников.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критерием,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поглощающим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мере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ранее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рассмотренные,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выделяются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вертикальные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горизонтальные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i/>
          <w:color w:val="000000"/>
          <w:szCs w:val="28"/>
        </w:rPr>
        <w:t>Вертикальные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наибольшей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степени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регулирования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типичных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для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субординационных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связей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объектом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дела.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называют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властеотношениями.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они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соподчиненными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сторонами,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свидетельствует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отсутствии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них,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отличие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гражданско-правовых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равенства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Однако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соподчиненность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нельзя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трактовать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буквальном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смысле.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Фактически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вертикальность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означает,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полномочия,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либо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гражданина),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либо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меньше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поста).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При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характеристике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невозможно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ограничиться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приведенными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категорическими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утверждениями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выводами,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практически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проявления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вертикальности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многозначны.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Соответственно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сфере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обнаружить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несколько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вариантов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всем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своим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основным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показателям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относятся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числу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вертикальных.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частности,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свидетельствуют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многие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признаки,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для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вида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урегулированных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нормами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общественных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отношений: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а)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безоговорочность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тезиса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неравенстве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показателя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вертикальности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данного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вида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отношений;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б)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неравенство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логически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предполагает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подчинение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(«объект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отношений»)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(«субъект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отношений»).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Отсюда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бытующая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формула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«власть-подчинение»,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используемая,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правило,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для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характеристики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именно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вертикального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типа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(скажем,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ГТК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таможня);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подчиненность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(соподчиненность)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обычно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имеет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четко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проявления.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гражданин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негосударственное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формирование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(коммерческая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структура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т.п.)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организационно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подчинены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органам;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г)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многие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вертикального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типа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несоподчиненными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участниками.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подобных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случаях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(ГТК)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силу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своей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компетенции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правомочна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издавать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акты,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обязательные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для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исполнения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организационно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подчиненной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данного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(низовые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органы);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д)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требованиями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соответствующих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норм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вправе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адресовать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свои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волеизъявления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гражданам,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объединениям,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какой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подчиненности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названных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находятся.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Общие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черты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неоднозначных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вертикальных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осуществление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рамках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прямого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регулятивного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воздействия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приоритет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стороны.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i/>
          <w:color w:val="000000"/>
          <w:szCs w:val="28"/>
        </w:rPr>
        <w:t>Горизонтальными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таможенно-правовыми</w:t>
      </w:r>
      <w:r w:rsidR="00D72812" w:rsidRPr="001C002E">
        <w:rPr>
          <w:i/>
          <w:color w:val="000000"/>
          <w:szCs w:val="28"/>
        </w:rPr>
        <w:t xml:space="preserve"> </w:t>
      </w:r>
      <w:r w:rsidRPr="001C002E">
        <w:rPr>
          <w:i/>
          <w:color w:val="000000"/>
          <w:szCs w:val="28"/>
        </w:rPr>
        <w:t>отношениями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признаются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те,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рамках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фактически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равноправны.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них,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соответственно,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отсутствуют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веления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обязательные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для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другой.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рода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весьма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распространены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сфере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Сущность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обществе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охарактеризовать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следующим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образом: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во-первых,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они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определяются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объективными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экономическими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основанными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многообразии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форм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собственности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представляющими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собой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общественные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органов,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предприятий;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во-вторых,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органов,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организаций,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урегулированные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нормами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выражающими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идеи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законности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сфере;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в-третьих,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они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являются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средством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задач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области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формирования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единого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пространства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России,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Белоруссии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стран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СНГ,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защиты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товаропроизводителей,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товарообмена,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укрепления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экономической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безопасности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многих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других.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Таможенно-правовые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обладают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рядом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особенностей,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позволяют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выделить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правовые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видов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правоотношений.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Основная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особенность,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которая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определяет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отличительные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черты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рассматриваемых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правоотношений,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выражается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они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процессе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осуществления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государственной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статьёй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1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ТК,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дело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относится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ведению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Президента,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Парламента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Правительства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связи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этим,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возникновение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обусловлено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деятельностью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государственной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власти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установлению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порядка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условий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перемещения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через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таможенную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границу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транспортных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средств,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взимания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платежей,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оформления,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проведения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контроля.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ТК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содержит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многочисленные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нормы,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имеющие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властный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20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содержит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положения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запрещении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ввоза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вывоза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отдельных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видов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транспортных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средств,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21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установлены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ограничения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ввоз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вывоз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транспортных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средств,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49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определяет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высокие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требования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складам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владельцам,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ст.ст.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119,120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устанавливают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жесткие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сроки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строгий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порядок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уплаты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платежей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т.д.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Властный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присущий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предопределяет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особое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положение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которая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наделяется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требования,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время,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другая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должна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подчинится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требованиям.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Другой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отличительной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чертой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является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выступает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государство,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реализации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находит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публично-правовой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Государственный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интерес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выражается,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прежде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всего,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чтобы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обеспечить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порядок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перемещения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транспортных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средств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через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таможенную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границу,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могут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оказаться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запрещенные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ограниченные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ввозу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исходя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соображений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государственной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безопасности,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защиты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общественного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порядка,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нравственности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населения,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жизни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здоровья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человека,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защиты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животных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растений,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охраны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окружающей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природной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т.д.</w:t>
      </w:r>
    </w:p>
    <w:p w:rsidR="00D8693A" w:rsidRPr="001C002E" w:rsidRDefault="00D8693A" w:rsidP="00D72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02E">
        <w:rPr>
          <w:color w:val="000000"/>
          <w:sz w:val="28"/>
          <w:szCs w:val="28"/>
        </w:rPr>
        <w:t>Важной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частью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правоотношения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является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обязанность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лица,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перемещающего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товары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транспортные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средства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через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таможенную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границу,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уплатить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определенных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случаях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ввозные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или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вывозные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пошлины,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налоги,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которые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поступают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бюджет.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рамках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характеризуются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совокупностью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особых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признаков,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наличие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специальных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специальных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объектов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качестве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выступают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конкретные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могут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участвовать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зависимости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характера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число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самое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разное,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менее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двух,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поскольку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любое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реализуется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через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взаимные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обязанности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участников.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Участники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определены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8,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18);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являются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также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лица(юридические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физические).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только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органами,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лицами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перемещающими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другой.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между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самими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органами,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образующими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определенную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систему.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данном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случае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выступают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организационные;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8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определяется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структура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(ГТК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таможни),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10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описывает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функции.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Присутствие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качестве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обязательной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коем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случае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связывается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тем,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возникает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лишь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инициативе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органа.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Многие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инициативе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обеих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предоставление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отсрочки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рассрочки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платежей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возможно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инициативе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плательщика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платежей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органа.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ряде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случаев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инициатором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возникновения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выступить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сторона,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ввозе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транспортных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средств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таможенную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территорию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перевозчик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уведомляет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пересечении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границы.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Инициатива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третьих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также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вызвать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возникновение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например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118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любое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заинтересованное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вправе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уплатить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платежи.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Физическое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чтобы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участником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должно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обладать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правоспособностью.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обязанности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личности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закреплены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Конституции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гарантирующей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равенство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свобод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человека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гражданина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независимо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расы,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национальности,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языка,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происхождения,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имущественного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должностного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положения,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места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жительства,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религиозной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принадлежности,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убеждений.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законодательство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конкретизирует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данные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положения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Конституции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применительно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таможенно-правовым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отношениям.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pacing w:val="6"/>
          <w:szCs w:val="28"/>
        </w:rPr>
      </w:pPr>
      <w:r w:rsidRPr="001C002E">
        <w:rPr>
          <w:color w:val="000000"/>
          <w:szCs w:val="28"/>
        </w:rPr>
        <w:t>Однако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</w:t>
      </w:r>
      <w:r w:rsidRPr="001C002E">
        <w:rPr>
          <w:color w:val="000000"/>
          <w:spacing w:val="6"/>
          <w:szCs w:val="28"/>
        </w:rPr>
        <w:t>аличие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правоспособности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еще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не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достаточно;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чтобы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стать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реальным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участником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таможенного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правоотношения.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Для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этого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необходимо,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чтобы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правоспособный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субъект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был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дееспособен,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то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есть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лицо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должно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быть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способно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самостоятельно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своими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действиями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приобретать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права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и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обязанности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и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осуществлять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их,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что,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в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свою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очередь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зависит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от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ряда</w:t>
      </w:r>
      <w:r w:rsidR="00D72812" w:rsidRPr="001C002E">
        <w:rPr>
          <w:color w:val="000000"/>
          <w:spacing w:val="6"/>
          <w:szCs w:val="28"/>
        </w:rPr>
        <w:t xml:space="preserve"> </w:t>
      </w:r>
      <w:r w:rsidRPr="001C002E">
        <w:rPr>
          <w:color w:val="000000"/>
          <w:spacing w:val="6"/>
          <w:szCs w:val="28"/>
        </w:rPr>
        <w:t>факторов.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Конституцией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гражданин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самостоятельно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осуществлять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полном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объеме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свои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обязанности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18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лет,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возраста.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Однако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содержит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указания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возраст,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достижении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самостоятельно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осуществлять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обязанности,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установленные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законодательством.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Вместе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тем,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Кодекс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административных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правонарушениях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(далее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КоАП)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предусматривает,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административного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правонарушения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достигшее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16-летнего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возраста.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рассмотрении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данного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вопроса,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очевидно,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следует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принять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внимание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положение,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содержащиеся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статьях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Гражданского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кодекса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(далее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-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ГК),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определяет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содержание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дееспособности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несовершеннолетних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возрасте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14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18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лет.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дееспособность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физических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случаях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оказывать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влияние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состояние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здоровья.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гражданин,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вследствие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психического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расстройства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понимать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значения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своих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руководить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признан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судом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недееспособным.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КоАП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физическое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время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совершения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нарушения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правил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находилось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состоянии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невменяемости,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является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административной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ответственности.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Положения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правоспособности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дееспособности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полностью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относятся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лицам.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Возникновение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правоспособности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дееспособности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начинается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момента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государственной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регистрации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прекращается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ликвидацией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после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внесения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записи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единый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государственный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реестр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действует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основании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устава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учредительных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документов,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предусмотренных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ГК,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должен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определены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предмет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цели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определяющие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правоспособности.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обязанности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приобретает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через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свои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органы,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порядок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назначения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избрания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определяется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законом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учредительными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документами.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Отдельными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видами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перечень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определяется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законом,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заниматься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только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основании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специального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разрешения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(лицензии).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законодательство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предусматривает,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наличие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лицензии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требуется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учреждении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склада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временного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хранения,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магазина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беспошлинной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торговли,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свободного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склада,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переработку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территории,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осуществление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деятельности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качестве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агента.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Таможенное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определяет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поведение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субъектов,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должно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соответствовать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установленным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обязанностям,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поведение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выступает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объектом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должно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воздействовать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нужном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направлении.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Поведение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участников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имеет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большое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значение.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соответствует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предписаниям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закона,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соблюдаются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участника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возникшего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публичные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интересы;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нарушает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предписания,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неблагоприятные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последствия,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могут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привести,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значительным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экономическим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потерям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для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государства,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значит,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для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граждан.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Ввоз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Республику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Беларусь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запрещенных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транспортных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средств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отрицательно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повлиять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окружающую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природную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среду,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жизни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здоровье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населения.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Возникновение,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развитие,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изменение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прекращение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вызываются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фактами.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качестве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последних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выступают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обязательства,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могут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вызвать.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фактом,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влекущим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возникновения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правоотношения,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является,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частности,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поступление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декларации.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большинстве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случаев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качестве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фактов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выступают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субъектов,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ряде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случаев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такими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фактами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являются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события.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Действия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результат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волевого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проявления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субъектов,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могут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правомерными,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влекущими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возникновение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законных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обязанностей,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неправомерными,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соответствующими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предписаниям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правовых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норм.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законодательстве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качестве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неправомерных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действий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выступают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проступки,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другими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словами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административные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правонарушения,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понятие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дается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224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ТК.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События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–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это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юридические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факты,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наступают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независимо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субъектов.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Событием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непреодолимой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силы,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например,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стихийное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бедствие,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вызвавшее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утрату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товаров.</w:t>
      </w:r>
    </w:p>
    <w:p w:rsidR="00D8693A" w:rsidRPr="001C002E" w:rsidRDefault="00D8693A" w:rsidP="00D72812">
      <w:pPr>
        <w:pStyle w:val="a3"/>
        <w:widowControl/>
        <w:spacing w:line="360" w:lineRule="auto"/>
        <w:rPr>
          <w:color w:val="000000"/>
          <w:szCs w:val="28"/>
        </w:rPr>
      </w:pP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КоАП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(ст.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227)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указаны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обстоятельства,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которых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производство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делу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административном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правонарушении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может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быть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начато,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начатое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подлежит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прекращению,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частности,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момент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совершения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административного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правонарушения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достигло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шестнадцатилетнего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возраста;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невменяемости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лица,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совершившего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противоправное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бездействие;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случае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издания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акта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амнистии,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если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он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устраняет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применение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административного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взыскания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т.д.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Вышеуказанные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обстоятельства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действуют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на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таможенные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правонарушения,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изложенные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в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ст.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224</w:t>
      </w:r>
      <w:r w:rsidR="00D72812" w:rsidRPr="001C002E">
        <w:rPr>
          <w:color w:val="000000"/>
          <w:szCs w:val="28"/>
        </w:rPr>
        <w:t xml:space="preserve"> </w:t>
      </w:r>
      <w:r w:rsidRPr="001C002E">
        <w:rPr>
          <w:color w:val="000000"/>
          <w:szCs w:val="28"/>
        </w:rPr>
        <w:t>ТК.</w:t>
      </w:r>
    </w:p>
    <w:p w:rsidR="00D8693A" w:rsidRPr="001C002E" w:rsidRDefault="00D8693A" w:rsidP="00D728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02E">
        <w:rPr>
          <w:color w:val="000000"/>
          <w:sz w:val="28"/>
          <w:szCs w:val="28"/>
        </w:rPr>
        <w:t>Таким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образом,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правоотношения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исследуются: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общественные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отношения,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представляющие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связь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одного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лица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корреспондирующими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обязанностями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другого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лица;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средство,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помощи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которого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осуществляется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действие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юридических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норм;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средство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воздействия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общественные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отношения;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объект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социального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регулирования;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юридическое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средство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обеспечения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определенного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поведения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обязанных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лиц,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обусловливающее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для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управомоченного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лица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реальную,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гарантированную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материальными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условиями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жизни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общества,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возможность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собственных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действий;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условие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способ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конкретизации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общественного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отношения;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определенная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форма,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которой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абсолютная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норма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приобретает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свое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реальное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бытие,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воплощаясь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реальном,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конкретном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общественном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отношении;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форма,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содержанием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которой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является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общественное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отношение,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существующее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неразрывно;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как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форма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осуществления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права.</w:t>
      </w:r>
    </w:p>
    <w:p w:rsidR="007D008D" w:rsidRPr="001C002E" w:rsidRDefault="00D8693A" w:rsidP="00BC7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силу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этого,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сущность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заключается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отношениях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органов,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граждан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иных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организаций,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которые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урегулированы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нормами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таможенного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права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выражают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идеи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соблюдения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законности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в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таможенной</w:t>
      </w:r>
      <w:r w:rsidR="00D72812" w:rsidRPr="001C002E">
        <w:rPr>
          <w:color w:val="000000"/>
          <w:sz w:val="28"/>
          <w:szCs w:val="28"/>
        </w:rPr>
        <w:t xml:space="preserve"> </w:t>
      </w:r>
      <w:r w:rsidRPr="001C002E">
        <w:rPr>
          <w:color w:val="000000"/>
          <w:sz w:val="28"/>
          <w:szCs w:val="28"/>
        </w:rPr>
        <w:t>области.</w:t>
      </w:r>
      <w:bookmarkStart w:id="0" w:name="_GoBack"/>
      <w:bookmarkEnd w:id="0"/>
    </w:p>
    <w:sectPr w:rsidR="007D008D" w:rsidRPr="001C002E" w:rsidSect="00D72812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2E" w:rsidRDefault="001C002E">
      <w:r>
        <w:separator/>
      </w:r>
    </w:p>
  </w:endnote>
  <w:endnote w:type="continuationSeparator" w:id="0">
    <w:p w:rsidR="001C002E" w:rsidRDefault="001C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3A" w:rsidRDefault="00D8693A" w:rsidP="00571B31">
    <w:pPr>
      <w:pStyle w:val="a8"/>
      <w:framePr w:wrap="around" w:vAnchor="text" w:hAnchor="margin" w:xAlign="right" w:y="1"/>
      <w:rPr>
        <w:rStyle w:val="aa"/>
      </w:rPr>
    </w:pPr>
  </w:p>
  <w:p w:rsidR="00D8693A" w:rsidRDefault="00D8693A" w:rsidP="00D8693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3A" w:rsidRDefault="00D8693A" w:rsidP="00571B31">
    <w:pPr>
      <w:pStyle w:val="a8"/>
      <w:framePr w:wrap="around" w:vAnchor="text" w:hAnchor="margin" w:xAlign="right" w:y="1"/>
      <w:rPr>
        <w:rStyle w:val="aa"/>
      </w:rPr>
    </w:pPr>
  </w:p>
  <w:p w:rsidR="00D8693A" w:rsidRDefault="00D8693A" w:rsidP="00D8693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2E" w:rsidRDefault="001C002E">
      <w:r>
        <w:separator/>
      </w:r>
    </w:p>
  </w:footnote>
  <w:footnote w:type="continuationSeparator" w:id="0">
    <w:p w:rsidR="001C002E" w:rsidRDefault="001C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93A"/>
    <w:rsid w:val="0005038D"/>
    <w:rsid w:val="001C002E"/>
    <w:rsid w:val="00293A8B"/>
    <w:rsid w:val="003A20B2"/>
    <w:rsid w:val="00571B31"/>
    <w:rsid w:val="005A503B"/>
    <w:rsid w:val="005B5B82"/>
    <w:rsid w:val="007D008D"/>
    <w:rsid w:val="00BC744E"/>
    <w:rsid w:val="00D72812"/>
    <w:rsid w:val="00D8693A"/>
    <w:rsid w:val="00F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DCEC17-378C-4CFB-839E-354FD803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8693A"/>
    <w:pPr>
      <w:widowControl w:val="0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D8693A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D8693A"/>
    <w:pPr>
      <w:widowControl w:val="0"/>
      <w:ind w:firstLine="380"/>
      <w:jc w:val="both"/>
    </w:pPr>
    <w:rPr>
      <w:rFonts w:ascii="Arial" w:hAnsi="Arial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D8693A"/>
    <w:pPr>
      <w:widowControl w:val="0"/>
      <w:spacing w:line="420" w:lineRule="exact"/>
      <w:ind w:firstLine="720"/>
      <w:jc w:val="both"/>
    </w:pPr>
    <w:rPr>
      <w:sz w:val="32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D869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D8693A"/>
    <w:rPr>
      <w:rFonts w:cs="Times New Roman"/>
    </w:rPr>
  </w:style>
  <w:style w:type="paragraph" w:styleId="ab">
    <w:name w:val="header"/>
    <w:basedOn w:val="a"/>
    <w:link w:val="ac"/>
    <w:uiPriority w:val="99"/>
    <w:rsid w:val="00BC74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C74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таможенно-правовых отношений</vt:lpstr>
    </vt:vector>
  </TitlesOfParts>
  <Company/>
  <LinksUpToDate>false</LinksUpToDate>
  <CharactersWithSpaces>21350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таможенно-правовых отношений</dc:title>
  <dc:subject/>
  <dc:creator>1</dc:creator>
  <cp:keywords/>
  <dc:description/>
  <cp:lastModifiedBy>admin</cp:lastModifiedBy>
  <cp:revision>2</cp:revision>
  <dcterms:created xsi:type="dcterms:W3CDTF">2014-03-14T04:37:00Z</dcterms:created>
  <dcterms:modified xsi:type="dcterms:W3CDTF">2014-03-14T04:37:00Z</dcterms:modified>
</cp:coreProperties>
</file>