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56" w:rsidRDefault="008C2956">
      <w:pPr>
        <w:spacing w:before="680"/>
        <w:ind w:firstLine="940"/>
        <w:jc w:val="both"/>
        <w:rPr>
          <w:snapToGrid w:val="0"/>
        </w:rPr>
      </w:pPr>
      <w:r>
        <w:rPr>
          <w:snapToGrid w:val="0"/>
        </w:rPr>
        <w:t>Термин "хеджирование" (англ.</w:t>
      </w:r>
      <w:r>
        <w:rPr>
          <w:snapToGrid w:val="0"/>
          <w:lang w:val="en-US"/>
        </w:rPr>
        <w:t xml:space="preserve"> heaging-</w:t>
      </w:r>
      <w:r>
        <w:rPr>
          <w:snapToGrid w:val="0"/>
        </w:rPr>
        <w:t xml:space="preserve"> ограждать) ис</w:t>
      </w:r>
      <w:r>
        <w:rPr>
          <w:snapToGrid w:val="0"/>
        </w:rPr>
        <w:softHyphen/>
        <w:t>пользуется в банковской, биржевой и коммерческой прак</w:t>
      </w:r>
      <w:r>
        <w:rPr>
          <w:snapToGrid w:val="0"/>
        </w:rPr>
        <w:softHyphen/>
        <w:t>тике для обозначения различных методов страхования валютных рисков. Так, в книге Долан Э. Дж. и др. "Деньги, банковское дело и денежно-кредитная политика" этому термину дается следующее определение: "Хеджирование -система заключения срочных контрактов и сделок, учиты</w:t>
      </w:r>
      <w:r>
        <w:rPr>
          <w:snapToGrid w:val="0"/>
        </w:rPr>
        <w:softHyphen/>
        <w:t>вающая вероятные в будущем изменения обменных валют</w:t>
      </w:r>
      <w:r>
        <w:rPr>
          <w:snapToGrid w:val="0"/>
        </w:rPr>
        <w:softHyphen/>
        <w:t>ных   курсов   и   преследующая   цель   избежать неблагоприятных последствий этих изменений" . В отече</w:t>
      </w:r>
      <w:r>
        <w:rPr>
          <w:snapToGrid w:val="0"/>
        </w:rPr>
        <w:softHyphen/>
        <w:t>ственной литературе термин "хеджирование" стал приме</w:t>
      </w:r>
      <w:r>
        <w:rPr>
          <w:snapToGrid w:val="0"/>
        </w:rPr>
        <w:softHyphen/>
        <w:t>няться в более широком смысле как страхование рисков от неблагоприятных изменений цен на любые товарно-ма</w:t>
      </w:r>
      <w:r>
        <w:rPr>
          <w:snapToGrid w:val="0"/>
        </w:rPr>
        <w:softHyphen/>
        <w:t>териальные ценности по контрактам и коммерческим опе</w:t>
      </w:r>
      <w:r>
        <w:rPr>
          <w:snapToGrid w:val="0"/>
        </w:rPr>
        <w:softHyphen/>
        <w:t>рациям, предусматривающим поставки (продажи) товаров в будущих периодах.</w:t>
      </w:r>
    </w:p>
    <w:p w:rsidR="008C2956" w:rsidRDefault="008C2956">
      <w:pPr>
        <w:ind w:firstLine="920"/>
        <w:jc w:val="both"/>
        <w:rPr>
          <w:snapToGrid w:val="0"/>
        </w:rPr>
      </w:pPr>
      <w:r>
        <w:rPr>
          <w:snapToGrid w:val="0"/>
        </w:rPr>
        <w:t>Контракт, который служит для страховки от рисков из</w:t>
      </w:r>
      <w:r>
        <w:rPr>
          <w:snapToGrid w:val="0"/>
        </w:rPr>
        <w:softHyphen/>
        <w:t>менения курсов (цен), носит название "хедж" (англ.</w:t>
      </w:r>
      <w:r>
        <w:rPr>
          <w:snapToGrid w:val="0"/>
          <w:lang w:val="en-US"/>
        </w:rPr>
        <w:t xml:space="preserve"> hedge </w:t>
      </w:r>
      <w:r>
        <w:rPr>
          <w:snapToGrid w:val="0"/>
        </w:rPr>
        <w:t>-изгородь, ограда). Хозяйствующий субъект, осуществля</w:t>
      </w:r>
      <w:r>
        <w:rPr>
          <w:snapToGrid w:val="0"/>
        </w:rPr>
        <w:softHyphen/>
        <w:t>ющий хеджирование, называется "хеджер". Существуют две операции хеджирования: хеджирование на повышение;</w:t>
      </w:r>
    </w:p>
    <w:p w:rsidR="008C2956" w:rsidRDefault="008C2956">
      <w:pPr>
        <w:jc w:val="both"/>
        <w:rPr>
          <w:snapToGrid w:val="0"/>
        </w:rPr>
      </w:pPr>
      <w:r>
        <w:rPr>
          <w:snapToGrid w:val="0"/>
        </w:rPr>
        <w:t>хеджирование на понижение.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Хеджирование на повышение, или хеджирование покуп</w:t>
      </w:r>
      <w:r>
        <w:rPr>
          <w:snapToGrid w:val="0"/>
        </w:rPr>
        <w:softHyphen/>
        <w:t>кой, представляет собой биржевую операцию по покупке срочных контрактов или опционов. Хедж на повышение применяется в тех случаях, когда необходимо застрахо</w:t>
      </w:r>
      <w:r>
        <w:rPr>
          <w:snapToGrid w:val="0"/>
        </w:rPr>
        <w:softHyphen/>
        <w:t>ваться от возможного повышения цен (курсов) в будущем. Он позволяет установить покупную цену намного раньше, чем был приобретен реальный товар. Предположим, что цена товара (курс валюты или ценных бумаг) через три месяца возрастет, а товар нужен будет именно через три месяца. Для компенсации потерь от предполагаемого роста цен необходимо купить сейчас по сегодняшней цене срочный контракт, связанный с этим товаром, и продать его через три месяца в тот момент, когда будет приобретаться товар. Поскольку цена на товар и на связанный с ним сроч</w:t>
      </w:r>
      <w:r>
        <w:rPr>
          <w:snapToGrid w:val="0"/>
        </w:rPr>
        <w:softHyphen/>
        <w:t>ный контракт изменяется пропорционально в одном на</w:t>
      </w:r>
      <w:r>
        <w:rPr>
          <w:snapToGrid w:val="0"/>
        </w:rPr>
        <w:softHyphen/>
        <w:t>правлении, то купленный ранее контракт можно продать дороже почти на столько же, на сколько возрастет к этому времени цена товара. Таким образом, хеджер, осуществля</w:t>
      </w:r>
      <w:r>
        <w:rPr>
          <w:snapToGrid w:val="0"/>
        </w:rPr>
        <w:softHyphen/>
        <w:t>ющий хеджирование на повышение, страхует себя от воз</w:t>
      </w:r>
      <w:r>
        <w:rPr>
          <w:snapToGrid w:val="0"/>
        </w:rPr>
        <w:softHyphen/>
        <w:t>можного повышения цен в будущем.</w:t>
      </w:r>
    </w:p>
    <w:p w:rsidR="008C2956" w:rsidRDefault="008C2956">
      <w:pPr>
        <w:ind w:firstLine="900"/>
        <w:jc w:val="both"/>
        <w:rPr>
          <w:snapToGrid w:val="0"/>
        </w:rPr>
      </w:pPr>
      <w:r>
        <w:rPr>
          <w:snapToGrid w:val="0"/>
        </w:rPr>
        <w:t>Хеджирование на понижение, или хеджирование прода</w:t>
      </w:r>
      <w:r>
        <w:rPr>
          <w:snapToGrid w:val="0"/>
        </w:rPr>
        <w:softHyphen/>
        <w:t>жей, - это биржевая операция с продажей срочного контр</w:t>
      </w:r>
      <w:r>
        <w:rPr>
          <w:snapToGrid w:val="0"/>
        </w:rPr>
        <w:softHyphen/>
        <w:t>акта. Хеджер, осуществляющий хеджирование на понижение, предполагает совершить в будущем продажу товара, и поэтому, продавая на бирже срочный контракт или опцион, он страхует себя от возможного снижения цен в будущем. Предположим, что цена товара (курс валюты, ценных бумаг) через три месяца снижается, а товар нужно будет продавать через три месяца. Для компенсации пред</w:t>
      </w:r>
      <w:r>
        <w:rPr>
          <w:snapToGrid w:val="0"/>
        </w:rPr>
        <w:softHyphen/>
        <w:t>полагаемых потерь от снижения цены хеджер продает сроч</w:t>
      </w:r>
      <w:r>
        <w:rPr>
          <w:snapToGrid w:val="0"/>
        </w:rPr>
        <w:softHyphen/>
        <w:t>ный контракт сегодня по высокой цене, а при продаже своего товара через три месяца, когда цена на него упала, покупает такой же срочный контракт по снизившейся (поч</w:t>
      </w:r>
      <w:r>
        <w:rPr>
          <w:snapToGrid w:val="0"/>
        </w:rPr>
        <w:softHyphen/>
        <w:t>ти на столько же) цене. Таким образом, хедж на понижение применяется в тех случаях, когда товар необходимо продать позднее.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Хеджер стремится снизить риск. вызванный неопре</w:t>
      </w:r>
      <w:r>
        <w:rPr>
          <w:snapToGrid w:val="0"/>
        </w:rPr>
        <w:softHyphen/>
        <w:t>деленностью цен на рынке, с помощью покупки или продажи срочных контрактов. Это дает возможность зафик</w:t>
      </w:r>
      <w:r>
        <w:rPr>
          <w:snapToGrid w:val="0"/>
        </w:rPr>
        <w:softHyphen/>
        <w:t>сировать цену и сделать доходы или расходы более предска</w:t>
      </w:r>
      <w:r>
        <w:rPr>
          <w:snapToGrid w:val="0"/>
        </w:rPr>
        <w:softHyphen/>
        <w:t>зуемыми. При этом риск, связанный с хеджированием, не исчезает. Его берут на себя спекулянты, т.е. предпринима</w:t>
      </w:r>
      <w:r>
        <w:rPr>
          <w:snapToGrid w:val="0"/>
        </w:rPr>
        <w:softHyphen/>
        <w:t>тели, идущие на определенный, заранее рассчитанный риск.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Спекулянты на рынке срочных контрактов играют боль</w:t>
      </w:r>
      <w:r>
        <w:rPr>
          <w:snapToGrid w:val="0"/>
        </w:rPr>
        <w:softHyphen/>
        <w:t>шую роль. Принимая на себя риск в надежде на получение прибыли при игре на разнице цен, они выполняют роль стабилизатора цен. При покупке срочных контрактов на бирже спекулянт вносит гарантийный взнос, которым и оп</w:t>
      </w:r>
      <w:r>
        <w:rPr>
          <w:snapToGrid w:val="0"/>
        </w:rPr>
        <w:softHyphen/>
        <w:t>ределяется величина риска спекулянта. Если цена товара (курс валюты, ценных бумаг) снизилась, то спекулянт, ку</w:t>
      </w:r>
      <w:r>
        <w:rPr>
          <w:snapToGrid w:val="0"/>
        </w:rPr>
        <w:softHyphen/>
        <w:t>пивший ранее контракт, теряет сумму, равную гарантий</w:t>
      </w:r>
      <w:r>
        <w:rPr>
          <w:snapToGrid w:val="0"/>
        </w:rPr>
        <w:softHyphen/>
        <w:t>ному взносу. Если цена товара возросла, то спекулянт возвращает себе сумму, равную гарантийному взносу, и получает дополнительный доход от разницы в ценах товара и купленного контракта.</w:t>
      </w:r>
    </w:p>
    <w:p w:rsidR="008C2956" w:rsidRDefault="008C2956">
      <w:pPr>
        <w:spacing w:line="300" w:lineRule="auto"/>
        <w:ind w:firstLine="940"/>
        <w:jc w:val="both"/>
        <w:rPr>
          <w:snapToGrid w:val="0"/>
        </w:rPr>
      </w:pPr>
      <w:r>
        <w:rPr>
          <w:snapToGrid w:val="0"/>
        </w:rPr>
        <w:t>Рассмотрим технологию хеджирования на примере хед</w:t>
      </w:r>
      <w:r>
        <w:rPr>
          <w:snapToGrid w:val="0"/>
        </w:rPr>
        <w:softHyphen/>
        <w:t>жа на повышение курса валюты.</w:t>
      </w:r>
    </w:p>
    <w:p w:rsidR="008C2956" w:rsidRDefault="008C2956">
      <w:pPr>
        <w:spacing w:line="300" w:lineRule="auto"/>
        <w:ind w:firstLine="940"/>
        <w:jc w:val="both"/>
        <w:rPr>
          <w:snapToGrid w:val="0"/>
        </w:rPr>
      </w:pPr>
      <w:r>
        <w:rPr>
          <w:snapToGrid w:val="0"/>
        </w:rPr>
        <w:t>Пример 1. Отказ хозяйствующего субъекта от хеджиро</w:t>
      </w:r>
      <w:r>
        <w:rPr>
          <w:snapToGrid w:val="0"/>
        </w:rPr>
        <w:softHyphen/>
        <w:t>вания валютных рисков. В этом случае хозяйствующий субъект принимает на себя риск и неявно становится валют</w:t>
      </w:r>
      <w:r>
        <w:rPr>
          <w:snapToGrid w:val="0"/>
        </w:rPr>
        <w:softHyphen/>
        <w:t>ным спекулянтом, рассчитывая на благоприятную динами</w:t>
      </w:r>
      <w:r>
        <w:rPr>
          <w:snapToGrid w:val="0"/>
        </w:rPr>
        <w:softHyphen/>
        <w:t>ку валютного курса. При этом стоимость активов становится в прямую зависимость от курса валюты.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Хозяйствующий субъект планирует осуществить через 3</w:t>
      </w:r>
    </w:p>
    <w:p w:rsidR="008C2956" w:rsidRDefault="008C2956">
      <w:pPr>
        <w:spacing w:line="300" w:lineRule="auto"/>
        <w:jc w:val="both"/>
        <w:rPr>
          <w:snapToGrid w:val="0"/>
        </w:rPr>
      </w:pPr>
      <w:r>
        <w:rPr>
          <w:snapToGrid w:val="0"/>
        </w:rPr>
        <w:t>месяца платежи в сумме 10 тыс. долл. США. При этом в данный момент курс СПОТ составляет 1000 руб. за 1 долл. Следовательно, затраты на покупку 10 тыс. долл. США составят 10 млн. руб. Если через 3 месяца курс СПОТ пони</w:t>
      </w:r>
      <w:r>
        <w:rPr>
          <w:snapToGrid w:val="0"/>
        </w:rPr>
        <w:softHyphen/>
        <w:t>зится до 800 руб. за 1 долл.. то эквивалент долларовой позиции</w:t>
      </w:r>
      <w:r>
        <w:rPr>
          <w:snapToGrid w:val="0"/>
          <w:vertAlign w:val="superscript"/>
        </w:rPr>
        <w:t>1</w:t>
      </w:r>
      <w:r>
        <w:rPr>
          <w:rStyle w:val="a3"/>
          <w:snapToGrid w:val="0"/>
        </w:rPr>
        <w:footnoteReference w:id="1"/>
      </w:r>
      <w:r>
        <w:rPr>
          <w:snapToGrid w:val="0"/>
        </w:rPr>
        <w:t xml:space="preserve"> - 8 млн. руб. (800 руб. х 10 тыс. долл.). Хозяйст</w:t>
      </w:r>
      <w:r>
        <w:rPr>
          <w:snapToGrid w:val="0"/>
        </w:rPr>
        <w:softHyphen/>
        <w:t>вующий субъект затратит на покупку валюты через 3 меся</w:t>
      </w:r>
      <w:r>
        <w:rPr>
          <w:snapToGrid w:val="0"/>
        </w:rPr>
        <w:softHyphen/>
        <w:t>ца 8 млн. руб., т.е. будет иметь экономию денежных средств, или потенциальную прибыль, 2 млн. руб. (10 - 8). Если через 3 месяца курс СПОТ возрастет до 1200 руб. за 1 долл., то затраты хозяйствующего субъекта на покупку 10 тыс. долл. США составят 12 млн. руб. (10 тыс. долл. х 1200 руб.).</w:t>
      </w:r>
    </w:p>
    <w:p w:rsidR="008C2956" w:rsidRDefault="008C2956">
      <w:pPr>
        <w:spacing w:line="300" w:lineRule="auto"/>
        <w:ind w:firstLine="940"/>
        <w:jc w:val="both"/>
        <w:rPr>
          <w:snapToGrid w:val="0"/>
        </w:rPr>
      </w:pPr>
      <w:r>
        <w:rPr>
          <w:snapToGrid w:val="0"/>
        </w:rPr>
        <w:t>Следовательно, дополнительные затраты на покупку бу</w:t>
      </w:r>
      <w:r>
        <w:rPr>
          <w:snapToGrid w:val="0"/>
        </w:rPr>
        <w:softHyphen/>
        <w:t>дут равны 2 млн. руб. (12-10).</w:t>
      </w:r>
    </w:p>
    <w:p w:rsidR="008C2956" w:rsidRDefault="008C2956">
      <w:pPr>
        <w:spacing w:line="300" w:lineRule="auto"/>
        <w:ind w:firstLine="940"/>
        <w:jc w:val="both"/>
        <w:rPr>
          <w:snapToGrid w:val="0"/>
        </w:rPr>
      </w:pPr>
      <w:r>
        <w:rPr>
          <w:snapToGrid w:val="0"/>
        </w:rPr>
        <w:t>Преимущество отказа от хеджирования проявляется в отсутствии предварительных затрат и в возможности полу</w:t>
      </w:r>
      <w:r>
        <w:rPr>
          <w:snapToGrid w:val="0"/>
        </w:rPr>
        <w:softHyphen/>
        <w:t>чить неограниченную прибыль. Недостатком являются риск и возможные потери, вызванные увеличением курса валюты.</w:t>
      </w:r>
    </w:p>
    <w:p w:rsidR="008C2956" w:rsidRDefault="008C2956">
      <w:pPr>
        <w:pStyle w:val="2"/>
        <w:jc w:val="both"/>
      </w:pPr>
      <w:r>
        <w:t>Пример 2. Хеджирование с помощью форвардной опера</w:t>
      </w:r>
      <w:r>
        <w:softHyphen/>
        <w:t>ции. Форвардная операция представляет собой взаимное обязательство сторон произвести валютную конверсию по фиксированному курсу в заранее согласованную дату. Срочный, или форвардный, контракт - это обязательство для двух сторон (продавца и покупателя), т.е. продавец обязан продать, а покупатель купить определенное количество валюты по установленному курсу в определенный день.</w:t>
      </w:r>
    </w:p>
    <w:p w:rsidR="008C2956" w:rsidRDefault="008C2956">
      <w:pPr>
        <w:ind w:firstLine="920"/>
        <w:jc w:val="both"/>
        <w:rPr>
          <w:snapToGrid w:val="0"/>
        </w:rPr>
      </w:pPr>
      <w:r>
        <w:rPr>
          <w:snapToGrid w:val="0"/>
        </w:rPr>
        <w:t>Хозяйствующий субъект решил заключить трехмесяч</w:t>
      </w:r>
      <w:r>
        <w:rPr>
          <w:snapToGrid w:val="0"/>
        </w:rPr>
        <w:softHyphen/>
        <w:t>ный срочный (т.е. форвардный) контракт на покупку-про</w:t>
      </w:r>
      <w:r>
        <w:rPr>
          <w:snapToGrid w:val="0"/>
        </w:rPr>
        <w:softHyphen/>
        <w:t>дажу 10 тыс. долл. США. В момент заключения контракта курс СПОТ составлял 1000 руб. за 1 долл., а трехмесячный форвардный курс по контракту - 1200 руб. за 1 долл. Сле</w:t>
      </w:r>
      <w:r>
        <w:rPr>
          <w:snapToGrid w:val="0"/>
        </w:rPr>
        <w:softHyphen/>
        <w:t>довательно, затраты на покупку валюты по контракту бу</w:t>
      </w:r>
      <w:r>
        <w:rPr>
          <w:snapToGrid w:val="0"/>
        </w:rPr>
        <w:softHyphen/>
        <w:t>дут равны 12 млн. руб. (10 тыс. долл. х 1200 руб.). Если через три месяца на день исполнения контракта курс СПОТ по</w:t>
      </w:r>
      <w:r>
        <w:rPr>
          <w:snapToGrid w:val="0"/>
        </w:rPr>
        <w:softHyphen/>
        <w:t>высится до 1300 руб. за 1 долл., то затраты хозяйствующего субъекта на покупку валюты составят 12 млн. руб. Если бы он не заключил срочный контракт, то затраты на покупку валюты выразятся в 13 млн. руб. (10 тыс. долл. х 1300).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Экономия денежных ресурсов, или потенциальная при</w:t>
      </w:r>
      <w:r>
        <w:rPr>
          <w:snapToGrid w:val="0"/>
        </w:rPr>
        <w:softHyphen/>
        <w:t>быль, составит 1 млн. руб. (12-13). Если через три месяца на день исполнения контракта курс СПОТ снизится до 800 руб. за 1 долл., то при затратах 12 млн. руб. по срочному контракту упущенная выгода (потенциальные потери) со</w:t>
      </w:r>
      <w:r>
        <w:rPr>
          <w:snapToGrid w:val="0"/>
        </w:rPr>
        <w:softHyphen/>
        <w:t>ставит 4 млн. руб. [10 тыс. долл. х (800 - 1200 руб.) ].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Преимущество форвардной операции проявляется в от</w:t>
      </w:r>
      <w:r>
        <w:rPr>
          <w:snapToGrid w:val="0"/>
        </w:rPr>
        <w:softHyphen/>
        <w:t>сутствии предварительных затрат и защите от неблагопри</w:t>
      </w:r>
      <w:r>
        <w:rPr>
          <w:snapToGrid w:val="0"/>
        </w:rPr>
        <w:softHyphen/>
        <w:t>ятного изменения курса валюты. Недостатком являются потенциальные потери, связанные с риском упущенной вы</w:t>
      </w:r>
      <w:r>
        <w:rPr>
          <w:snapToGrid w:val="0"/>
        </w:rPr>
        <w:softHyphen/>
        <w:t>годы.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Пример 3. Хеджирование с помощью опционов. Валют</w:t>
      </w:r>
      <w:r>
        <w:rPr>
          <w:snapToGrid w:val="0"/>
        </w:rPr>
        <w:softHyphen/>
        <w:t>ный опцион - это право покупателя купить и обязательство для продавца продать определенное количество одной ва</w:t>
      </w:r>
      <w:r>
        <w:rPr>
          <w:snapToGrid w:val="0"/>
        </w:rPr>
        <w:softHyphen/>
        <w:t>люты в обмен на другую по фиксированному курсу в зара</w:t>
      </w:r>
      <w:r>
        <w:rPr>
          <w:snapToGrid w:val="0"/>
        </w:rPr>
        <w:softHyphen/>
        <w:t>нее согласованную дату или в течение согласованного периода времени. Таким образом, опционный контракт обязателен для продавца и необязателен для покупателя. Хозяйствующий субъект покупает валютный опцион, ко</w:t>
      </w:r>
      <w:r>
        <w:rPr>
          <w:snapToGrid w:val="0"/>
        </w:rPr>
        <w:softHyphen/>
        <w:t>торый предоставляет ему право (но не обязанность) купить определенное количество валюты по фиксированному кур</w:t>
      </w:r>
      <w:r>
        <w:rPr>
          <w:snapToGrid w:val="0"/>
        </w:rPr>
        <w:softHyphen/>
        <w:t>су в согласованный день (европейский стиль).</w:t>
      </w:r>
    </w:p>
    <w:p w:rsidR="008C2956" w:rsidRDefault="008C2956">
      <w:pPr>
        <w:ind w:firstLine="940"/>
        <w:jc w:val="both"/>
        <w:rPr>
          <w:snapToGrid w:val="0"/>
        </w:rPr>
      </w:pPr>
      <w:r>
        <w:rPr>
          <w:snapToGrid w:val="0"/>
        </w:rPr>
        <w:t>Хозяйствующий субъект предполагает через три месяца произвести платежи в размере 10 тыс. долл. США и зафик</w:t>
      </w:r>
      <w:r>
        <w:rPr>
          <w:snapToGrid w:val="0"/>
        </w:rPr>
        <w:softHyphen/>
        <w:t>сировать минимальный обменный курс доллара. Он поку</w:t>
      </w:r>
      <w:r>
        <w:rPr>
          <w:snapToGrid w:val="0"/>
        </w:rPr>
        <w:softHyphen/>
        <w:t>пает опцион на покупку долларов со следующими параметрами:</w:t>
      </w:r>
    </w:p>
    <w:p w:rsidR="008C2956" w:rsidRDefault="008C2956">
      <w:pPr>
        <w:jc w:val="both"/>
        <w:rPr>
          <w:snapToGrid w:val="0"/>
        </w:rPr>
        <w:sectPr w:rsidR="008C2956">
          <w:pgSz w:w="11906" w:h="16838"/>
          <w:pgMar w:top="709" w:right="1797" w:bottom="1440" w:left="1797" w:header="720" w:footer="720" w:gutter="0"/>
          <w:cols w:space="720"/>
        </w:sectPr>
      </w:pPr>
    </w:p>
    <w:p w:rsidR="008C2956" w:rsidRDefault="008C2956">
      <w:pPr>
        <w:jc w:val="both"/>
        <w:rPr>
          <w:snapToGrid w:val="0"/>
        </w:rPr>
      </w:pPr>
      <w:r>
        <w:rPr>
          <w:snapToGrid w:val="0"/>
        </w:rPr>
        <w:t>сумма</w:t>
      </w:r>
    </w:p>
    <w:p w:rsidR="008C2956" w:rsidRDefault="008C2956">
      <w:pPr>
        <w:spacing w:before="40"/>
        <w:jc w:val="both"/>
        <w:rPr>
          <w:snapToGrid w:val="0"/>
        </w:rPr>
      </w:pPr>
      <w:r>
        <w:rPr>
          <w:snapToGrid w:val="0"/>
        </w:rPr>
        <w:t>срок</w:t>
      </w:r>
    </w:p>
    <w:p w:rsidR="008C2956" w:rsidRDefault="008C2956">
      <w:pPr>
        <w:spacing w:before="80"/>
        <w:jc w:val="both"/>
        <w:rPr>
          <w:snapToGrid w:val="0"/>
        </w:rPr>
      </w:pPr>
      <w:r>
        <w:rPr>
          <w:snapToGrid w:val="0"/>
        </w:rPr>
        <w:t>курс опциона</w:t>
      </w:r>
    </w:p>
    <w:p w:rsidR="008C2956" w:rsidRDefault="008C2956">
      <w:pPr>
        <w:spacing w:before="40"/>
        <w:jc w:val="both"/>
        <w:rPr>
          <w:snapToGrid w:val="0"/>
        </w:rPr>
      </w:pPr>
      <w:r>
        <w:rPr>
          <w:snapToGrid w:val="0"/>
        </w:rPr>
        <w:t>премия</w:t>
      </w:r>
    </w:p>
    <w:p w:rsidR="008C2956" w:rsidRDefault="008C2956">
      <w:pPr>
        <w:spacing w:before="60"/>
        <w:jc w:val="both"/>
        <w:rPr>
          <w:snapToGrid w:val="0"/>
        </w:rPr>
      </w:pPr>
      <w:r>
        <w:rPr>
          <w:snapToGrid w:val="0"/>
        </w:rPr>
        <w:t>стиль</w:t>
      </w:r>
    </w:p>
    <w:p w:rsidR="008C2956" w:rsidRDefault="008C2956">
      <w:pPr>
        <w:spacing w:line="300" w:lineRule="auto"/>
        <w:jc w:val="both"/>
        <w:rPr>
          <w:snapToGrid w:val="0"/>
        </w:rPr>
      </w:pPr>
      <w:r>
        <w:rPr>
          <w:snapToGrid w:val="0"/>
        </w:rPr>
        <w:t>10 тыс. долл. США 3 месяца</w:t>
      </w:r>
    </w:p>
    <w:p w:rsidR="008C2956" w:rsidRDefault="008C2956">
      <w:pPr>
        <w:spacing w:line="300" w:lineRule="auto"/>
        <w:jc w:val="both"/>
        <w:rPr>
          <w:snapToGrid w:val="0"/>
        </w:rPr>
      </w:pPr>
      <w:r>
        <w:rPr>
          <w:snapToGrid w:val="0"/>
        </w:rPr>
        <w:t>1200 руб. за 1 долл. 60 руб. за 1 долл.</w:t>
      </w:r>
    </w:p>
    <w:p w:rsidR="008C2956" w:rsidRDefault="008C2956">
      <w:pPr>
        <w:jc w:val="both"/>
        <w:rPr>
          <w:snapToGrid w:val="0"/>
        </w:rPr>
      </w:pPr>
      <w:r>
        <w:rPr>
          <w:snapToGrid w:val="0"/>
        </w:rPr>
        <w:t>европейский</w:t>
      </w:r>
    </w:p>
    <w:p w:rsidR="008C2956" w:rsidRDefault="008C2956">
      <w:pPr>
        <w:spacing w:before="340" w:line="300" w:lineRule="auto"/>
        <w:ind w:firstLine="920"/>
        <w:jc w:val="both"/>
        <w:rPr>
          <w:snapToGrid w:val="0"/>
        </w:rPr>
        <w:sectPr w:rsidR="008C2956">
          <w:type w:val="continuous"/>
          <w:pgSz w:w="11906" w:h="16838"/>
          <w:pgMar w:top="709" w:right="1797" w:bottom="1440" w:left="1797" w:header="720" w:footer="720" w:gutter="0"/>
          <w:cols w:num="2" w:space="720"/>
        </w:sectPr>
      </w:pPr>
    </w:p>
    <w:p w:rsidR="008C2956" w:rsidRDefault="008C2956">
      <w:pPr>
        <w:spacing w:before="340" w:line="300" w:lineRule="auto"/>
        <w:ind w:firstLine="920"/>
        <w:jc w:val="both"/>
        <w:rPr>
          <w:snapToGrid w:val="0"/>
        </w:rPr>
      </w:pPr>
      <w:r>
        <w:rPr>
          <w:snapToGrid w:val="0"/>
        </w:rPr>
        <w:t>Данный опцион дает право хозяйствующему субъекту купить 10 тыс. долл. США через 3 месяца по курсу 1200 руб. за 1 долл. Хозяйствующий субъект платит продавцу валюты опционную премию в размере 0,6 млн. руб. (10 тыс. долл. х 60 руб.), т.е. цена данного опциона составляет 600 тыс. руб. Если через три месяца на день исполнения опциона курс доллара СПОТ упадет до 800 руб., то хозяйствующий субъ</w:t>
      </w:r>
      <w:r>
        <w:rPr>
          <w:snapToGrid w:val="0"/>
        </w:rPr>
        <w:softHyphen/>
        <w:t>ект откажется от опциона и купит валюту на наличном рынке, заплатив за покупку валюты 8 млн. руб. (10 тыс. долл. х 800 руб.).</w:t>
      </w:r>
    </w:p>
    <w:p w:rsidR="008C2956" w:rsidRDefault="008C2956">
      <w:pPr>
        <w:spacing w:before="340" w:line="300" w:lineRule="auto"/>
        <w:ind w:firstLine="920"/>
        <w:jc w:val="both"/>
        <w:rPr>
          <w:snapToGrid w:val="0"/>
        </w:rPr>
      </w:pPr>
      <w:r>
        <w:rPr>
          <w:snapToGrid w:val="0"/>
        </w:rPr>
        <w:t>С учетом цены покупки опциона (премии) общие затра</w:t>
      </w:r>
      <w:r>
        <w:rPr>
          <w:snapToGrid w:val="0"/>
        </w:rPr>
        <w:softHyphen/>
        <w:t>ты хозяйствующего субъекта на приобретение валюты со</w:t>
      </w:r>
      <w:r>
        <w:rPr>
          <w:snapToGrid w:val="0"/>
        </w:rPr>
        <w:softHyphen/>
        <w:t xml:space="preserve">ставят 8,6 млн. руб. (8 + 0,6). Если через три месяца на день исполнения опциона курс доллара СПОТ повышается до 1300 руб., то будущие расходы хозяйствующего субъекта на покупку валюты уже застрахованы. Он реализует опцион и затрачивает на покупку валюты 12 млн,руб. Если бы он покупал валюту на наличном рынке при курсе СПОТ 1300 руб. за 1 долл., то затратил бы на покупку 13 млн. руб. (10 тыс. долл. </w:t>
      </w:r>
      <w:r>
        <w:rPr>
          <w:snapToGrid w:val="0"/>
          <w:vertAlign w:val="superscript"/>
        </w:rPr>
        <w:t>х</w:t>
      </w:r>
      <w:r>
        <w:rPr>
          <w:snapToGrid w:val="0"/>
        </w:rPr>
        <w:t xml:space="preserve"> 1300 руб.). Экономия денежных ресурсов, или потенциальная выгода, составляет 0,4 млн. руб. (12 + +0,6-13).</w:t>
      </w:r>
    </w:p>
    <w:p w:rsidR="008C2956" w:rsidRDefault="008C2956">
      <w:pPr>
        <w:spacing w:line="300" w:lineRule="auto"/>
        <w:ind w:firstLine="860"/>
        <w:jc w:val="both"/>
        <w:rPr>
          <w:snapToGrid w:val="0"/>
        </w:rPr>
      </w:pPr>
      <w:r>
        <w:rPr>
          <w:snapToGrid w:val="0"/>
        </w:rPr>
        <w:t>Преимущество хеджирования с помощью опциона про</w:t>
      </w:r>
      <w:r>
        <w:rPr>
          <w:snapToGrid w:val="0"/>
        </w:rPr>
        <w:softHyphen/>
        <w:t>является в полной защите от неблагоприятного изменения курса валюты. Недостатком являются затраты на уплату опционной премии.</w:t>
      </w:r>
    </w:p>
    <w:p w:rsidR="008C2956" w:rsidRDefault="008C2956">
      <w:pPr>
        <w:jc w:val="both"/>
      </w:pPr>
      <w:bookmarkStart w:id="0" w:name="_GoBack"/>
      <w:bookmarkEnd w:id="0"/>
    </w:p>
    <w:sectPr w:rsidR="008C295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56" w:rsidRDefault="008C2956">
      <w:r>
        <w:separator/>
      </w:r>
    </w:p>
  </w:endnote>
  <w:endnote w:type="continuationSeparator" w:id="0">
    <w:p w:rsidR="008C2956" w:rsidRDefault="008C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56" w:rsidRDefault="008C2956">
      <w:r>
        <w:separator/>
      </w:r>
    </w:p>
  </w:footnote>
  <w:footnote w:type="continuationSeparator" w:id="0">
    <w:p w:rsidR="008C2956" w:rsidRDefault="008C2956">
      <w:r>
        <w:continuationSeparator/>
      </w:r>
    </w:p>
  </w:footnote>
  <w:footnote w:id="1">
    <w:p w:rsidR="008C2956" w:rsidRDefault="008C2956">
      <w:pPr>
        <w:spacing w:before="140"/>
        <w:ind w:left="860" w:hanging="860"/>
        <w:rPr>
          <w:snapToGrid w:val="0"/>
        </w:rPr>
      </w:pPr>
      <w:r>
        <w:rPr>
          <w:rStyle w:val="a3"/>
        </w:rPr>
        <w:footnoteRef/>
      </w:r>
      <w:r>
        <w:t xml:space="preserve"> </w:t>
      </w:r>
      <w:r>
        <w:rPr>
          <w:i/>
          <w:snapToGrid w:val="0"/>
          <w:sz w:val="24"/>
        </w:rPr>
        <w:t>1 Валютная позиция хозяйствующего субъекта - это изменение соотно</w:t>
      </w:r>
      <w:r>
        <w:rPr>
          <w:i/>
          <w:snapToGrid w:val="0"/>
          <w:sz w:val="24"/>
        </w:rPr>
        <w:softHyphen/>
        <w:t>шения требований и обязательств партнеров (контрагентов) по контр</w:t>
      </w:r>
      <w:r>
        <w:rPr>
          <w:i/>
          <w:snapToGrid w:val="0"/>
          <w:sz w:val="24"/>
        </w:rPr>
        <w:softHyphen/>
        <w:t>акту в иностранной валюте</w:t>
      </w:r>
      <w:r>
        <w:rPr>
          <w:snapToGrid w:val="0"/>
        </w:rPr>
        <w:t>.</w:t>
      </w:r>
    </w:p>
    <w:p w:rsidR="008C2956" w:rsidRDefault="008C295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CC0"/>
    <w:rsid w:val="004B6957"/>
    <w:rsid w:val="008C2956"/>
    <w:rsid w:val="009507A7"/>
    <w:rsid w:val="00B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4A28-8E73-4CA7-8FEA-A99EBE0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="851"/>
    </w:pPr>
    <w:rPr>
      <w:snapToGrid w:val="0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"хеджирование" (англ</vt:lpstr>
    </vt:vector>
  </TitlesOfParts>
  <Company>Home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"хеджирование" (англ</dc:title>
  <dc:subject/>
  <dc:creator>Ann &amp; Mike</dc:creator>
  <cp:keywords/>
  <cp:lastModifiedBy>Irina</cp:lastModifiedBy>
  <cp:revision>2</cp:revision>
  <dcterms:created xsi:type="dcterms:W3CDTF">2014-08-03T13:51:00Z</dcterms:created>
  <dcterms:modified xsi:type="dcterms:W3CDTF">2014-08-03T13:51:00Z</dcterms:modified>
</cp:coreProperties>
</file>