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E61" w:rsidRPr="002A4945" w:rsidRDefault="00FA6E61" w:rsidP="00A5077F">
      <w:pPr>
        <w:jc w:val="center"/>
      </w:pPr>
      <w:r w:rsidRPr="002A4945">
        <w:t>Министерство</w:t>
      </w:r>
      <w:r w:rsidR="002A4945">
        <w:t xml:space="preserve"> </w:t>
      </w:r>
      <w:r w:rsidRPr="002A4945">
        <w:t>здравоохранения</w:t>
      </w:r>
      <w:r w:rsidR="002A4945">
        <w:t xml:space="preserve"> </w:t>
      </w:r>
      <w:r w:rsidRPr="002A4945">
        <w:t>и</w:t>
      </w:r>
      <w:r w:rsidR="002A4945">
        <w:t xml:space="preserve"> </w:t>
      </w:r>
      <w:r w:rsidRPr="002A4945">
        <w:t>социального развития</w:t>
      </w:r>
      <w:r w:rsidR="002A4945">
        <w:t xml:space="preserve"> </w:t>
      </w:r>
      <w:r w:rsidRPr="002A4945">
        <w:t>РФ</w:t>
      </w:r>
      <w:r w:rsidR="002A4945">
        <w:t xml:space="preserve"> </w:t>
      </w:r>
      <w:r w:rsidRPr="002A4945">
        <w:t>ДВГМУ</w:t>
      </w:r>
    </w:p>
    <w:p w:rsidR="00FA6E61" w:rsidRPr="002A4945" w:rsidRDefault="00FA6E61" w:rsidP="00A5077F">
      <w:pPr>
        <w:jc w:val="center"/>
      </w:pPr>
      <w:r w:rsidRPr="002A4945">
        <w:t>Кафедра</w:t>
      </w:r>
      <w:r w:rsidR="002A4945">
        <w:t xml:space="preserve"> </w:t>
      </w:r>
      <w:r w:rsidRPr="002A4945">
        <w:t>органической</w:t>
      </w:r>
      <w:r w:rsidR="002A4945">
        <w:t xml:space="preserve"> </w:t>
      </w:r>
      <w:r w:rsidRPr="002A4945">
        <w:t>и</w:t>
      </w:r>
      <w:r w:rsidR="002A4945">
        <w:t xml:space="preserve"> </w:t>
      </w:r>
      <w:r w:rsidRPr="002A4945">
        <w:t>токсикологической</w:t>
      </w:r>
      <w:r w:rsidR="002A4945">
        <w:t xml:space="preserve"> </w:t>
      </w:r>
      <w:r w:rsidRPr="002A4945">
        <w:t>химии</w:t>
      </w:r>
    </w:p>
    <w:p w:rsidR="00FA6E61" w:rsidRPr="002A4945" w:rsidRDefault="00FA6E61" w:rsidP="00004CDD"/>
    <w:p w:rsidR="00FA6E61" w:rsidRPr="002A4945" w:rsidRDefault="00FA6E61" w:rsidP="00004CDD"/>
    <w:p w:rsidR="00FA6E61" w:rsidRPr="002A4945" w:rsidRDefault="00FA6E61" w:rsidP="00004CDD"/>
    <w:p w:rsidR="00FA6E61" w:rsidRPr="002A4945" w:rsidRDefault="00FA6E61" w:rsidP="00004CDD"/>
    <w:p w:rsidR="00FA6E61" w:rsidRPr="002A4945" w:rsidRDefault="00FA6E61" w:rsidP="00004CDD"/>
    <w:p w:rsidR="00FA6E61" w:rsidRPr="009D4BDF" w:rsidRDefault="00FA6E61" w:rsidP="00004CDD"/>
    <w:p w:rsidR="009D4BDF" w:rsidRPr="009D4BDF" w:rsidRDefault="009D4BDF" w:rsidP="00004CDD"/>
    <w:p w:rsidR="009D4BDF" w:rsidRPr="009D4BDF" w:rsidRDefault="009D4BDF" w:rsidP="00004CDD"/>
    <w:p w:rsidR="009D4BDF" w:rsidRPr="009D4BDF" w:rsidRDefault="009D4BDF" w:rsidP="00004CDD"/>
    <w:p w:rsidR="009D4BDF" w:rsidRPr="009D4BDF" w:rsidRDefault="009D4BDF" w:rsidP="00004CDD"/>
    <w:p w:rsidR="009D4BDF" w:rsidRPr="009D4BDF" w:rsidRDefault="009D4BDF" w:rsidP="00004CDD"/>
    <w:p w:rsidR="00FA6E61" w:rsidRPr="002A4945" w:rsidRDefault="00FA6E61" w:rsidP="00A5077F">
      <w:pPr>
        <w:jc w:val="center"/>
      </w:pPr>
      <w:r w:rsidRPr="002A4945">
        <w:t>Реферат</w:t>
      </w:r>
    </w:p>
    <w:p w:rsidR="00FA6E61" w:rsidRPr="002A4945" w:rsidRDefault="00FA6E61" w:rsidP="00A5077F">
      <w:pPr>
        <w:jc w:val="center"/>
      </w:pPr>
      <w:r w:rsidRPr="002A4945">
        <w:t>Химико-токсикологический</w:t>
      </w:r>
      <w:r w:rsidR="002A4945">
        <w:t xml:space="preserve"> </w:t>
      </w:r>
      <w:r w:rsidRPr="002A4945">
        <w:t>анализ</w:t>
      </w:r>
      <w:r w:rsidR="002A4945">
        <w:t xml:space="preserve"> </w:t>
      </w:r>
      <w:r w:rsidRPr="002A4945">
        <w:t>лекарственных</w:t>
      </w:r>
      <w:r w:rsidR="002A4945">
        <w:t xml:space="preserve"> </w:t>
      </w:r>
      <w:r w:rsidRPr="002A4945">
        <w:t>средств, производных</w:t>
      </w:r>
      <w:r w:rsidR="002A4945">
        <w:t xml:space="preserve"> </w:t>
      </w:r>
      <w:r w:rsidRPr="002A4945">
        <w:t>фенотиазина</w:t>
      </w:r>
    </w:p>
    <w:p w:rsidR="00FA6E61" w:rsidRPr="002A4945" w:rsidRDefault="00FA6E61" w:rsidP="00004CDD"/>
    <w:p w:rsidR="00FA6E61" w:rsidRPr="002A4945" w:rsidRDefault="00FA6E61" w:rsidP="00004CDD"/>
    <w:p w:rsidR="00FA6E61" w:rsidRPr="002A4945" w:rsidRDefault="00FA6E61" w:rsidP="00004CDD"/>
    <w:p w:rsidR="00FA6E61" w:rsidRPr="002A4945" w:rsidRDefault="00FA6E61" w:rsidP="00004CDD">
      <w:r w:rsidRPr="002A4945">
        <w:t>Выполнил: студент</w:t>
      </w:r>
      <w:r w:rsidR="002A4945">
        <w:t xml:space="preserve"> </w:t>
      </w:r>
      <w:r w:rsidRPr="002A4945">
        <w:t>Барахова В.С.</w:t>
      </w:r>
    </w:p>
    <w:p w:rsidR="00FA6E61" w:rsidRPr="002A4945" w:rsidRDefault="00FA6E61" w:rsidP="00004CDD">
      <w:r w:rsidRPr="002A4945">
        <w:t>Проверил преподаватель:</w:t>
      </w:r>
      <w:r w:rsidR="002A4945">
        <w:t xml:space="preserve"> </w:t>
      </w:r>
      <w:r w:rsidRPr="002A4945">
        <w:t>Якушева Н.Ю.</w:t>
      </w:r>
    </w:p>
    <w:p w:rsidR="00FA6E61" w:rsidRPr="002A4945" w:rsidRDefault="00FA6E61" w:rsidP="00004CDD"/>
    <w:p w:rsidR="00FA6E61" w:rsidRPr="002A4945" w:rsidRDefault="00FA6E61" w:rsidP="00004CDD"/>
    <w:p w:rsidR="00FA6E61" w:rsidRPr="002A4945" w:rsidRDefault="00FA6E61" w:rsidP="00004CDD"/>
    <w:p w:rsidR="00FA6E61" w:rsidRPr="002A4945" w:rsidRDefault="00FA6E61" w:rsidP="00004CDD"/>
    <w:p w:rsidR="00FA6E61" w:rsidRPr="002A4945" w:rsidRDefault="00FA6E61" w:rsidP="00004CDD"/>
    <w:p w:rsidR="00FA6E61" w:rsidRPr="002A4945" w:rsidRDefault="00FA6E61" w:rsidP="00004CDD"/>
    <w:p w:rsidR="00FA6E61" w:rsidRPr="002A4945" w:rsidRDefault="00FA6E61" w:rsidP="00004CDD"/>
    <w:p w:rsidR="009D4BDF" w:rsidRDefault="00FA6E61" w:rsidP="00A5077F">
      <w:pPr>
        <w:jc w:val="center"/>
      </w:pPr>
      <w:r w:rsidRPr="002A4945">
        <w:t>Хабаровск 2010</w:t>
      </w:r>
    </w:p>
    <w:p w:rsidR="00FA6E61" w:rsidRPr="002A4945" w:rsidRDefault="009D4BDF" w:rsidP="00004CDD">
      <w:r>
        <w:br w:type="page"/>
      </w:r>
      <w:r w:rsidR="004113D6">
        <w:lastRenderedPageBreak/>
        <w:t>Оглавление</w:t>
      </w:r>
    </w:p>
    <w:p w:rsidR="00FA6E61" w:rsidRPr="002A4945" w:rsidRDefault="00FA6E61" w:rsidP="00004CDD"/>
    <w:p w:rsidR="00FA6E61" w:rsidRPr="002A4945" w:rsidRDefault="00FA6E61" w:rsidP="00FD73A9">
      <w:pPr>
        <w:ind w:firstLine="0"/>
      </w:pPr>
      <w:r w:rsidRPr="002A4945">
        <w:t>Введение</w:t>
      </w:r>
    </w:p>
    <w:p w:rsidR="00FA6E61" w:rsidRPr="002A4945" w:rsidRDefault="003E657F" w:rsidP="00FD73A9">
      <w:pPr>
        <w:ind w:firstLine="0"/>
      </w:pPr>
      <w:r>
        <w:t xml:space="preserve">1. </w:t>
      </w:r>
      <w:r w:rsidR="00FA6E61" w:rsidRPr="002A4945">
        <w:t>Токсикологическое</w:t>
      </w:r>
      <w:r w:rsidR="002A4945">
        <w:t xml:space="preserve"> </w:t>
      </w:r>
      <w:r w:rsidR="00FA6E61" w:rsidRPr="002A4945">
        <w:t>значение</w:t>
      </w:r>
      <w:r w:rsidR="002A4945">
        <w:t xml:space="preserve"> </w:t>
      </w:r>
      <w:r w:rsidR="00FA6E61" w:rsidRPr="002A4945">
        <w:t>и</w:t>
      </w:r>
      <w:r w:rsidR="002A4945">
        <w:t xml:space="preserve"> </w:t>
      </w:r>
      <w:r w:rsidR="00FA6E61" w:rsidRPr="002A4945">
        <w:t>метаболизм</w:t>
      </w:r>
    </w:p>
    <w:p w:rsidR="00FA6E61" w:rsidRPr="002A4945" w:rsidRDefault="003E657F" w:rsidP="00FD73A9">
      <w:pPr>
        <w:ind w:firstLine="0"/>
      </w:pPr>
      <w:r>
        <w:t xml:space="preserve">2. </w:t>
      </w:r>
      <w:r w:rsidR="00FA6E61" w:rsidRPr="002A4945">
        <w:t>Изолирование</w:t>
      </w:r>
      <w:r w:rsidR="002A4945">
        <w:t xml:space="preserve"> </w:t>
      </w:r>
      <w:r w:rsidR="00FA6E61" w:rsidRPr="002A4945">
        <w:t>производных</w:t>
      </w:r>
      <w:r w:rsidR="002A4945">
        <w:t xml:space="preserve"> </w:t>
      </w:r>
      <w:r w:rsidR="00FA6E61" w:rsidRPr="002A4945">
        <w:t>фенотиазина</w:t>
      </w:r>
      <w:r w:rsidR="002A4945">
        <w:t xml:space="preserve"> </w:t>
      </w:r>
      <w:r w:rsidR="00FA6E61" w:rsidRPr="002A4945">
        <w:t>из</w:t>
      </w:r>
      <w:r w:rsidR="002A4945">
        <w:t xml:space="preserve"> </w:t>
      </w:r>
      <w:r w:rsidR="00FA6E61" w:rsidRPr="002A4945">
        <w:t>биологического</w:t>
      </w:r>
      <w:r w:rsidR="002A4945">
        <w:t xml:space="preserve"> </w:t>
      </w:r>
      <w:r w:rsidR="00FA6E61" w:rsidRPr="002A4945">
        <w:t>материала</w:t>
      </w:r>
    </w:p>
    <w:p w:rsidR="00FA6E61" w:rsidRPr="002A4945" w:rsidRDefault="003E657F" w:rsidP="00FD73A9">
      <w:pPr>
        <w:ind w:firstLine="0"/>
      </w:pPr>
      <w:r>
        <w:t xml:space="preserve">3. </w:t>
      </w:r>
      <w:r w:rsidR="00FA6E61" w:rsidRPr="002A4945">
        <w:t>Качественное</w:t>
      </w:r>
      <w:r w:rsidR="002A4945">
        <w:t xml:space="preserve"> </w:t>
      </w:r>
      <w:r w:rsidR="00FA6E61" w:rsidRPr="002A4945">
        <w:t>обнаружение</w:t>
      </w:r>
      <w:r w:rsidR="002A4945">
        <w:t xml:space="preserve"> </w:t>
      </w:r>
      <w:r w:rsidR="00FA6E61" w:rsidRPr="002A4945">
        <w:t>производных</w:t>
      </w:r>
      <w:r w:rsidR="002A4945">
        <w:t xml:space="preserve"> </w:t>
      </w:r>
      <w:r w:rsidR="00FA6E61" w:rsidRPr="002A4945">
        <w:t>фенотиазина</w:t>
      </w:r>
      <w:r w:rsidR="002A4945">
        <w:t xml:space="preserve"> </w:t>
      </w:r>
      <w:r w:rsidR="00FA6E61" w:rsidRPr="002A4945">
        <w:t>в</w:t>
      </w:r>
      <w:r w:rsidR="002A4945">
        <w:t xml:space="preserve"> </w:t>
      </w:r>
      <w:r w:rsidR="00FA6E61" w:rsidRPr="002A4945">
        <w:t>экстракте</w:t>
      </w:r>
    </w:p>
    <w:p w:rsidR="00FA6E61" w:rsidRPr="002A4945" w:rsidRDefault="003E657F" w:rsidP="00FD73A9">
      <w:pPr>
        <w:ind w:firstLine="0"/>
      </w:pPr>
      <w:r>
        <w:t xml:space="preserve">4. </w:t>
      </w:r>
      <w:r w:rsidR="00FA6E61" w:rsidRPr="002A4945">
        <w:t>Количественное</w:t>
      </w:r>
      <w:r w:rsidR="002A4945">
        <w:t xml:space="preserve"> </w:t>
      </w:r>
      <w:r w:rsidR="00FA6E61" w:rsidRPr="002A4945">
        <w:t>определение</w:t>
      </w:r>
      <w:r w:rsidR="002A4945">
        <w:t xml:space="preserve"> </w:t>
      </w:r>
      <w:r w:rsidR="00FA6E61" w:rsidRPr="002A4945">
        <w:t>производных</w:t>
      </w:r>
      <w:r w:rsidR="002A4945">
        <w:t xml:space="preserve"> </w:t>
      </w:r>
      <w:r w:rsidR="00FA6E61" w:rsidRPr="002A4945">
        <w:t>фенотиазина</w:t>
      </w:r>
      <w:r w:rsidR="002A4945">
        <w:t xml:space="preserve"> </w:t>
      </w:r>
      <w:r w:rsidR="00FA6E61" w:rsidRPr="002A4945">
        <w:t>и</w:t>
      </w:r>
      <w:r w:rsidR="002A4945">
        <w:t xml:space="preserve"> </w:t>
      </w:r>
      <w:r w:rsidR="00FA6E61" w:rsidRPr="002A4945">
        <w:t>их</w:t>
      </w:r>
      <w:r w:rsidR="002A4945">
        <w:t xml:space="preserve"> </w:t>
      </w:r>
      <w:r w:rsidR="00FA6E61" w:rsidRPr="002A4945">
        <w:t>метаболитов</w:t>
      </w:r>
    </w:p>
    <w:p w:rsidR="00FA6E61" w:rsidRPr="002A4945" w:rsidRDefault="00FA6E61" w:rsidP="00FD73A9">
      <w:pPr>
        <w:ind w:firstLine="0"/>
      </w:pPr>
      <w:r w:rsidRPr="002A4945">
        <w:t>Список</w:t>
      </w:r>
      <w:r w:rsidR="002A4945">
        <w:t xml:space="preserve"> </w:t>
      </w:r>
      <w:r w:rsidRPr="002A4945">
        <w:t>используемой</w:t>
      </w:r>
      <w:r w:rsidR="002A4945">
        <w:t xml:space="preserve"> </w:t>
      </w:r>
      <w:r w:rsidRPr="002A4945">
        <w:t>литературы</w:t>
      </w:r>
    </w:p>
    <w:p w:rsidR="00FA6E61" w:rsidRPr="002A4945" w:rsidRDefault="00FA6E61" w:rsidP="00004CDD"/>
    <w:p w:rsidR="00FA6E61" w:rsidRPr="002A4945" w:rsidRDefault="00FA6E61" w:rsidP="00004CDD"/>
    <w:p w:rsidR="00ED08BA" w:rsidRDefault="003E657F" w:rsidP="00004CDD">
      <w:r>
        <w:br w:type="page"/>
      </w:r>
      <w:bookmarkStart w:id="0" w:name="_Toc439184232"/>
      <w:r w:rsidR="00ED08BA" w:rsidRPr="003E657F">
        <w:lastRenderedPageBreak/>
        <w:t>Введение</w:t>
      </w:r>
      <w:bookmarkEnd w:id="0"/>
    </w:p>
    <w:p w:rsidR="003E657F" w:rsidRPr="003E657F" w:rsidRDefault="003E657F" w:rsidP="00004CDD"/>
    <w:p w:rsidR="00ED08BA" w:rsidRPr="002A4945" w:rsidRDefault="00ED08BA" w:rsidP="00004CDD">
      <w:r w:rsidRPr="002A4945">
        <w:t xml:space="preserve">В России и за рубежом, начиная с 1945 г., после обнаружения фармакологической активности </w:t>
      </w:r>
      <w:r w:rsidRPr="002A4945">
        <w:rPr>
          <w:lang w:val="en-US"/>
        </w:rPr>
        <w:t>N</w:t>
      </w:r>
      <w:r w:rsidRPr="002A4945">
        <w:t>-замещенных производных фенотиазина, было синтезировано большое число препаратов, обладающих нейролептическим, противогистаминным, холинолитическим, седативным, антиаритмическим и коронарорасширяющим действием.</w:t>
      </w:r>
    </w:p>
    <w:p w:rsidR="004663ED" w:rsidRDefault="00ED08BA" w:rsidP="00004CDD">
      <w:r w:rsidRPr="002A4945">
        <w:t>В основе химической структуры данной группы препаратов лежит гетероциклическая система, состоящая из шестичленного гетероцикла</w:t>
      </w:r>
      <w:r w:rsidR="004113D6" w:rsidRPr="002A4945">
        <w:t>тиазина, конденсированного с двумя ядрами бензола (рис. 1).</w:t>
      </w:r>
    </w:p>
    <w:p w:rsidR="003E08B7" w:rsidRDefault="003E08B7" w:rsidP="00004CDD"/>
    <w:p w:rsidR="004663ED" w:rsidRDefault="002B78AF" w:rsidP="00004CDD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pt;height:135pt">
            <v:imagedata r:id="rId7" o:title=""/>
          </v:shape>
        </w:pict>
      </w:r>
    </w:p>
    <w:p w:rsidR="003E08B7" w:rsidRDefault="003E08B7" w:rsidP="00004CDD"/>
    <w:p w:rsidR="003E08B7" w:rsidRPr="003E08B7" w:rsidRDefault="002B78AF" w:rsidP="00004CDD">
      <w:r>
        <w:pict>
          <v:shape id="_x0000_i1026" type="#_x0000_t75" style="width:122.25pt;height:134.25pt">
            <v:imagedata r:id="rId8" o:title=""/>
          </v:shape>
        </w:pict>
      </w:r>
    </w:p>
    <w:p w:rsidR="004663ED" w:rsidRPr="002A4945" w:rsidRDefault="004663ED" w:rsidP="00004CDD">
      <w:pPr>
        <w:rPr>
          <w:noProof/>
        </w:rPr>
      </w:pPr>
      <w:r w:rsidRPr="002A4945">
        <w:rPr>
          <w:noProof/>
        </w:rPr>
        <w:t>2-Трифторметил-10- [3-(1-метилпиперазинил-4)-пропил] -фенотиазина дигидрохлорид.</w:t>
      </w:r>
    </w:p>
    <w:p w:rsidR="004663ED" w:rsidRPr="002A4945" w:rsidRDefault="004663ED" w:rsidP="00004CDD">
      <w:pPr>
        <w:rPr>
          <w:noProof/>
        </w:rPr>
      </w:pPr>
    </w:p>
    <w:p w:rsidR="004663ED" w:rsidRPr="002A4945" w:rsidRDefault="0017391A" w:rsidP="00004CDD">
      <w:pPr>
        <w:rPr>
          <w:noProof/>
        </w:rPr>
      </w:pPr>
      <w:r w:rsidRPr="002A4945">
        <w:rPr>
          <w:noProof/>
        </w:rPr>
        <w:t>(</w:t>
      </w:r>
      <w:r w:rsidR="004663ED" w:rsidRPr="002A4945">
        <w:rPr>
          <w:noProof/>
        </w:rPr>
        <w:t xml:space="preserve">По химическому строению трифтазин отличается от </w:t>
      </w:r>
      <w:r w:rsidR="004663ED" w:rsidRPr="00CE5C4B">
        <w:rPr>
          <w:noProof/>
        </w:rPr>
        <w:t>хлорпромазина</w:t>
      </w:r>
      <w:r w:rsidR="004663ED" w:rsidRPr="002A4945">
        <w:rPr>
          <w:noProof/>
        </w:rPr>
        <w:t xml:space="preserve"> тем, что вместо атома хлора в положении 2 фенотиазинового ядра содержит </w:t>
      </w:r>
      <w:r w:rsidR="004663ED" w:rsidRPr="002A4945">
        <w:rPr>
          <w:noProof/>
        </w:rPr>
        <w:lastRenderedPageBreak/>
        <w:t xml:space="preserve">группу СF3, а в боковой цепи — ядро </w:t>
      </w:r>
      <w:hyperlink r:id="rId9" w:tooltip="Пиперазин (страница отсутствует)" w:history="1">
        <w:r w:rsidR="004663ED" w:rsidRPr="002A4945">
          <w:rPr>
            <w:rStyle w:val="a3"/>
            <w:rFonts w:ascii="Times New Roman" w:hAnsi="Times New Roman" w:cs="Times New Roman"/>
            <w:noProof/>
            <w:color w:val="000000"/>
          </w:rPr>
          <w:t>пиперазина</w:t>
        </w:r>
      </w:hyperlink>
      <w:r w:rsidR="004663ED" w:rsidRPr="002A4945">
        <w:rPr>
          <w:noProof/>
        </w:rPr>
        <w:t>, замещённое при атоме аз</w:t>
      </w:r>
      <w:r w:rsidRPr="002A4945">
        <w:rPr>
          <w:noProof/>
        </w:rPr>
        <w:t xml:space="preserve">ота в положении 4 группой СН3, </w:t>
      </w:r>
      <w:r w:rsidR="004663ED" w:rsidRPr="002A4945">
        <w:rPr>
          <w:noProof/>
        </w:rPr>
        <w:t>как у метеразина).</w:t>
      </w:r>
    </w:p>
    <w:p w:rsidR="003E657F" w:rsidRDefault="00ED08BA" w:rsidP="00004CDD">
      <w:r w:rsidRPr="002A4945">
        <w:t>Препараты, производные фенотиазина, представляют собой сходные по химической структуре соединения, отличающиеся только заместителями в положении 2 и 10 фенотиазинового кольца, причем между структурой заместителей и фармакологическим действием проявляется четкая зависимость: если в 10 положении находится липофильная группировка, содержащая третичный азот во 2’ или 3’ положении, то препарат оказывает нейролептическое, седативное и противоаллергическое действие. Если же эта группировка гидрофильная (карбоксильная группа), то препарат оказывает коронарорасширяющее и антиаритмическое действие.</w:t>
      </w:r>
      <w:bookmarkStart w:id="1" w:name="_Toc439184233"/>
    </w:p>
    <w:p w:rsidR="003E657F" w:rsidRDefault="003E657F" w:rsidP="00004CDD"/>
    <w:p w:rsidR="00365C7F" w:rsidRDefault="00365C7F" w:rsidP="00004CDD"/>
    <w:p w:rsidR="00ED08BA" w:rsidRPr="003E657F" w:rsidRDefault="00365C7F" w:rsidP="00004CDD">
      <w:r>
        <w:br w:type="page"/>
      </w:r>
      <w:r>
        <w:lastRenderedPageBreak/>
        <w:t>1</w:t>
      </w:r>
      <w:r w:rsidR="003E657F">
        <w:t xml:space="preserve">. </w:t>
      </w:r>
      <w:r w:rsidR="00ED08BA" w:rsidRPr="003E657F">
        <w:t>Токсикологическое значение и метаболизм</w:t>
      </w:r>
      <w:bookmarkEnd w:id="1"/>
    </w:p>
    <w:p w:rsidR="00BA6393" w:rsidRPr="002A4945" w:rsidRDefault="00BA6393" w:rsidP="00004CDD"/>
    <w:p w:rsidR="00BA6393" w:rsidRPr="002A4945" w:rsidRDefault="00BA6393" w:rsidP="00004CDD">
      <w:pPr>
        <w:rPr>
          <w:noProof/>
        </w:rPr>
      </w:pPr>
      <w:r w:rsidRPr="002A4945">
        <w:rPr>
          <w:noProof/>
        </w:rPr>
        <w:t>При приеме внутрь всасывается не полностью. Cmax достигается через 2-4 ч, при в/м введении - через 1-2 ч. В плазме связывается с белками на 99%. Проникает через ГЭБ. Метаболизируется в печени. T1/2 составляет 15-30 ч. Экскретируется почками в основном в виде метаболитов. Токсическая концентрация в крови - 1-2 мг/л, смертельная - 3-12 мг/л.</w:t>
      </w:r>
    </w:p>
    <w:p w:rsidR="00ED08BA" w:rsidRPr="002A4945" w:rsidRDefault="00BA6393" w:rsidP="00004CDD">
      <w:r w:rsidRPr="002A4945">
        <w:t>П</w:t>
      </w:r>
      <w:r w:rsidR="00ED08BA" w:rsidRPr="002A4945">
        <w:t>репараты фенотиазинового ряда, так же как и другие психотропные, антигистаминные и сердечно-сосудистые средства, кроме собственно терапевтического эффекта, проявляют побочное</w:t>
      </w:r>
      <w:r w:rsidR="002A4945">
        <w:t xml:space="preserve"> </w:t>
      </w:r>
      <w:r w:rsidR="00ED08BA" w:rsidRPr="002A4945">
        <w:t>и токсическое действие. Введение их в организм в дозах, превышающих терапевтические (медицинские ошибки, бытовые и суицидальные отравления), нередко приводит к летальным исходам. Описано большое количество отравлений этими соединениями, нередко в сочетании с другими лекарственными препаратами (барбитуратами, производными изоникотиновой кислоты, имизином, антибиотиками, инсулином и др.).</w:t>
      </w:r>
    </w:p>
    <w:p w:rsidR="00ED08BA" w:rsidRPr="002A4945" w:rsidRDefault="00ED08BA" w:rsidP="00004CDD">
      <w:r w:rsidRPr="002A4945">
        <w:t>Производные фенотиазина обладают кумулятивными свойствами и длительно выводятся из организма. Например, терапевтическая доза аминазина (50 мг) выводится из организма в течение 14-20 дней. Смертельные случаи могут наблюдаться при приемах обычных терапевтических доз.</w:t>
      </w:r>
    </w:p>
    <w:p w:rsidR="00ED08BA" w:rsidRPr="002A4945" w:rsidRDefault="00ED08BA" w:rsidP="00004CDD">
      <w:r w:rsidRPr="002A4945">
        <w:t>Клиника течения отравлений производными фенотиазина во многом зависит от возраста, пола, дозы принятого лекарства и не является характерной и специфичной. Нехарактерна также и патологоанатомическая картина. Химическое исследование крови и мочи больных, а также внутренних органов и биологических жидкостей</w:t>
      </w:r>
      <w:r w:rsidR="002A4945">
        <w:t xml:space="preserve"> </w:t>
      </w:r>
      <w:r w:rsidRPr="002A4945">
        <w:t>погибших могут оказать существенную помощь в диагностике отравления.</w:t>
      </w:r>
    </w:p>
    <w:p w:rsidR="00ED08BA" w:rsidRPr="002A4945" w:rsidRDefault="00ED08BA" w:rsidP="00004CDD">
      <w:r w:rsidRPr="002A4945">
        <w:t xml:space="preserve">Биотрансформация производных фенотиазина идет по основным типам метаболизма; сульфоокисление, деметилирование, образование </w:t>
      </w:r>
      <w:r w:rsidRPr="002A4945">
        <w:rPr>
          <w:lang w:val="en-US"/>
        </w:rPr>
        <w:t>N</w:t>
      </w:r>
      <w:r w:rsidRPr="002A4945">
        <w:t xml:space="preserve">-оксида, </w:t>
      </w:r>
      <w:r w:rsidRPr="002A4945">
        <w:lastRenderedPageBreak/>
        <w:t>гидроксилирование и т. д. Главным метаболитом, общим для всех производных фенотиазина, является сульфоксид (рис. 2).</w:t>
      </w:r>
    </w:p>
    <w:p w:rsidR="00365C7F" w:rsidRDefault="002B78AF" w:rsidP="00004CDD">
      <w:r>
        <w:rPr>
          <w:noProof/>
          <w:lang w:eastAsia="ru-RU"/>
        </w:rPr>
        <w:pict>
          <v:group id="_x0000_s1026" style="position:absolute;left:0;text-align:left;margin-left:154pt;margin-top:50.4pt;width:146.15pt;height:99.9pt;z-index:251657216;mso-wrap-distance-top:14.2pt;mso-wrap-distance-bottom:14.2pt" coordorigin="4605,4389" coordsize="2691,1998" o:allowincell="f">
            <v:group id="_x0000_s1027" style="position:absolute;left:4605;top:4755;width:2691;height:1632" coordorigin="5118,3990" coordsize="2691,1632">
              <v:group id="_x0000_s1028" style="position:absolute;left:5118;top:3990;width:1944;height:1362" coordorigin="2280,5640" coordsize="1944,1362">
                <v:group id="_x0000_s1029" style="position:absolute;left:2280;top:5985;width:684;height:570" coordorigin="2280,5643" coordsize="684,570">
                  <v:shapetype id="_x0000_t9" coordsize="21600,21600" o:spt="9" adj="5400" path="m@0,l,10800@0,21600@1,21600,21600,10800@1,xe">
                    <v:stroke joinstyle="miter"/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</v:formulas>
                    <v:path gradientshapeok="t" o:connecttype="rect" textboxrect="1800,1800,19800,19800;3600,3600,18000,18000;6300,6300,15300,15300"/>
                    <v:handles>
                      <v:h position="#0,topLeft" xrange="0,10800"/>
                    </v:handles>
                  </v:shapetype>
                  <v:shape id="_x0000_s1030" type="#_x0000_t9" style="position:absolute;left:2280;top:5643;width:684;height:570;rotation:-2017445fd"/>
                  <v:oval id="_x0000_s1031" style="position:absolute;left:2445;top:5781;width:342;height:342"/>
                </v:group>
                <v:group id="_x0000_s1032" style="position:absolute;left:3540;top:5970;width:684;height:570" coordorigin="2280,5643" coordsize="684,570">
                  <v:shape id="_x0000_s1033" type="#_x0000_t9" style="position:absolute;left:2280;top:5643;width:684;height:570;rotation:-2017445fd"/>
                  <v:oval id="_x0000_s1034" style="position:absolute;left:2445;top:5781;width:342;height:342"/>
                </v:group>
                <v:line id="_x0000_s1035" style="position:absolute;flip:y" from="2937,5925" to="3222,6063"/>
                <v:line id="_x0000_s1036" style="position:absolute" from="3306,5925" to="3585,6123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7" type="#_x0000_t202" style="position:absolute;left:3075;top:5640;width:456;height:402" filled="f" stroked="f">
                  <v:textbox style="mso-next-textbox:#_x0000_s1037">
                    <w:txbxContent>
                      <w:p w:rsidR="00ED08BA" w:rsidRDefault="00ED08BA" w:rsidP="00004CDD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S</w:t>
                        </w:r>
                      </w:p>
                    </w:txbxContent>
                  </v:textbox>
                </v:shape>
                <v:line id="_x0000_s1038" style="position:absolute" from="2937,6450" to="3180,6645"/>
                <v:line id="_x0000_s1039" style="position:absolute;flip:x" from="3315,6450" to="3585,6645"/>
                <v:shape id="_x0000_s1040" type="#_x0000_t202" style="position:absolute;left:3054;top:6555;width:456;height:399" filled="f" stroked="f">
                  <v:textbox style="mso-next-textbox:#_x0000_s1040">
                    <w:txbxContent>
                      <w:p w:rsidR="00ED08BA" w:rsidRDefault="00ED08BA" w:rsidP="00004CDD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N</w:t>
                        </w:r>
                      </w:p>
                    </w:txbxContent>
                  </v:textbox>
                </v:shape>
                <v:line id="_x0000_s1041" style="position:absolute" from="3249,6834" to="3249,7002"/>
              </v:group>
              <v:shape id="_x0000_s1042" type="#_x0000_t202" style="position:absolute;left:5895;top:5280;width:648;height:342" filled="f" stroked="f">
                <v:textbox style="mso-next-textbox:#_x0000_s1042">
                  <w:txbxContent>
                    <w:p w:rsidR="00ED08BA" w:rsidRDefault="00ED08BA" w:rsidP="00004CDD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R’’</w:t>
                      </w:r>
                    </w:p>
                  </w:txbxContent>
                </v:textbox>
              </v:shape>
              <v:shape id="_x0000_s1043" style="position:absolute;left:7016;top:4755;width:280;height:240" coordsize="280,240" path="m,l280,240e" filled="f">
                <v:path arrowok="t"/>
              </v:shape>
              <v:shape id="_x0000_s1044" type="#_x0000_t202" style="position:absolute;left:7182;top:4890;width:627;height:390" filled="f" stroked="f">
                <v:textbox style="mso-next-textbox:#_x0000_s1044">
                  <w:txbxContent>
                    <w:p w:rsidR="00ED08BA" w:rsidRDefault="00ED08BA" w:rsidP="00004CDD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R’</w:t>
                      </w:r>
                    </w:p>
                  </w:txbxContent>
                </v:textbox>
              </v:shape>
            </v:group>
            <v:line id="_x0000_s1045" style="position:absolute;flip:y" from="5564,4657" to="5564,4828"/>
            <v:line id="_x0000_s1046" style="position:absolute;flip:y" from="5623,4657" to="5623,4828"/>
            <v:shape id="_x0000_s1047" type="#_x0000_t202" style="position:absolute;left:5383;top:4389;width:972;height:366" filled="f" stroked="f">
              <v:textbox style="mso-next-textbox:#_x0000_s1047">
                <w:txbxContent>
                  <w:p w:rsidR="00ED08BA" w:rsidRDefault="00ED08BA" w:rsidP="00004CDD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O</w:t>
                    </w:r>
                  </w:p>
                </w:txbxContent>
              </v:textbox>
            </v:shape>
            <w10:wrap type="topAndBottom"/>
          </v:group>
        </w:pict>
      </w:r>
      <w:r>
        <w:rPr>
          <w:noProof/>
          <w:lang w:eastAsia="ru-RU"/>
        </w:rPr>
        <w:pict>
          <v:shape id="_x0000_s1048" type="#_x0000_t202" style="position:absolute;left:0;text-align:left;margin-left:125.7pt;margin-top:150.3pt;width:196.65pt;height:42.75pt;z-index:251658240" o:allowincell="f" filled="f" stroked="f">
            <v:textbox style="mso-next-textbox:#_x0000_s1048">
              <w:txbxContent>
                <w:p w:rsidR="00ED08BA" w:rsidRDefault="00ED08BA" w:rsidP="00ED08BA">
                  <w:pPr>
                    <w:pStyle w:val="a4"/>
                    <w:jc w:val="center"/>
                  </w:pPr>
                  <w:r>
                    <w:t xml:space="preserve">Рисунок </w:t>
                  </w:r>
                  <w:fldSimple w:instr=" SEQ Рисунок \* ARABIC ">
                    <w:r>
                      <w:rPr>
                        <w:noProof/>
                      </w:rPr>
                      <w:t>2</w:t>
                    </w:r>
                  </w:fldSimple>
                  <w:r>
                    <w:t>. Сульфоксид производных фенотиазина</w:t>
                  </w:r>
                </w:p>
              </w:txbxContent>
            </v:textbox>
            <w10:wrap type="topAndBottom"/>
          </v:shape>
        </w:pict>
      </w:r>
      <w:r w:rsidR="00ED08BA" w:rsidRPr="002A4945">
        <w:t>Объектами исследования на производные фенотиазинового ряда являются желудок и кишечник с содержимым, печень, легкие, почки, кровь и моча.</w:t>
      </w:r>
    </w:p>
    <w:p w:rsidR="00365C7F" w:rsidRDefault="00ED08BA" w:rsidP="00004CDD">
      <w:r w:rsidRPr="002A4945">
        <w:t>В трупном материале производные фенотиазина и их метаболиты сохраняются (при температуре от –2</w:t>
      </w:r>
      <w:r w:rsidRPr="002A4945">
        <w:rPr>
          <w:vertAlign w:val="superscript"/>
        </w:rPr>
        <w:t>0</w:t>
      </w:r>
      <w:r w:rsidRPr="002A4945">
        <w:t xml:space="preserve"> до +13</w:t>
      </w:r>
      <w:r w:rsidRPr="002A4945">
        <w:rPr>
          <w:vertAlign w:val="superscript"/>
        </w:rPr>
        <w:t>0</w:t>
      </w:r>
      <w:r w:rsidRPr="002A4945">
        <w:t>С) до 3 месяцев. Консервирование материала этиловым спиртом увеличивает сохраняемость производных фенотиазина в трупном материале.</w:t>
      </w:r>
      <w:bookmarkStart w:id="2" w:name="_Toc439184234"/>
    </w:p>
    <w:p w:rsidR="00365C7F" w:rsidRDefault="00365C7F" w:rsidP="00004CDD"/>
    <w:p w:rsidR="00163AAF" w:rsidRDefault="00163AAF" w:rsidP="00004CDD">
      <w:r>
        <w:t xml:space="preserve">2. </w:t>
      </w:r>
      <w:r w:rsidR="00ED08BA" w:rsidRPr="00365C7F">
        <w:t xml:space="preserve">Изолирование производных фенотиазина из биологического </w:t>
      </w:r>
    </w:p>
    <w:p w:rsidR="00ED08BA" w:rsidRPr="00365C7F" w:rsidRDefault="00ED08BA" w:rsidP="00004CDD">
      <w:r w:rsidRPr="00365C7F">
        <w:t>материала</w:t>
      </w:r>
      <w:bookmarkEnd w:id="2"/>
    </w:p>
    <w:p w:rsidR="00163AAF" w:rsidRDefault="00163AAF" w:rsidP="00004CDD"/>
    <w:p w:rsidR="00ED08BA" w:rsidRPr="002A4945" w:rsidRDefault="00ED08BA" w:rsidP="00004CDD">
      <w:r w:rsidRPr="002A4945">
        <w:t>По физико-химическим свойствам препараты, производные фенотиазина, представляют собой белые кристаллические порошки, растворимые или слаборастворимые в воде, хорошо растворимые в этиловом спирте (в виде солей), диэтиловом эфире и хлороформе (в виде оснований).</w:t>
      </w:r>
    </w:p>
    <w:p w:rsidR="00ED08BA" w:rsidRPr="002A4945" w:rsidRDefault="00ED08BA" w:rsidP="00004CDD">
      <w:r w:rsidRPr="002A4945">
        <w:t>Изолирование аминазина, дипразина и их метаболитов рекомендуется производить спиртом, подкисленным до рН 2,0-3,0 10% раствором щавелевой кислоты, с последующей экстракцией основания эфиром при рН 13,0 и реэкстракцией вещества в 0,5 н раствор серной кислоты (изолирование по Е.М. Саломатину).</w:t>
      </w:r>
    </w:p>
    <w:p w:rsidR="00ED08BA" w:rsidRPr="002A4945" w:rsidRDefault="00ED08BA" w:rsidP="00004CDD">
      <w:r w:rsidRPr="002A4945">
        <w:lastRenderedPageBreak/>
        <w:t>Также изолирование производных фенотиазина можно проводить путем экстракции из биологического материала подкисленной водой, с последующей экстракцией органическим растворителем (диэтиловый эфир, хлороформ) из этого раствора, подщелоченного с помощью 25% раствора аммиака.</w:t>
      </w:r>
    </w:p>
    <w:p w:rsidR="00BA6393" w:rsidRPr="002A4945" w:rsidRDefault="00BA6393" w:rsidP="00004CDD">
      <w:r w:rsidRPr="002A4945">
        <w:rPr>
          <w:noProof/>
        </w:rPr>
        <w:t>Методы пробоподготовки мочи для определения трифтазина</w:t>
      </w:r>
    </w:p>
    <w:p w:rsidR="00BA6393" w:rsidRPr="002A4945" w:rsidRDefault="00BA6393" w:rsidP="00004CDD">
      <w:pPr>
        <w:rPr>
          <w:noProof/>
        </w:rPr>
      </w:pPr>
      <w:r w:rsidRPr="002A4945">
        <w:rPr>
          <w:noProof/>
        </w:rPr>
        <w:t>1) так как производные фенотиазинов выводятся в виде глюкуронидов, то требуется гидролиз мочи (нагревают пробу в течение 30 минут с концентрированной соляной кислотой).</w:t>
      </w:r>
    </w:p>
    <w:p w:rsidR="00163AAF" w:rsidRDefault="00BA6393" w:rsidP="00004CDD">
      <w:pPr>
        <w:rPr>
          <w:noProof/>
        </w:rPr>
      </w:pPr>
      <w:r w:rsidRPr="002A4945">
        <w:rPr>
          <w:noProof/>
        </w:rPr>
        <w:t>2) затем экстрагируют смесью гептан-3% изопентанол для ГЖХ; бензол-диоксан-25% аммиак (60:35:5) или этилацетат-ацетон-25% аммиак в этаноле 1:1 (50:45:4) для ТСХ.</w:t>
      </w:r>
      <w:bookmarkStart w:id="3" w:name="_Toc439184235"/>
    </w:p>
    <w:p w:rsidR="00163AAF" w:rsidRDefault="00163AAF" w:rsidP="00004CDD">
      <w:pPr>
        <w:rPr>
          <w:noProof/>
        </w:rPr>
      </w:pPr>
    </w:p>
    <w:p w:rsidR="00ED08BA" w:rsidRDefault="00163AAF" w:rsidP="00004CDD">
      <w:r>
        <w:t xml:space="preserve">3. </w:t>
      </w:r>
      <w:r w:rsidR="00ED08BA" w:rsidRPr="00163AAF">
        <w:t>Качественное обнаружение производных фенотиазина в экстракте</w:t>
      </w:r>
      <w:bookmarkEnd w:id="3"/>
    </w:p>
    <w:p w:rsidR="00163AAF" w:rsidRPr="00163AAF" w:rsidRDefault="00163AAF" w:rsidP="00004CDD"/>
    <w:p w:rsidR="00ED08BA" w:rsidRPr="002A4945" w:rsidRDefault="00ED08BA" w:rsidP="00004CDD">
      <w:r w:rsidRPr="002A4945">
        <w:t>С растворами йодида висмута в йодиде калия и фосфорно-молибденовой кислоты производные фенотиазина дают аморфные осадки</w:t>
      </w:r>
    </w:p>
    <w:p w:rsidR="00ED08BA" w:rsidRPr="002A4945" w:rsidRDefault="00ED08BA" w:rsidP="00004CDD">
      <w:r w:rsidRPr="002A4945">
        <w:t>С концентрированной серной кислотой возникает устойчивое пурпурно-красное окрашивание</w:t>
      </w:r>
    </w:p>
    <w:p w:rsidR="00ED08BA" w:rsidRPr="002A4945" w:rsidRDefault="00ED08BA" w:rsidP="00004CDD">
      <w:r w:rsidRPr="002A4945">
        <w:t>С формалином и серной кислотой производные фенотиазина дают пурпурно-красное окрашивание, усиливающееся при стоянии</w:t>
      </w:r>
    </w:p>
    <w:p w:rsidR="00ED08BA" w:rsidRPr="002A4945" w:rsidRDefault="00ED08BA" w:rsidP="00004CDD">
      <w:r w:rsidRPr="002A4945">
        <w:t>С концентрированной азотной кислотой возникает пурпурно-красное окрашивание (образование сульфоксида), которое быстро исчезает (образование сульфона)</w:t>
      </w:r>
    </w:p>
    <w:p w:rsidR="00ED08BA" w:rsidRPr="002A4945" w:rsidRDefault="00ED08BA" w:rsidP="00004CDD">
      <w:r w:rsidRPr="002A4945">
        <w:t xml:space="preserve">С 5% раствором золотохлористо-водородной кислоты аминазин (после 3-4 кратной обработки основания 0,1 н. раствором </w:t>
      </w:r>
      <w:r w:rsidRPr="002A4945">
        <w:rPr>
          <w:lang w:val="en-US"/>
        </w:rPr>
        <w:t>HCl</w:t>
      </w:r>
      <w:r w:rsidRPr="002A4945">
        <w:t>) выделяется темно-красный аморфный осадок, переходящий через 20-50 мин. в характерный кристаллический осадок. Кристаллы в виде палочек и сростков из них, напоминают снопы и сфероиды. Кристаллы оптически активны (погасание косое, угол погасания 20-30</w:t>
      </w:r>
      <w:r w:rsidRPr="002A4945">
        <w:rPr>
          <w:vertAlign w:val="superscript"/>
        </w:rPr>
        <w:t>0</w:t>
      </w:r>
      <w:r w:rsidRPr="002A4945">
        <w:t>, удлинение кристаллов положительное).</w:t>
      </w:r>
    </w:p>
    <w:p w:rsidR="00ED08BA" w:rsidRPr="002A4945" w:rsidRDefault="00ED08BA" w:rsidP="00004CDD">
      <w:r w:rsidRPr="002A4945">
        <w:t>С реактивами Марки и Фреде тизерцин дает синевато-красную окраску; окраска у других производных фенотиазина — от красной до фиолетовой</w:t>
      </w:r>
      <w:r w:rsidR="00004CDD">
        <w:t>.</w:t>
      </w:r>
    </w:p>
    <w:p w:rsidR="00004CDD" w:rsidRDefault="00ED08BA" w:rsidP="00004CDD">
      <w:r w:rsidRPr="002A4945">
        <w:t>С реактивом Манделина тизерцин дает красно-фиолетовую окраску; дипразин дает зеленую, переходящую в пурпурную окраску. Окраска у других производных фенотиазина — от красной до фиолетовой</w:t>
      </w:r>
      <w:r w:rsidR="00004CDD">
        <w:t>.</w:t>
      </w:r>
    </w:p>
    <w:p w:rsidR="00563F03" w:rsidRPr="002A4945" w:rsidRDefault="00004CDD" w:rsidP="00004CDD">
      <w:pPr>
        <w:rPr>
          <w:noProof/>
        </w:rPr>
      </w:pPr>
      <w:r>
        <w:rPr>
          <w:noProof/>
        </w:rPr>
        <w:t>П</w:t>
      </w:r>
      <w:r w:rsidR="00563F03" w:rsidRPr="002A4945">
        <w:rPr>
          <w:noProof/>
        </w:rPr>
        <w:t>редварительные хромогенные реакции, используя реактив Марки – красно-коричневый цвет.</w:t>
      </w:r>
    </w:p>
    <w:p w:rsidR="00563F03" w:rsidRPr="002A4945" w:rsidRDefault="00563F03" w:rsidP="00004CDD">
      <w:pPr>
        <w:rPr>
          <w:noProof/>
        </w:rPr>
      </w:pPr>
      <w:r w:rsidRPr="002A4945">
        <w:rPr>
          <w:noProof/>
        </w:rPr>
        <w:t>2) для экспресс-определения фенотиазинов в моче используют реакцию с FNP-реактивом, который состоит из смеси водного раствора хлорида железа (III), хлорной кислоты (HClO4) и азотной кислоты (1:9:10). Появляющаяся окраска от розовой до сине-фиолетовой свидетельствует о присутствии фенотиазинов или их метаболитов. Определению мешают салицилаты, желчные пигменты и пр.</w:t>
      </w:r>
    </w:p>
    <w:p w:rsidR="00ED08BA" w:rsidRPr="002A4945" w:rsidRDefault="00ED08BA" w:rsidP="00004CDD">
      <w:r w:rsidRPr="002A4945">
        <w:t>Более надежный способ обнаружения производных фенотиазина в экстракте, а тем более для различения веществ друг от друга — обнаружение и разделение веществ с помощью хроматографии. Для этого на хроматографическую пластинку наносят каплю исследуемого раствора. Нанесенное пятно подсушивают на воздухе. Рядом наносят растворы известных препаратов, производных фенотиазина («свидетели») и вновь подсушивают пластинку. Затем пластинку вносят в камеру для хроматографии, насыщенную парами растворителя (смесь 25% раствора аммиака и этилового спирта в соотношении 1:1, либо 25% раствора аммиака, этилацетата и ацетона 4:90:45). После хроматографирования пластинку проявляют 50% раствором серной кислоты в этиловом спирте. Затем пластинку помещают на 3-5 мин в сушильный шкаф, нагретый до 100</w:t>
      </w:r>
      <w:r w:rsidRPr="002A4945">
        <w:rPr>
          <w:vertAlign w:val="superscript"/>
        </w:rPr>
        <w:t>0</w:t>
      </w:r>
      <w:r w:rsidRPr="002A4945">
        <w:t xml:space="preserve">С. Проявившееся пятна сравнивают с пятнами «свидетелей» или по справочным значениям </w:t>
      </w:r>
      <w:r w:rsidRPr="002A4945">
        <w:rPr>
          <w:lang w:val="en-US"/>
        </w:rPr>
        <w:t>R</w:t>
      </w:r>
      <w:r w:rsidRPr="002A4945">
        <w:rPr>
          <w:vertAlign w:val="subscript"/>
          <w:lang w:val="en-US"/>
        </w:rPr>
        <w:t>f</w:t>
      </w:r>
      <w:r w:rsidRPr="002A4945">
        <w:t>.</w:t>
      </w:r>
    </w:p>
    <w:p w:rsidR="00004CDD" w:rsidRDefault="00ED08BA" w:rsidP="00004CDD">
      <w:r w:rsidRPr="002A4945">
        <w:t>Обнаружить производные фенотиазина можно также по У</w:t>
      </w:r>
      <w:r w:rsidR="00C43F7F" w:rsidRPr="002A4945">
        <w:t>Ф -</w:t>
      </w:r>
      <w:r w:rsidRPr="002A4945">
        <w:t xml:space="preserve"> и ИК-спектрам. Например, раствор тизерцина в этиловом спирте имеет максимумы поглощения при длине волны 255 и 310 нм, а аминазин при 254-255 нм. Основной метаболит — сульфоксидное производное фенотиазина имеет максимумы поглощения при длине волны 238-240, 273, 298 и 340 нм. Тизерцин в растворе 0,1 н. соляной кислоты имеет максимум в области 251 и 302 нм. Дипразин, растворенный в 0,01 н. растворе соляной кислоты, имеет максимумы поглощения при 249 и 300 нм; растворенный в смеси воды и этилового спирта (1:1) — 252 и 301 нм. В ИК-области спектра основание тизерцина (диск с бромидом калия) имеет основные пики при 1587, 1460, 1269 и 1446 см</w:t>
      </w:r>
      <w:r w:rsidRPr="002A4945">
        <w:rPr>
          <w:vertAlign w:val="superscript"/>
        </w:rPr>
        <w:t>-1</w:t>
      </w:r>
      <w:r w:rsidRPr="002A4945">
        <w:t>; дипразин имеет пики при 1459, 1222 и 757 см</w:t>
      </w:r>
      <w:r w:rsidRPr="002A4945">
        <w:rPr>
          <w:vertAlign w:val="superscript"/>
        </w:rPr>
        <w:t>-1</w:t>
      </w:r>
      <w:r w:rsidRPr="002A4945">
        <w:t>.</w:t>
      </w:r>
      <w:bookmarkStart w:id="4" w:name="_Toc439184236"/>
    </w:p>
    <w:p w:rsidR="00004CDD" w:rsidRDefault="00004CDD" w:rsidP="00004CDD"/>
    <w:p w:rsidR="00004CDD" w:rsidRDefault="00004CDD" w:rsidP="00004CDD">
      <w:r>
        <w:t xml:space="preserve">4. </w:t>
      </w:r>
      <w:r w:rsidR="00ED08BA" w:rsidRPr="00004CDD">
        <w:t xml:space="preserve">Количественное определение производных фенотиазина и их </w:t>
      </w:r>
    </w:p>
    <w:p w:rsidR="00ED08BA" w:rsidRPr="00004CDD" w:rsidRDefault="00ED08BA" w:rsidP="00004CDD">
      <w:r w:rsidRPr="00004CDD">
        <w:t>метаболитов</w:t>
      </w:r>
      <w:bookmarkEnd w:id="4"/>
    </w:p>
    <w:p w:rsidR="00004CDD" w:rsidRDefault="00004CDD" w:rsidP="00004CDD"/>
    <w:p w:rsidR="00ED08BA" w:rsidRPr="002A4945" w:rsidRDefault="00ED08BA" w:rsidP="00004CDD">
      <w:r w:rsidRPr="002A4945">
        <w:t>Фотоколориметрический метод определения основан на реакции с концентрированной серной кислотой. Фотометрирование проводят при λ=508 нм в кювете 5,105; эталон сравнения — контроль реактивов. Расчет содержания препаратов производится по калибровочному графику.</w:t>
      </w:r>
    </w:p>
    <w:p w:rsidR="00ED08BA" w:rsidRPr="002A4945" w:rsidRDefault="00ED08BA" w:rsidP="00004CDD">
      <w:r w:rsidRPr="002A4945">
        <w:t>Спектрофотометрический метод основан на количественной оценке поглощения растворов препаратов в ультрафиолетовой области. Ультрафиолетовый спектр снимается в диапазоне длин волн 220-400 нм на СФ-4, СФ-4а и др. при концентрации 10 мкг/мл в пересчете на основание.</w:t>
      </w:r>
    </w:p>
    <w:p w:rsidR="00ED08BA" w:rsidRPr="002A4945" w:rsidRDefault="00ED08BA" w:rsidP="00004CDD">
      <w:r w:rsidRPr="002A4945">
        <w:t>По этим методикам обнаруживается 53-60% препарата, добавленного к органам. Граница обнаружения 0,2 мг, граница определения 0,5 мг препарата в 1</w:t>
      </w:r>
      <w:r w:rsidR="00847FB9" w:rsidRPr="002A4945">
        <w:t>00 г</w:t>
      </w:r>
      <w:r w:rsidR="002A4945">
        <w:t xml:space="preserve"> </w:t>
      </w:r>
      <w:r w:rsidR="00847FB9" w:rsidRPr="002A4945">
        <w:t>органах.</w:t>
      </w:r>
    </w:p>
    <w:p w:rsidR="006D32B1" w:rsidRPr="002A4945" w:rsidRDefault="006D32B1" w:rsidP="00004CDD"/>
    <w:p w:rsidR="006D32B1" w:rsidRPr="001F7105" w:rsidRDefault="001F7105" w:rsidP="00004CDD">
      <w:pPr>
        <w:rPr>
          <w:color w:val="FFFFFF"/>
        </w:rPr>
      </w:pPr>
      <w:r w:rsidRPr="001F7105">
        <w:rPr>
          <w:color w:val="FFFFFF"/>
        </w:rPr>
        <w:t>фенотиазин метаболизм производные</w:t>
      </w:r>
    </w:p>
    <w:p w:rsidR="0017391A" w:rsidRPr="002A4945" w:rsidRDefault="00004CDD" w:rsidP="00004CDD">
      <w:pPr>
        <w:rPr>
          <w:noProof/>
        </w:rPr>
      </w:pPr>
      <w:r>
        <w:br w:type="page"/>
      </w:r>
      <w:r w:rsidR="0017391A" w:rsidRPr="002A4945">
        <w:rPr>
          <w:noProof/>
        </w:rPr>
        <w:t>Список</w:t>
      </w:r>
      <w:r w:rsidR="002A4945">
        <w:rPr>
          <w:noProof/>
        </w:rPr>
        <w:t xml:space="preserve"> </w:t>
      </w:r>
      <w:r w:rsidR="0017391A" w:rsidRPr="002A4945">
        <w:rPr>
          <w:noProof/>
        </w:rPr>
        <w:t>используемой</w:t>
      </w:r>
      <w:r w:rsidR="002A4945">
        <w:rPr>
          <w:noProof/>
        </w:rPr>
        <w:t xml:space="preserve"> </w:t>
      </w:r>
      <w:r w:rsidR="0017391A" w:rsidRPr="002A4945">
        <w:rPr>
          <w:noProof/>
        </w:rPr>
        <w:t>литературы:</w:t>
      </w:r>
    </w:p>
    <w:p w:rsidR="0017391A" w:rsidRPr="002A4945" w:rsidRDefault="0017391A" w:rsidP="00004CDD">
      <w:pPr>
        <w:rPr>
          <w:noProof/>
        </w:rPr>
      </w:pPr>
    </w:p>
    <w:p w:rsidR="0017391A" w:rsidRPr="002A4945" w:rsidRDefault="00004CDD" w:rsidP="00004CDD">
      <w:pPr>
        <w:ind w:firstLine="0"/>
        <w:rPr>
          <w:noProof/>
        </w:rPr>
      </w:pPr>
      <w:r>
        <w:rPr>
          <w:noProof/>
        </w:rPr>
        <w:t xml:space="preserve">1. </w:t>
      </w:r>
      <w:r w:rsidR="0017391A" w:rsidRPr="002A4945">
        <w:rPr>
          <w:noProof/>
        </w:rPr>
        <w:t>Гуськова Т.А. Токсикология лекарственных средств. – М., 2003.</w:t>
      </w:r>
    </w:p>
    <w:p w:rsidR="0017391A" w:rsidRPr="002A4945" w:rsidRDefault="00004CDD" w:rsidP="00004CDD">
      <w:pPr>
        <w:ind w:firstLine="0"/>
        <w:rPr>
          <w:noProof/>
        </w:rPr>
      </w:pPr>
      <w:r>
        <w:rPr>
          <w:noProof/>
        </w:rPr>
        <w:t xml:space="preserve">2. </w:t>
      </w:r>
      <w:r w:rsidR="0017391A" w:rsidRPr="002A4945">
        <w:rPr>
          <w:noProof/>
        </w:rPr>
        <w:t>Карпов Ю.А., Савостин А.П. Методы пробоотбора и пробоподготовки. – М., 2003.</w:t>
      </w:r>
    </w:p>
    <w:p w:rsidR="0017391A" w:rsidRPr="002A4945" w:rsidRDefault="00004CDD" w:rsidP="00004CDD">
      <w:pPr>
        <w:ind w:firstLine="0"/>
        <w:rPr>
          <w:noProof/>
        </w:rPr>
      </w:pPr>
      <w:r>
        <w:rPr>
          <w:noProof/>
        </w:rPr>
        <w:t xml:space="preserve">3. </w:t>
      </w:r>
      <w:r w:rsidR="0017391A" w:rsidRPr="002A4945">
        <w:rPr>
          <w:noProof/>
        </w:rPr>
        <w:t>Крамаренко В.Ф. Токсикологическая химия. – М., 1989.</w:t>
      </w:r>
    </w:p>
    <w:p w:rsidR="0017391A" w:rsidRPr="002A4945" w:rsidRDefault="00004CDD" w:rsidP="00004CDD">
      <w:pPr>
        <w:ind w:firstLine="0"/>
        <w:rPr>
          <w:noProof/>
        </w:rPr>
      </w:pPr>
      <w:r>
        <w:rPr>
          <w:noProof/>
        </w:rPr>
        <w:t xml:space="preserve">4. </w:t>
      </w:r>
      <w:r w:rsidR="0017391A" w:rsidRPr="002A4945">
        <w:rPr>
          <w:noProof/>
        </w:rPr>
        <w:t>Токсикологическая химия / под ред. Т.В.Плетеневой. – М.: Изд.группа «ГЭОТАР-Медиа», 2006.</w:t>
      </w:r>
    </w:p>
    <w:p w:rsidR="0017391A" w:rsidRPr="002A4945" w:rsidRDefault="00004CDD" w:rsidP="00004CDD">
      <w:pPr>
        <w:ind w:firstLine="0"/>
        <w:rPr>
          <w:noProof/>
        </w:rPr>
      </w:pPr>
      <w:r>
        <w:rPr>
          <w:noProof/>
        </w:rPr>
        <w:t xml:space="preserve">5. </w:t>
      </w:r>
      <w:r w:rsidR="0017391A" w:rsidRPr="002A4945">
        <w:rPr>
          <w:noProof/>
        </w:rPr>
        <w:t>Химико-фармацевтический</w:t>
      </w:r>
      <w:r w:rsidR="002A4945">
        <w:rPr>
          <w:noProof/>
        </w:rPr>
        <w:t xml:space="preserve"> </w:t>
      </w:r>
      <w:r w:rsidR="0017391A" w:rsidRPr="002A4945">
        <w:rPr>
          <w:noProof/>
        </w:rPr>
        <w:t>журнал, № 4 , 2003, стр.22-24.</w:t>
      </w:r>
    </w:p>
    <w:p w:rsidR="006D32B1" w:rsidRPr="001F7105" w:rsidRDefault="006D32B1" w:rsidP="00004CDD">
      <w:pPr>
        <w:rPr>
          <w:color w:val="FFFFFF"/>
        </w:rPr>
      </w:pPr>
      <w:bookmarkStart w:id="5" w:name="_GoBack"/>
      <w:bookmarkEnd w:id="5"/>
    </w:p>
    <w:sectPr w:rsidR="006D32B1" w:rsidRPr="001F7105" w:rsidSect="002A4945">
      <w:headerReference w:type="default" r:id="rId10"/>
      <w:pgSz w:w="11906" w:h="16838"/>
      <w:pgMar w:top="1134" w:right="850" w:bottom="1134" w:left="1701" w:header="720" w:footer="720" w:gutter="0"/>
      <w:cols w:space="708"/>
      <w:noEndnote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6BBF" w:rsidRDefault="00EA6BBF" w:rsidP="00004CDD">
      <w:r>
        <w:separator/>
      </w:r>
    </w:p>
    <w:p w:rsidR="00EA6BBF" w:rsidRDefault="00EA6BBF" w:rsidP="00004CDD"/>
    <w:p w:rsidR="00EA6BBF" w:rsidRDefault="00EA6BBF"/>
  </w:endnote>
  <w:endnote w:type="continuationSeparator" w:id="0">
    <w:p w:rsidR="00EA6BBF" w:rsidRDefault="00EA6BBF" w:rsidP="00004CDD">
      <w:r>
        <w:continuationSeparator/>
      </w:r>
    </w:p>
    <w:p w:rsidR="00EA6BBF" w:rsidRDefault="00EA6BBF" w:rsidP="00004CDD"/>
    <w:p w:rsidR="00EA6BBF" w:rsidRDefault="00EA6B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6BBF" w:rsidRDefault="00EA6BBF" w:rsidP="00004CDD">
      <w:r>
        <w:separator/>
      </w:r>
    </w:p>
    <w:p w:rsidR="00EA6BBF" w:rsidRDefault="00EA6BBF" w:rsidP="00004CDD"/>
    <w:p w:rsidR="00EA6BBF" w:rsidRDefault="00EA6BBF"/>
  </w:footnote>
  <w:footnote w:type="continuationSeparator" w:id="0">
    <w:p w:rsidR="00EA6BBF" w:rsidRDefault="00EA6BBF" w:rsidP="00004CDD">
      <w:r>
        <w:continuationSeparator/>
      </w:r>
    </w:p>
    <w:p w:rsidR="00EA6BBF" w:rsidRDefault="00EA6BBF" w:rsidP="00004CDD"/>
    <w:p w:rsidR="00EA6BBF" w:rsidRDefault="00EA6BB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7105" w:rsidRPr="001F7105" w:rsidRDefault="001F7105" w:rsidP="001F7105">
    <w:pPr>
      <w:pStyle w:val="a7"/>
      <w:ind w:right="36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0B34B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6126387A"/>
    <w:multiLevelType w:val="multilevel"/>
    <w:tmpl w:val="BE78B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0D69"/>
    <w:rsid w:val="00004CDD"/>
    <w:rsid w:val="000C6FAF"/>
    <w:rsid w:val="000C7FE6"/>
    <w:rsid w:val="00163AAF"/>
    <w:rsid w:val="0017391A"/>
    <w:rsid w:val="0017475D"/>
    <w:rsid w:val="001F7105"/>
    <w:rsid w:val="0023145B"/>
    <w:rsid w:val="002A4945"/>
    <w:rsid w:val="002B78AF"/>
    <w:rsid w:val="00365C7F"/>
    <w:rsid w:val="003B5F30"/>
    <w:rsid w:val="003E08B7"/>
    <w:rsid w:val="003E657F"/>
    <w:rsid w:val="004113D6"/>
    <w:rsid w:val="004663ED"/>
    <w:rsid w:val="004B4385"/>
    <w:rsid w:val="0055306F"/>
    <w:rsid w:val="00561A86"/>
    <w:rsid w:val="00563F03"/>
    <w:rsid w:val="005B0B0B"/>
    <w:rsid w:val="00630D69"/>
    <w:rsid w:val="006D32B1"/>
    <w:rsid w:val="00712CF1"/>
    <w:rsid w:val="00744088"/>
    <w:rsid w:val="00847FB9"/>
    <w:rsid w:val="009D4BDF"/>
    <w:rsid w:val="00A5077F"/>
    <w:rsid w:val="00A92F12"/>
    <w:rsid w:val="00B137B6"/>
    <w:rsid w:val="00BA6393"/>
    <w:rsid w:val="00C43F7F"/>
    <w:rsid w:val="00CB1811"/>
    <w:rsid w:val="00CE5C4B"/>
    <w:rsid w:val="00CF7D35"/>
    <w:rsid w:val="00D204EB"/>
    <w:rsid w:val="00D6582A"/>
    <w:rsid w:val="00D85F6C"/>
    <w:rsid w:val="00DF5C29"/>
    <w:rsid w:val="00E3400C"/>
    <w:rsid w:val="00EA6BBF"/>
    <w:rsid w:val="00ED08BA"/>
    <w:rsid w:val="00FA6E61"/>
    <w:rsid w:val="00FD7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2"/>
    <o:shapelayout v:ext="edit">
      <o:idmap v:ext="edit" data="1"/>
    </o:shapelayout>
  </w:shapeDefaults>
  <w:decimalSymbol w:val=","/>
  <w:listSeparator w:val=";"/>
  <w14:defaultImageDpi w14:val="0"/>
  <w15:chartTrackingRefBased/>
  <w15:docId w15:val="{D7AEBE9D-82BE-4AAF-8270-56C6D84D9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004CDD"/>
    <w:pPr>
      <w:spacing w:line="360" w:lineRule="auto"/>
      <w:ind w:firstLine="700"/>
      <w:jc w:val="both"/>
    </w:pPr>
    <w:rPr>
      <w:sz w:val="28"/>
      <w:szCs w:val="28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ED08BA"/>
    <w:pPr>
      <w:keepNext/>
      <w:spacing w:before="240" w:after="60"/>
      <w:outlineLvl w:val="0"/>
    </w:pPr>
    <w:rPr>
      <w:b/>
      <w:bCs/>
      <w:kern w:val="28"/>
    </w:rPr>
  </w:style>
  <w:style w:type="paragraph" w:styleId="2">
    <w:name w:val="heading 2"/>
    <w:basedOn w:val="a"/>
    <w:next w:val="a"/>
    <w:link w:val="20"/>
    <w:uiPriority w:val="99"/>
    <w:qFormat/>
    <w:rsid w:val="006D32B1"/>
    <w:pPr>
      <w:keepNext/>
      <w:spacing w:before="240" w:after="60"/>
      <w:outlineLvl w:val="1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styleId="a3">
    <w:name w:val="Hyperlink"/>
    <w:uiPriority w:val="99"/>
    <w:rsid w:val="00ED08BA"/>
    <w:rPr>
      <w:rFonts w:ascii="Verdana" w:hAnsi="Verdana" w:cs="Verdana"/>
      <w:color w:val="8A9DBE"/>
      <w:u w:val="single"/>
    </w:rPr>
  </w:style>
  <w:style w:type="paragraph" w:styleId="a4">
    <w:name w:val="caption"/>
    <w:basedOn w:val="a"/>
    <w:next w:val="a"/>
    <w:uiPriority w:val="99"/>
    <w:qFormat/>
    <w:rsid w:val="00ED08BA"/>
    <w:pPr>
      <w:spacing w:before="120" w:after="120"/>
    </w:pPr>
    <w:rPr>
      <w:b/>
      <w:bCs/>
      <w:sz w:val="20"/>
      <w:szCs w:val="20"/>
    </w:rPr>
  </w:style>
  <w:style w:type="paragraph" w:styleId="11">
    <w:name w:val="toc 1"/>
    <w:basedOn w:val="a"/>
    <w:next w:val="a"/>
    <w:autoRedefine/>
    <w:uiPriority w:val="99"/>
    <w:semiHidden/>
    <w:rsid w:val="00ED08BA"/>
    <w:pPr>
      <w:spacing w:before="120"/>
    </w:pPr>
    <w:rPr>
      <w:b/>
      <w:bCs/>
      <w:i/>
      <w:iCs/>
      <w:sz w:val="24"/>
      <w:szCs w:val="24"/>
    </w:rPr>
  </w:style>
  <w:style w:type="character" w:customStyle="1" w:styleId="cvetp">
    <w:name w:val="cvetp"/>
    <w:uiPriority w:val="99"/>
    <w:rsid w:val="006D32B1"/>
  </w:style>
  <w:style w:type="paragraph" w:styleId="a5">
    <w:name w:val="Normal (Web)"/>
    <w:basedOn w:val="a"/>
    <w:uiPriority w:val="99"/>
    <w:rsid w:val="006D32B1"/>
    <w:pPr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uiPriority w:val="99"/>
    <w:qFormat/>
    <w:rsid w:val="006D32B1"/>
    <w:rPr>
      <w:b/>
      <w:bCs/>
    </w:rPr>
  </w:style>
  <w:style w:type="paragraph" w:styleId="a7">
    <w:name w:val="header"/>
    <w:basedOn w:val="a"/>
    <w:link w:val="a8"/>
    <w:uiPriority w:val="99"/>
    <w:semiHidden/>
    <w:rsid w:val="005B0B0B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uiPriority w:val="99"/>
    <w:rsid w:val="005B0B0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sid w:val="005B0B0B"/>
    <w:rPr>
      <w:rFonts w:ascii="Arial" w:hAnsi="Arial" w:cs="Arial"/>
      <w:sz w:val="28"/>
      <w:szCs w:val="28"/>
      <w:lang w:val="x-none" w:eastAsia="zh-CN"/>
    </w:rPr>
  </w:style>
  <w:style w:type="character" w:styleId="ab">
    <w:name w:val="page number"/>
    <w:uiPriority w:val="99"/>
    <w:rsid w:val="001F7105"/>
  </w:style>
  <w:style w:type="character" w:customStyle="1" w:styleId="aa">
    <w:name w:val="Нижний колонтитул Знак"/>
    <w:link w:val="a9"/>
    <w:uiPriority w:val="99"/>
    <w:rsid w:val="005B0B0B"/>
    <w:rPr>
      <w:rFonts w:ascii="Arial" w:hAnsi="Arial" w:cs="Arial"/>
      <w:sz w:val="28"/>
      <w:szCs w:val="28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725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automotonews.biz/w/index.php?title=%D0%9F%D0%B8%D0%BF%D0%B5%D1%80%D0%B0%D0%B7%D0%B8%D0%BD&amp;action=edit&amp;redlink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1527</Words>
  <Characters>8708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и социального развития РФ ДВГМУ</vt:lpstr>
    </vt:vector>
  </TitlesOfParts>
  <Company>Интернет-кафе LEXX</Company>
  <LinksUpToDate>false</LinksUpToDate>
  <CharactersWithSpaces>10215</CharactersWithSpaces>
  <SharedDoc>false</SharedDoc>
  <HLinks>
    <vt:vector size="6" baseType="variant">
      <vt:variant>
        <vt:i4>6684735</vt:i4>
      </vt:variant>
      <vt:variant>
        <vt:i4>0</vt:i4>
      </vt:variant>
      <vt:variant>
        <vt:i4>0</vt:i4>
      </vt:variant>
      <vt:variant>
        <vt:i4>5</vt:i4>
      </vt:variant>
      <vt:variant>
        <vt:lpwstr>http://automotonews.biz/w/index.php?title=%D0%9F%D0%B8%D0%BF%D0%B5%D1%80%D0%B0%D0%B7%D0%B8%D0%BD&amp;action=edit&amp;redlink=1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и социального развития РФ ДВГМУ</dc:title>
  <dc:subject/>
  <dc:creator>User</dc:creator>
  <cp:keywords/>
  <dc:description/>
  <cp:lastModifiedBy>admin</cp:lastModifiedBy>
  <cp:revision>2</cp:revision>
  <dcterms:created xsi:type="dcterms:W3CDTF">2014-03-27T22:12:00Z</dcterms:created>
  <dcterms:modified xsi:type="dcterms:W3CDTF">2014-03-27T22:12:00Z</dcterms:modified>
</cp:coreProperties>
</file>